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061"/>
        <w:gridCol w:w="3600"/>
        <w:gridCol w:w="1260"/>
      </w:tblGrid>
      <w:tr w:rsidR="006F3104" w:rsidRPr="006F3104" w14:paraId="04B5BA2E" w14:textId="77777777" w:rsidTr="00443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D46E4" w14:textId="77777777" w:rsidR="006F3104" w:rsidRPr="006F3104" w:rsidRDefault="006F3104" w:rsidP="006F3104">
            <w:pPr>
              <w:rPr>
                <w:b/>
                <w:bCs/>
                <w:sz w:val="16"/>
                <w:szCs w:val="16"/>
              </w:rPr>
            </w:pPr>
            <w:r w:rsidRPr="006F3104">
              <w:rPr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3031" w:type="dxa"/>
            <w:vAlign w:val="center"/>
            <w:hideMark/>
          </w:tcPr>
          <w:p w14:paraId="14355885" w14:textId="77777777" w:rsidR="006F3104" w:rsidRPr="006F3104" w:rsidRDefault="006F3104" w:rsidP="006F3104">
            <w:pPr>
              <w:rPr>
                <w:b/>
                <w:bCs/>
                <w:sz w:val="16"/>
                <w:szCs w:val="16"/>
              </w:rPr>
            </w:pPr>
            <w:r w:rsidRPr="006F3104">
              <w:rPr>
                <w:b/>
                <w:bCs/>
                <w:sz w:val="16"/>
                <w:szCs w:val="16"/>
              </w:rPr>
              <w:t>Threshold (YoY % change or Index Level)</w:t>
            </w:r>
          </w:p>
        </w:tc>
        <w:tc>
          <w:tcPr>
            <w:tcW w:w="3570" w:type="dxa"/>
            <w:vAlign w:val="center"/>
            <w:hideMark/>
          </w:tcPr>
          <w:p w14:paraId="5D91A8ED" w14:textId="77777777" w:rsidR="006F3104" w:rsidRPr="006F3104" w:rsidRDefault="006F3104" w:rsidP="006F3104">
            <w:pPr>
              <w:rPr>
                <w:b/>
                <w:bCs/>
                <w:sz w:val="16"/>
                <w:szCs w:val="16"/>
              </w:rPr>
            </w:pPr>
            <w:r w:rsidRPr="006F3104">
              <w:rPr>
                <w:b/>
                <w:bCs/>
                <w:sz w:val="16"/>
                <w:szCs w:val="16"/>
              </w:rPr>
              <w:t>Market Interpretation</w:t>
            </w:r>
          </w:p>
        </w:tc>
        <w:tc>
          <w:tcPr>
            <w:tcW w:w="1215" w:type="dxa"/>
            <w:vAlign w:val="center"/>
            <w:hideMark/>
          </w:tcPr>
          <w:p w14:paraId="380A784B" w14:textId="77777777" w:rsidR="006F3104" w:rsidRPr="006F3104" w:rsidRDefault="006F3104" w:rsidP="006F3104">
            <w:pPr>
              <w:rPr>
                <w:b/>
                <w:bCs/>
                <w:sz w:val="16"/>
                <w:szCs w:val="16"/>
              </w:rPr>
            </w:pPr>
            <w:r w:rsidRPr="006F3104">
              <w:rPr>
                <w:b/>
                <w:bCs/>
                <w:sz w:val="16"/>
                <w:szCs w:val="16"/>
              </w:rPr>
              <w:t>Suggested Score</w:t>
            </w:r>
          </w:p>
        </w:tc>
      </w:tr>
      <w:tr w:rsidR="006F3104" w:rsidRPr="006F3104" w14:paraId="1835E287" w14:textId="77777777" w:rsidTr="0044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1D86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rFonts w:ascii="Segoe UI Emoji" w:hAnsi="Segoe UI Emoji" w:cs="Segoe UI Emoji"/>
                <w:sz w:val="16"/>
                <w:szCs w:val="16"/>
              </w:rPr>
              <w:t>🔴</w:t>
            </w:r>
            <w:r w:rsidRPr="006F3104">
              <w:rPr>
                <w:sz w:val="16"/>
                <w:szCs w:val="16"/>
              </w:rPr>
              <w:t xml:space="preserve"> </w:t>
            </w:r>
            <w:r w:rsidRPr="006F3104">
              <w:rPr>
                <w:b/>
                <w:bCs/>
                <w:sz w:val="16"/>
                <w:szCs w:val="16"/>
              </w:rPr>
              <w:t>Low</w:t>
            </w:r>
          </w:p>
        </w:tc>
        <w:tc>
          <w:tcPr>
            <w:tcW w:w="3031" w:type="dxa"/>
            <w:vAlign w:val="center"/>
            <w:hideMark/>
          </w:tcPr>
          <w:p w14:paraId="7ADD7AF6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Index &lt; 65 or YoY &lt; –10%</w:t>
            </w:r>
          </w:p>
        </w:tc>
        <w:tc>
          <w:tcPr>
            <w:tcW w:w="3570" w:type="dxa"/>
            <w:vAlign w:val="center"/>
            <w:hideMark/>
          </w:tcPr>
          <w:p w14:paraId="1DC3350B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Severe consumer pessimism, spending pullback risk</w:t>
            </w:r>
          </w:p>
        </w:tc>
        <w:tc>
          <w:tcPr>
            <w:tcW w:w="1215" w:type="dxa"/>
            <w:vAlign w:val="center"/>
            <w:hideMark/>
          </w:tcPr>
          <w:p w14:paraId="64D69C45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–2</w:t>
            </w:r>
          </w:p>
        </w:tc>
      </w:tr>
      <w:tr w:rsidR="006F3104" w:rsidRPr="006F3104" w14:paraId="191971C6" w14:textId="77777777" w:rsidTr="0044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1840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rFonts w:ascii="Segoe UI Emoji" w:hAnsi="Segoe UI Emoji" w:cs="Segoe UI Emoji"/>
                <w:sz w:val="16"/>
                <w:szCs w:val="16"/>
              </w:rPr>
              <w:t>🟠</w:t>
            </w:r>
            <w:r w:rsidRPr="006F3104">
              <w:rPr>
                <w:sz w:val="16"/>
                <w:szCs w:val="16"/>
              </w:rPr>
              <w:t xml:space="preserve"> </w:t>
            </w:r>
            <w:r w:rsidRPr="006F3104">
              <w:rPr>
                <w:b/>
                <w:bCs/>
                <w:sz w:val="16"/>
                <w:szCs w:val="16"/>
              </w:rPr>
              <w:t>Moderate</w:t>
            </w:r>
          </w:p>
        </w:tc>
        <w:tc>
          <w:tcPr>
            <w:tcW w:w="3031" w:type="dxa"/>
            <w:vAlign w:val="center"/>
            <w:hideMark/>
          </w:tcPr>
          <w:p w14:paraId="43EF4CD4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Index 65–85 or YoY –10% to 0%</w:t>
            </w:r>
          </w:p>
        </w:tc>
        <w:tc>
          <w:tcPr>
            <w:tcW w:w="3570" w:type="dxa"/>
            <w:vAlign w:val="center"/>
            <w:hideMark/>
          </w:tcPr>
          <w:p w14:paraId="4E634B57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Cautious sentiment, possible headwinds</w:t>
            </w:r>
          </w:p>
        </w:tc>
        <w:tc>
          <w:tcPr>
            <w:tcW w:w="1215" w:type="dxa"/>
            <w:vAlign w:val="center"/>
            <w:hideMark/>
          </w:tcPr>
          <w:p w14:paraId="524E18C7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–1</w:t>
            </w:r>
          </w:p>
        </w:tc>
      </w:tr>
      <w:tr w:rsidR="006F3104" w:rsidRPr="006F3104" w14:paraId="6B5D60AC" w14:textId="77777777" w:rsidTr="0044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667E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rFonts w:ascii="Segoe UI Emoji" w:hAnsi="Segoe UI Emoji" w:cs="Segoe UI Emoji"/>
                <w:sz w:val="16"/>
                <w:szCs w:val="16"/>
              </w:rPr>
              <w:t>⚪</w:t>
            </w:r>
            <w:r w:rsidRPr="006F3104">
              <w:rPr>
                <w:sz w:val="16"/>
                <w:szCs w:val="16"/>
              </w:rPr>
              <w:t xml:space="preserve"> </w:t>
            </w:r>
            <w:r w:rsidRPr="006F3104">
              <w:rPr>
                <w:b/>
                <w:bCs/>
                <w:sz w:val="16"/>
                <w:szCs w:val="16"/>
              </w:rPr>
              <w:t>Neutral</w:t>
            </w:r>
          </w:p>
        </w:tc>
        <w:tc>
          <w:tcPr>
            <w:tcW w:w="3031" w:type="dxa"/>
            <w:vAlign w:val="center"/>
            <w:hideMark/>
          </w:tcPr>
          <w:p w14:paraId="0F1E8DAC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Index 85–100 or YoY 0%–5%</w:t>
            </w:r>
          </w:p>
        </w:tc>
        <w:tc>
          <w:tcPr>
            <w:tcW w:w="3570" w:type="dxa"/>
            <w:vAlign w:val="center"/>
            <w:hideMark/>
          </w:tcPr>
          <w:p w14:paraId="222DC52C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Stable sentiment, normal consumption outlook</w:t>
            </w:r>
          </w:p>
        </w:tc>
        <w:tc>
          <w:tcPr>
            <w:tcW w:w="1215" w:type="dxa"/>
            <w:vAlign w:val="center"/>
            <w:hideMark/>
          </w:tcPr>
          <w:p w14:paraId="50F1E7FB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0</w:t>
            </w:r>
          </w:p>
        </w:tc>
      </w:tr>
      <w:tr w:rsidR="006F3104" w:rsidRPr="006F3104" w14:paraId="53F5D222" w14:textId="77777777" w:rsidTr="0044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942D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rFonts w:ascii="Segoe UI Emoji" w:hAnsi="Segoe UI Emoji" w:cs="Segoe UI Emoji"/>
                <w:sz w:val="16"/>
                <w:szCs w:val="16"/>
              </w:rPr>
              <w:t>🟢</w:t>
            </w:r>
            <w:r w:rsidRPr="006F3104">
              <w:rPr>
                <w:sz w:val="16"/>
                <w:szCs w:val="16"/>
              </w:rPr>
              <w:t xml:space="preserve"> </w:t>
            </w:r>
            <w:r w:rsidRPr="006F3104">
              <w:rPr>
                <w:b/>
                <w:bCs/>
                <w:sz w:val="16"/>
                <w:szCs w:val="16"/>
              </w:rPr>
              <w:t>Strong</w:t>
            </w:r>
          </w:p>
        </w:tc>
        <w:tc>
          <w:tcPr>
            <w:tcW w:w="3031" w:type="dxa"/>
            <w:vAlign w:val="center"/>
            <w:hideMark/>
          </w:tcPr>
          <w:p w14:paraId="130B7F8E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Index 100–110 or YoY 5%–10%</w:t>
            </w:r>
          </w:p>
        </w:tc>
        <w:tc>
          <w:tcPr>
            <w:tcW w:w="3570" w:type="dxa"/>
            <w:vAlign w:val="center"/>
            <w:hideMark/>
          </w:tcPr>
          <w:p w14:paraId="3B293225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Confident consumers, modest boost to demand</w:t>
            </w:r>
          </w:p>
        </w:tc>
        <w:tc>
          <w:tcPr>
            <w:tcW w:w="1215" w:type="dxa"/>
            <w:vAlign w:val="center"/>
            <w:hideMark/>
          </w:tcPr>
          <w:p w14:paraId="36757AD3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+1</w:t>
            </w:r>
          </w:p>
        </w:tc>
      </w:tr>
      <w:tr w:rsidR="006F3104" w:rsidRPr="006F3104" w14:paraId="10FF9C1D" w14:textId="77777777" w:rsidTr="0044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4842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rFonts w:ascii="Segoe UI Emoji" w:hAnsi="Segoe UI Emoji" w:cs="Segoe UI Emoji"/>
                <w:sz w:val="16"/>
                <w:szCs w:val="16"/>
              </w:rPr>
              <w:t>🟢</w:t>
            </w:r>
            <w:r w:rsidRPr="006F3104">
              <w:rPr>
                <w:sz w:val="16"/>
                <w:szCs w:val="16"/>
              </w:rPr>
              <w:t xml:space="preserve"> </w:t>
            </w:r>
            <w:r w:rsidRPr="006F3104">
              <w:rPr>
                <w:b/>
                <w:bCs/>
                <w:sz w:val="16"/>
                <w:szCs w:val="16"/>
              </w:rPr>
              <w:t>Very High</w:t>
            </w:r>
          </w:p>
        </w:tc>
        <w:tc>
          <w:tcPr>
            <w:tcW w:w="3031" w:type="dxa"/>
            <w:vAlign w:val="center"/>
            <w:hideMark/>
          </w:tcPr>
          <w:p w14:paraId="325FC0A7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Index &gt; 110 or YoY &gt; 10%</w:t>
            </w:r>
          </w:p>
        </w:tc>
        <w:tc>
          <w:tcPr>
            <w:tcW w:w="3570" w:type="dxa"/>
            <w:vAlign w:val="center"/>
            <w:hideMark/>
          </w:tcPr>
          <w:p w14:paraId="1E6E94BF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Optimistic consumers, strong demand tailwind</w:t>
            </w:r>
          </w:p>
        </w:tc>
        <w:tc>
          <w:tcPr>
            <w:tcW w:w="1215" w:type="dxa"/>
            <w:vAlign w:val="center"/>
            <w:hideMark/>
          </w:tcPr>
          <w:p w14:paraId="134D2135" w14:textId="77777777" w:rsidR="006F3104" w:rsidRPr="006F3104" w:rsidRDefault="006F3104" w:rsidP="006F3104">
            <w:pPr>
              <w:rPr>
                <w:sz w:val="16"/>
                <w:szCs w:val="16"/>
              </w:rPr>
            </w:pPr>
            <w:r w:rsidRPr="006F3104">
              <w:rPr>
                <w:sz w:val="16"/>
                <w:szCs w:val="16"/>
              </w:rPr>
              <w:t>+2</w:t>
            </w:r>
          </w:p>
        </w:tc>
      </w:tr>
    </w:tbl>
    <w:p w14:paraId="53188B47" w14:textId="77777777" w:rsidR="00C1747A" w:rsidRDefault="00C1747A"/>
    <w:sectPr w:rsidR="00C1747A" w:rsidSect="00443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04"/>
    <w:rsid w:val="003A5A7F"/>
    <w:rsid w:val="00431A6E"/>
    <w:rsid w:val="00443462"/>
    <w:rsid w:val="006F3104"/>
    <w:rsid w:val="00C1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78E8"/>
  <w15:chartTrackingRefBased/>
  <w15:docId w15:val="{BB78840D-494D-46A3-A86A-A3B8FD59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maietta</dc:creator>
  <cp:keywords/>
  <dc:description/>
  <cp:lastModifiedBy>jonathan maietta</cp:lastModifiedBy>
  <cp:revision>2</cp:revision>
  <dcterms:created xsi:type="dcterms:W3CDTF">2025-04-22T19:15:00Z</dcterms:created>
  <dcterms:modified xsi:type="dcterms:W3CDTF">2025-04-22T19:16:00Z</dcterms:modified>
</cp:coreProperties>
</file>