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</w:t>
      </w:r>
      <w:r>
        <w:t xml:space="preserve"> </w:t>
      </w:r>
      <w:r>
        <w:t xml:space="preserve">Curiosity</w:t>
      </w:r>
    </w:p>
    <w:p>
      <w:pPr>
        <w:pStyle w:val="FirstParagraph"/>
      </w:pPr>
      <w:r>
        <w:t xml:space="preserve">Curiosity has a mixed reputation. We praise it in children and scientists,</w:t>
      </w:r>
      <w:r>
        <w:t xml:space="preserve"> </w:t>
      </w:r>
      <w:r>
        <w:t xml:space="preserve">and we warn against it in nearly every old story we tell. The cat it killed</w:t>
      </w:r>
      <w:r>
        <w:t xml:space="preserve"> </w:t>
      </w:r>
      <w:r>
        <w:t xml:space="preserve">is proverbial. Behind the warnings and the praise is one urge, the wish to</w:t>
      </w:r>
      <w:r>
        <w:t xml:space="preserve"> </w:t>
      </w:r>
      <w:r>
        <w:t xml:space="preserve">know what we don’t yet know. What changes is where we point it, and what we</w:t>
      </w:r>
      <w:r>
        <w:t xml:space="preserve"> </w:t>
      </w:r>
      <w:r>
        <w:t xml:space="preserve">expect it to give us.</w:t>
      </w:r>
    </w:p>
    <w:p>
      <w:pPr>
        <w:pStyle w:val="BodyText"/>
      </w:pPr>
      <w:r>
        <w:t xml:space="preserve">The fairy tales remember the warning. In the Grimms’</w:t>
      </w:r>
      <w:r>
        <w:t xml:space="preserve"> </w:t>
      </w:r>
      <w:r>
        <w:t xml:space="preserve">“</w:t>
      </w:r>
      <w:r>
        <w:t xml:space="preserve">Our Lady’s Child,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poor woodcutter’s daughter is raised in heaven. At fourteen she is given the</w:t>
      </w:r>
      <w:r>
        <w:t xml:space="preserve"> </w:t>
      </w:r>
      <w:r>
        <w:t xml:space="preserve">keys to its thirteen doors and told she may open twelve. She opens them one a</w:t>
      </w:r>
      <w:r>
        <w:t xml:space="preserve"> </w:t>
      </w:r>
      <w:r>
        <w:t xml:space="preserve">day, and behind each sits an Apostle in a great light. Then:</w:t>
      </w:r>
    </w:p>
    <w:p>
      <w:pPr>
        <w:pStyle w:val="BlockText"/>
      </w:pPr>
      <w:r>
        <w:t xml:space="preserve">Then the forbidden door alone remained, and she felt a great desire to know</w:t>
      </w:r>
      <w:r>
        <w:t xml:space="preserve"> </w:t>
      </w:r>
      <w:r>
        <w:t xml:space="preserve">what could be hidden behind it, and said to the angels,</w:t>
      </w:r>
      <w:r>
        <w:t xml:space="preserve"> </w:t>
      </w:r>
      <w:r>
        <w:t xml:space="preserve">“</w:t>
      </w:r>
      <w:r>
        <w:t xml:space="preserve">I will not quite</w:t>
      </w:r>
      <w:r>
        <w:t xml:space="preserve"> </w:t>
      </w:r>
      <w:r>
        <w:t xml:space="preserve">open it, and I will not go inside it, but I will unlock it so that we can</w:t>
      </w:r>
      <w:r>
        <w:t xml:space="preserve"> </w:t>
      </w:r>
      <w:r>
        <w:t xml:space="preserve">just see a little through the opening.</w:t>
      </w:r>
      <w:r>
        <w:t xml:space="preserve">”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(</w:t>
      </w:r>
      <w:hyperlink w:anchor="ref-grimm2012complete">
        <w:r>
          <w:rPr>
            <w:rStyle w:val="Hyperlink"/>
          </w:rPr>
          <w:t xml:space="preserve">Grimm 2012, chap. 3</w:t>
        </w:r>
      </w:hyperlink>
      <w:r>
        <w:t xml:space="preserve">)</w:t>
      </w:r>
    </w:p>
    <w:p>
      <w:pPr>
        <w:pStyle w:val="FirstParagraph"/>
      </w:pPr>
      <w:r>
        <w:t xml:space="preserve">What makes the scene true is the bargaining. She doesn’t want to go in. She</w:t>
      </w:r>
      <w:r>
        <w:t xml:space="preserve"> </w:t>
      </w:r>
      <w:r>
        <w:t xml:space="preserve">only wants to look, and only a little. Twelve rooms full of glory haven’t</w:t>
      </w:r>
      <w:r>
        <w:t xml:space="preserve"> </w:t>
      </w:r>
      <w:r>
        <w:t xml:space="preserve">satisfied her, because the thirteenth is the only one she hasn’t seen. The</w:t>
      </w:r>
      <w:r>
        <w:t xml:space="preserve"> </w:t>
      </w:r>
      <w:r>
        <w:t xml:space="preserve">story treats this as a moral test, and she fails it. But it also describes</w:t>
      </w:r>
      <w:r>
        <w:t xml:space="preserve"> </w:t>
      </w:r>
      <w:r>
        <w:t xml:space="preserve">something we all recognise: curiosity is drawn most strongly by whatever is</w:t>
      </w:r>
      <w:r>
        <w:t xml:space="preserve"> </w:t>
      </w:r>
      <w:r>
        <w:t xml:space="preserve">withheld, and the excuse it offers is always that this one look will be the</w:t>
      </w:r>
      <w:r>
        <w:t xml:space="preserve"> </w:t>
      </w:r>
      <w:r>
        <w:t xml:space="preserve">last.</w:t>
      </w:r>
    </w:p>
    <w:p>
      <w:pPr>
        <w:pStyle w:val="BodyText"/>
      </w:pPr>
      <w:r>
        <w:t xml:space="preserve">Thich Nhat Hanh, writing about love and loneliness, starts from the same</w:t>
      </w:r>
      <w:r>
        <w:t xml:space="preserve"> </w:t>
      </w:r>
      <w:r>
        <w:t xml:space="preserve">urge but finds something gentler at its root:</w:t>
      </w:r>
    </w:p>
    <w:p>
      <w:pPr>
        <w:pStyle w:val="BlockText"/>
      </w:pPr>
      <w:r>
        <w:t xml:space="preserve">EACH OF US HAS A DEEP DESIRE TO know and understand the world and to be</w:t>
      </w:r>
      <w:r>
        <w:t xml:space="preserve"> </w:t>
      </w:r>
      <w:r>
        <w:t xml:space="preserve">known and understood in return. That is a deep natural thirst. But often</w:t>
      </w:r>
      <w:r>
        <w:t xml:space="preserve"> </w:t>
      </w:r>
      <w:r>
        <w:t xml:space="preserve">this thirst causes us to wait for something outside of ourselves.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(</w:t>
      </w:r>
      <w:hyperlink w:anchor="ref-hanh2007fidelity">
        <w:r>
          <w:rPr>
            <w:rStyle w:val="Hyperlink"/>
          </w:rPr>
          <w:t xml:space="preserve">Hanh 2007, chap. 4</w:t>
        </w:r>
      </w:hyperlink>
      <w:r>
        <w:t xml:space="preserve">)</w:t>
      </w:r>
    </w:p>
    <w:p>
      <w:pPr>
        <w:pStyle w:val="FirstParagraph"/>
      </w:pPr>
      <w:r>
        <w:t xml:space="preserve">Two things stand out. The first is that the desire runs both ways: to know is</w:t>
      </w:r>
      <w:r>
        <w:t xml:space="preserve"> </w:t>
      </w:r>
      <w:r>
        <w:t xml:space="preserve">bound up with being known. Curiosity is not only how we take in the world. It</w:t>
      </w:r>
      <w:r>
        <w:t xml:space="preserve"> </w:t>
      </w:r>
      <w:r>
        <w:t xml:space="preserve">is part of how we reach toward other people. The second is the warning in the</w:t>
      </w:r>
      <w:r>
        <w:t xml:space="preserve"> </w:t>
      </w:r>
      <w:r>
        <w:t xml:space="preserve">last sentence, which is close to the Grimms’ warning but not the same. The</w:t>
      </w:r>
      <w:r>
        <w:t xml:space="preserve"> </w:t>
      </w:r>
      <w:r>
        <w:t xml:space="preserve">danger isn’t that we’ll open the wrong door. It’s that we’ll wait at doors,</w:t>
      </w:r>
      <w:r>
        <w:t xml:space="preserve"> </w:t>
      </w:r>
      <w:r>
        <w:t xml:space="preserve">expecting something outside us to satisfy a thirst it can’t. Hanh’s own</w:t>
      </w:r>
      <w:r>
        <w:t xml:space="preserve"> </w:t>
      </w:r>
      <w:r>
        <w:t xml:space="preserve">examples are the phone and the inbox: checking, again, in case there is</w:t>
      </w:r>
      <w:r>
        <w:t xml:space="preserve"> </w:t>
      </w:r>
      <w:r>
        <w:t xml:space="preserve">something new.</w:t>
      </w:r>
    </w:p>
    <w:p>
      <w:pPr>
        <w:pStyle w:val="BodyText"/>
      </w:pPr>
      <w:r>
        <w:t xml:space="preserve">So curiosity can be a temptation and it can be a distraction. Can it also be</w:t>
      </w:r>
      <w:r>
        <w:t xml:space="preserve"> </w:t>
      </w:r>
      <w:r>
        <w:t xml:space="preserve">a discipline? Diana Montalion, writing about how people learn to think in</w:t>
      </w:r>
      <w:r>
        <w:t xml:space="preserve"> </w:t>
      </w:r>
      <w:r>
        <w:t xml:space="preserve">systems, takes Einstein’s line as a description of her colleagues:</w:t>
      </w:r>
    </w:p>
    <w:p>
      <w:pPr>
        <w:pStyle w:val="BlockText"/>
      </w:pPr>
      <w:r>
        <w:t xml:space="preserve">“</w:t>
      </w:r>
      <w:r>
        <w:t xml:space="preserve">I am only passionately curious.</w:t>
      </w:r>
      <w:r>
        <w:t xml:space="preserve">”</w:t>
      </w:r>
      <w:r>
        <w:t xml:space="preserve"> </w:t>
      </w:r>
      <w:r>
        <w:t xml:space="preserve">This describes many of the people I’ve</w:t>
      </w:r>
      <w:r>
        <w:t xml:space="preserve"> </w:t>
      </w:r>
      <w:r>
        <w:t xml:space="preserve">worked with in tech. We are curious about different things, but generally</w:t>
      </w:r>
      <w:r>
        <w:t xml:space="preserve"> </w:t>
      </w:r>
      <w:r>
        <w:t xml:space="preserve">speaking, the industry attracts curious people.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(</w:t>
      </w:r>
      <w:hyperlink w:anchor="ref-montalion2024learning">
        <w:r>
          <w:rPr>
            <w:rStyle w:val="Hyperlink"/>
          </w:rPr>
          <w:t xml:space="preserve">Montalion 2024, 211</w:t>
        </w:r>
      </w:hyperlink>
      <w:r>
        <w:t xml:space="preserve">)</w:t>
      </w:r>
    </w:p>
    <w:p>
      <w:pPr>
        <w:pStyle w:val="FirstParagraph"/>
      </w:pPr>
      <w:r>
        <w:t xml:space="preserve">Here curiosity isn’t a moral danger or a hunger to be redirected. It’s what</w:t>
      </w:r>
      <w:r>
        <w:t xml:space="preserve"> </w:t>
      </w:r>
      <w:r>
        <w:t xml:space="preserve">people do for a living. The curious are drawn to work that rewards asking how</w:t>
      </w:r>
      <w:r>
        <w:t xml:space="preserve"> </w:t>
      </w:r>
      <w:r>
        <w:t xml:space="preserve">things fit together. Montalion’s point, in the pages that follow, is that</w:t>
      </w:r>
      <w:r>
        <w:t xml:space="preserve"> </w:t>
      </w:r>
      <w:r>
        <w:t xml:space="preserve">this disposition has to be practised, and it can be educated out of us. We</w:t>
      </w:r>
      <w:r>
        <w:t xml:space="preserve"> </w:t>
      </w:r>
      <w:r>
        <w:t xml:space="preserve">learn that passing the test matters more than understanding the subject, and</w:t>
      </w:r>
      <w:r>
        <w:t xml:space="preserve"> </w:t>
      </w:r>
      <w:r>
        <w:t xml:space="preserve">the habit of asking fades.</w:t>
      </w:r>
    </w:p>
    <w:p>
      <w:pPr>
        <w:pStyle w:val="BodyText"/>
      </w:pPr>
      <w:r>
        <w:t xml:space="preserve">Put the three passages side by side and a single picture appears. The girl at</w:t>
      </w:r>
      <w:r>
        <w:t xml:space="preserve"> </w:t>
      </w:r>
      <w:r>
        <w:t xml:space="preserve">the thirteenth door, the person refreshing a screen, and the engineer</w:t>
      </w:r>
      <w:r>
        <w:t xml:space="preserve"> </w:t>
      </w:r>
      <w:r>
        <w:t xml:space="preserve">following a question down to its cause share the same urge. What separates</w:t>
      </w:r>
      <w:r>
        <w:t xml:space="preserve"> </w:t>
      </w:r>
      <w:r>
        <w:t xml:space="preserve">them is whether curiosity is aimed at what is forbidden, at what is merely</w:t>
      </w:r>
      <w:r>
        <w:t xml:space="preserve"> </w:t>
      </w:r>
      <w:r>
        <w:t xml:space="preserve">new, or at understanding. The first two are both kinds of waiting, for the</w:t>
      </w:r>
      <w:r>
        <w:t xml:space="preserve"> </w:t>
      </w:r>
      <w:r>
        <w:t xml:space="preserve">door to open or the message to arrive. The third is a kind of work.</w:t>
      </w:r>
    </w:p>
    <w:p>
      <w:pPr>
        <w:pStyle w:val="BodyText"/>
      </w:pPr>
      <w:r>
        <w:t xml:space="preserve">That suggests a modest answer to the old warnings. Curiosity is not</w:t>
      </w:r>
      <w:r>
        <w:t xml:space="preserve"> </w:t>
      </w:r>
      <w:r>
        <w:t xml:space="preserve">dangerous because it wants to know. It becomes dangerous, or merely empty,</w:t>
      </w:r>
      <w:r>
        <w:t xml:space="preserve"> </w:t>
      </w:r>
      <w:r>
        <w:t xml:space="preserve">when it wants a glimpse instead of an understanding. The cure is not to</w:t>
      </w:r>
      <w:r>
        <w:t xml:space="preserve"> </w:t>
      </w:r>
      <w:r>
        <w:t xml:space="preserve">suppress it, but to give it something worth knowing, and the patience to stay</w:t>
      </w:r>
      <w:r>
        <w:t xml:space="preserve"> </w:t>
      </w:r>
      <w:r>
        <w:t xml:space="preserve">with it once the door is open.</w:t>
      </w:r>
    </w:p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Start w:id="23" w:name="ref-grimm2012complete"/>
    <w:p>
      <w:pPr>
        <w:pStyle w:val="Bibliography"/>
      </w:pPr>
      <w:r>
        <w:t xml:space="preserve">Grimm, Brothers. 2012.</w:t>
      </w:r>
      <w:r>
        <w:t xml:space="preserve"> </w:t>
      </w:r>
      <w:r>
        <w:rPr>
          <w:iCs/>
          <w:i/>
        </w:rPr>
        <w:t xml:space="preserve">The Complete Brothers Grimm’s Fairy Tales</w:t>
      </w:r>
      <w:r>
        <w:t xml:space="preserve">. Vook, Inc.</w:t>
      </w:r>
    </w:p>
    <w:bookmarkEnd w:id="23"/>
    <w:bookmarkStart w:id="24" w:name="ref-hanh2007fidelity"/>
    <w:p>
      <w:pPr>
        <w:pStyle w:val="Bibliography"/>
      </w:pPr>
      <w:r>
        <w:t xml:space="preserve">Hanh, Thich Nhat. 2007.</w:t>
      </w:r>
      <w:r>
        <w:t xml:space="preserve"> </w:t>
      </w:r>
      <w:r>
        <w:rPr>
          <w:iCs/>
          <w:i/>
        </w:rPr>
        <w:t xml:space="preserve">Fidelity</w:t>
      </w:r>
      <w:r>
        <w:t xml:space="preserve">. Parallax Press.</w:t>
      </w:r>
    </w:p>
    <w:bookmarkEnd w:id="24"/>
    <w:bookmarkStart w:id="25" w:name="ref-montalion2024learning"/>
    <w:p>
      <w:pPr>
        <w:pStyle w:val="Bibliography"/>
      </w:pPr>
      <w:r>
        <w:t xml:space="preserve">Montalion, Diana. 2024.</w:t>
      </w:r>
      <w:r>
        <w:t xml:space="preserve"> </w:t>
      </w:r>
      <w:r>
        <w:rPr>
          <w:iCs/>
          <w:i/>
        </w:rPr>
        <w:t xml:space="preserve">Learning Systems Thinking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Jacob and Wilhelm Grimm,</w:t>
      </w:r>
      <w:r>
        <w:t xml:space="preserve"> </w:t>
      </w:r>
      <w:r>
        <w:t xml:space="preserve">“</w:t>
      </w:r>
      <w:r>
        <w:t xml:space="preserve">Our Lady’s Child</w:t>
      </w:r>
      <w:r>
        <w:t xml:space="preserve">”</w:t>
      </w:r>
      <w:r>
        <w:t xml:space="preserve"> </w:t>
      </w:r>
      <w:r>
        <w:t xml:space="preserve">(tale 3), in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Complete Brothers Grimm’s Fairy Tales</w:t>
      </w:r>
      <w:r>
        <w:t xml:space="preserve"> </w:t>
      </w:r>
      <w:r>
        <w:t xml:space="preserve">(Vook, 2012). EPUB: cited by</w:t>
      </w:r>
      <w:r>
        <w:t xml:space="preserve"> </w:t>
      </w:r>
      <w:r>
        <w:t xml:space="preserve">chapter.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Thich Nhat Hanh,</w:t>
      </w:r>
      <w:r>
        <w:t xml:space="preserve"> </w:t>
      </w:r>
      <w:r>
        <w:rPr>
          <w:iCs/>
          <w:i/>
        </w:rPr>
        <w:t xml:space="preserve">Fidelity</w:t>
      </w:r>
      <w:r>
        <w:t xml:space="preserve"> </w:t>
      </w:r>
      <w:r>
        <w:t xml:space="preserve">(Parallax Press, 2007), chap. 4,</w:t>
      </w:r>
      <w:r>
        <w:t xml:space="preserve"> </w:t>
      </w:r>
      <w:r>
        <w:t xml:space="preserve">“</w:t>
      </w:r>
      <w:r>
        <w:t xml:space="preserve">Transforming Loneliness and Suffering.</w:t>
      </w:r>
      <w:r>
        <w:t xml:space="preserve">”</w:t>
      </w:r>
      <w:r>
        <w:t xml:space="preserve"> </w:t>
      </w:r>
      <w:r>
        <w:t xml:space="preserve">The capitals are the book’s: the chapter’s opening words are</w:t>
      </w:r>
      <w:r>
        <w:t xml:space="preserve"> </w:t>
      </w:r>
      <w:r>
        <w:t xml:space="preserve">set in small capitals. EPUB: cited by chapter.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Diana Montalion,</w:t>
      </w:r>
      <w:r>
        <w:t xml:space="preserve"> </w:t>
      </w:r>
      <w:r>
        <w:rPr>
          <w:iCs/>
          <w:i/>
        </w:rPr>
        <w:t xml:space="preserve">Learning Systems Thinking</w:t>
      </w:r>
      <w:r>
        <w:t xml:space="preserve"> </w:t>
      </w:r>
      <w:r>
        <w:t xml:space="preserve">(2024), chap. 11,</w:t>
      </w:r>
      <w:r>
        <w:t xml:space="preserve"> </w:t>
      </w:r>
      <w:r>
        <w:t xml:space="preserve">“</w:t>
      </w:r>
      <w:r>
        <w:t xml:space="preserve">Systems Leadership,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Learning Leadership.</w:t>
      </w:r>
      <w:r>
        <w:t xml:space="preserve">”</w:t>
      </w:r>
      <w:r>
        <w:t xml:space="preserve"> </w:t>
      </w:r>
      <w:r>
        <w:t xml:space="preserve">The opening line is</w:t>
      </w:r>
      <w:r>
        <w:t xml:space="preserve"> </w:t>
      </w:r>
      <w:r>
        <w:t xml:space="preserve">Einstein’s, quoted by Montalion.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Curiosity</dc:title>
  <dc:creator/>
  <dc:language>en</dc:language>
  <cp:keywords/>
  <dcterms:created xsi:type="dcterms:W3CDTF">2026-10-27T09:40:59Z</dcterms:created>
  <dcterms:modified xsi:type="dcterms:W3CDTF">2026-10-27T09:40:59Z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orpus-project">
    <vt:lpwstr>on-curiosity</vt:lpwstr>
  </property>
  <property fmtid="{D5CDD505-2E9C-101B-9397-08002B2CF9AE}" pid="4" name="link-citations">
    <vt:lpwstr>True</vt:lpwstr>
  </property>
</Properties>
</file>