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480"/>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Literature 101 Assignment</w:t>
      </w:r>
    </w:p>
    <w:p>
      <w:pPr>
        <w:spacing w:before="0" w:after="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 1: Graphic Organizer</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your favorite book, movie, video game, or television show to break down. Be sure your answers are in complete sentences and that you use excellent grammar, spelling, and syntax. Keep in mind, some responses may be only one sentence while others could be a paragraph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it all depends on what you're analyzing.</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you choose to analyze a book, it should not be the same independent reading book you have chosen from the list provided by your instructor for this module. You will analyze that book in later assignments.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Ind w:w="607" w:type="dxa"/>
      </w:tblPr>
      <w:tblGrid>
        <w:gridCol w:w="2175"/>
        <w:gridCol w:w="6640"/>
      </w:tblGrid>
      <w:tr>
        <w:trPr>
          <w:trHeight w:val="847" w:hRule="auto"/>
          <w:jc w:val="left"/>
        </w:trPr>
        <w:tc>
          <w:tcPr>
            <w:tcW w:w="2175" w:type="dxa"/>
            <w:tcBorders>
              <w:top w:val="single" w:color="000000" w:sz="4"/>
              <w:left w:val="single" w:color="000000" w:sz="4"/>
              <w:bottom w:val="single" w:color="000000" w:sz="4"/>
              <w:right w:val="single" w:color="000000" w:sz="4"/>
            </w:tcBorders>
            <w:shd w:color="auto" w:fill="538135"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FFFFFF"/>
                <w:spacing w:val="0"/>
                <w:position w:val="0"/>
                <w:sz w:val="24"/>
                <w:shd w:fill="auto" w:val="clear"/>
              </w:rPr>
              <w:t xml:space="preserve">What did you choose to analyze?</w:t>
            </w:r>
          </w:p>
        </w:tc>
        <w:tc>
          <w:tcPr>
            <w:tcW w:w="6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Little Red Riding Hood</w:t>
            </w:r>
          </w:p>
        </w:tc>
      </w:tr>
      <w:tr>
        <w:trPr>
          <w:trHeight w:val="847" w:hRule="auto"/>
          <w:jc w:val="left"/>
        </w:trPr>
        <w:tc>
          <w:tcPr>
            <w:tcW w:w="2175" w:type="dxa"/>
            <w:tcBorders>
              <w:top w:val="single" w:color="000000" w:sz="4"/>
              <w:left w:val="single" w:color="000000" w:sz="4"/>
              <w:bottom w:val="single" w:color="000000" w:sz="4"/>
              <w:right w:val="single" w:color="000000" w:sz="4"/>
            </w:tcBorders>
            <w:shd w:color="auto" w:fill="538135"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FFFFFF"/>
                <w:spacing w:val="0"/>
                <w:position w:val="0"/>
                <w:sz w:val="24"/>
                <w:shd w:fill="auto" w:val="clear"/>
              </w:rPr>
              <w:t xml:space="preserve">Setting</w:t>
            </w:r>
          </w:p>
        </w:tc>
        <w:tc>
          <w:tcPr>
            <w:tcW w:w="6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dense, mysterious forest is portrayed vividly, with its trees almost anthropomorphized, listening in on the events. The cozy grandmother's cottage contrasts with the dark, winding path, making the journey feel both adventurous and dangerous.</w:t>
            </w:r>
          </w:p>
        </w:tc>
      </w:tr>
      <w:tr>
        <w:trPr>
          <w:trHeight w:val="847" w:hRule="auto"/>
          <w:jc w:val="left"/>
        </w:trPr>
        <w:tc>
          <w:tcPr>
            <w:tcW w:w="2175" w:type="dxa"/>
            <w:tcBorders>
              <w:top w:val="single" w:color="000000" w:sz="4"/>
              <w:left w:val="single" w:color="000000" w:sz="4"/>
              <w:bottom w:val="single" w:color="000000" w:sz="4"/>
              <w:right w:val="single" w:color="000000" w:sz="4"/>
            </w:tcBorders>
            <w:shd w:color="auto" w:fill="538135"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FFFFFF"/>
                <w:spacing w:val="0"/>
                <w:position w:val="0"/>
                <w:sz w:val="24"/>
                <w:shd w:fill="auto" w:val="clear"/>
              </w:rPr>
              <w:t xml:space="preserve">Plot</w:t>
            </w:r>
          </w:p>
        </w:tc>
        <w:tc>
          <w:tcPr>
            <w:tcW w:w="6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story follows Little Red Riding Hood’s journey to her grandmother’s house. Along the way, she encounters a cunning wolf who tricks her and arrives at her grandmother’s first. The iconic exchange about the wolf's physical features heightens the suspense. The ending varies by version, with either a woodsman rescuing Red or her outsmarting the wolf herself.</w:t>
            </w:r>
          </w:p>
        </w:tc>
      </w:tr>
      <w:tr>
        <w:trPr>
          <w:trHeight w:val="847" w:hRule="auto"/>
          <w:jc w:val="left"/>
        </w:trPr>
        <w:tc>
          <w:tcPr>
            <w:tcW w:w="2175" w:type="dxa"/>
            <w:tcBorders>
              <w:top w:val="single" w:color="000000" w:sz="4"/>
              <w:left w:val="single" w:color="000000" w:sz="4"/>
              <w:bottom w:val="single" w:color="000000" w:sz="4"/>
              <w:right w:val="single" w:color="000000" w:sz="4"/>
            </w:tcBorders>
            <w:shd w:color="auto" w:fill="538135"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FFFFFF"/>
                <w:spacing w:val="0"/>
                <w:position w:val="0"/>
                <w:sz w:val="24"/>
                <w:shd w:fill="auto" w:val="clear"/>
              </w:rPr>
              <w:t xml:space="preserve">Characterization</w:t>
            </w:r>
          </w:p>
        </w:tc>
        <w:tc>
          <w:tcPr>
            <w:tcW w:w="6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Little Red is depicted as brave and trusting, with her innocence contrasting sharply against the wolf's sly, deceptive nature. The wolf embodies a cunning antagonist, while the woodsman, in versions where he appears, serves as a classic hero.</w:t>
            </w:r>
          </w:p>
        </w:tc>
      </w:tr>
      <w:tr>
        <w:trPr>
          <w:trHeight w:val="847" w:hRule="auto"/>
          <w:jc w:val="left"/>
        </w:trPr>
        <w:tc>
          <w:tcPr>
            <w:tcW w:w="2175" w:type="dxa"/>
            <w:tcBorders>
              <w:top w:val="single" w:color="000000" w:sz="4"/>
              <w:left w:val="single" w:color="000000" w:sz="4"/>
              <w:bottom w:val="single" w:color="000000" w:sz="4"/>
              <w:right w:val="single" w:color="000000" w:sz="4"/>
            </w:tcBorders>
            <w:shd w:color="auto" w:fill="538135"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FFFFFF"/>
                <w:spacing w:val="0"/>
                <w:position w:val="0"/>
                <w:sz w:val="24"/>
                <w:shd w:fill="auto" w:val="clear"/>
              </w:rPr>
              <w:t xml:space="preserve">Conflict</w:t>
            </w:r>
          </w:p>
        </w:tc>
        <w:tc>
          <w:tcPr>
            <w:tcW w:w="6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central conflict revolves around survival, with Little Red facing the wolf’s dangerous deception. This clash between innocence and cunning raises themes of trust and self-reliance.</w:t>
            </w:r>
          </w:p>
        </w:tc>
      </w:tr>
      <w:tr>
        <w:trPr>
          <w:trHeight w:val="847" w:hRule="auto"/>
          <w:jc w:val="left"/>
        </w:trPr>
        <w:tc>
          <w:tcPr>
            <w:tcW w:w="2175" w:type="dxa"/>
            <w:tcBorders>
              <w:top w:val="single" w:color="000000" w:sz="4"/>
              <w:left w:val="single" w:color="000000" w:sz="4"/>
              <w:bottom w:val="single" w:color="000000" w:sz="4"/>
              <w:right w:val="single" w:color="000000" w:sz="4"/>
            </w:tcBorders>
            <w:shd w:color="auto" w:fill="538135"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FFFFFF"/>
                <w:spacing w:val="0"/>
                <w:position w:val="0"/>
                <w:sz w:val="24"/>
                <w:shd w:fill="auto" w:val="clear"/>
              </w:rPr>
              <w:t xml:space="preserve">Point of View</w:t>
            </w:r>
          </w:p>
        </w:tc>
        <w:tc>
          <w:tcPr>
            <w:tcW w:w="6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third-person omniscient viewpoint allows readers insight into both Red’s innocence and the wolf’s plotting, adding suspense as readers know the wolf's intentions before Red does.</w:t>
            </w:r>
          </w:p>
        </w:tc>
      </w:tr>
      <w:tr>
        <w:trPr>
          <w:trHeight w:val="847" w:hRule="auto"/>
          <w:jc w:val="left"/>
        </w:trPr>
        <w:tc>
          <w:tcPr>
            <w:tcW w:w="2175" w:type="dxa"/>
            <w:tcBorders>
              <w:top w:val="single" w:color="000000" w:sz="4"/>
              <w:left w:val="single" w:color="000000" w:sz="4"/>
              <w:bottom w:val="single" w:color="000000" w:sz="4"/>
              <w:right w:val="single" w:color="000000" w:sz="4"/>
            </w:tcBorders>
            <w:shd w:color="auto" w:fill="538135"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FFFFFF"/>
                <w:spacing w:val="0"/>
                <w:position w:val="0"/>
                <w:sz w:val="24"/>
                <w:shd w:fill="auto" w:val="clear"/>
              </w:rPr>
              <w:t xml:space="preserve">Theme</w:t>
            </w:r>
          </w:p>
        </w:tc>
        <w:tc>
          <w:tcPr>
            <w:tcW w:w="6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Caution and awareness of surroundings are core themes, with the story serving as a cautionary tale about the dangers of trusting strangers. Bravery and family devotion are additional themes, as Little Red’s journey centers on her commitment to her grandmother.</w:t>
            </w:r>
          </w:p>
        </w:tc>
      </w:tr>
      <w:tr>
        <w:trPr>
          <w:trHeight w:val="847" w:hRule="auto"/>
          <w:jc w:val="left"/>
        </w:trPr>
        <w:tc>
          <w:tcPr>
            <w:tcW w:w="2175" w:type="dxa"/>
            <w:tcBorders>
              <w:top w:val="single" w:color="000000" w:sz="4"/>
              <w:left w:val="single" w:color="000000" w:sz="4"/>
              <w:bottom w:val="single" w:color="000000" w:sz="4"/>
              <w:right w:val="single" w:color="000000" w:sz="4"/>
            </w:tcBorders>
            <w:shd w:color="auto" w:fill="538135"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FFFFFF"/>
                <w:spacing w:val="0"/>
                <w:position w:val="0"/>
                <w:sz w:val="24"/>
                <w:shd w:fill="auto" w:val="clear"/>
              </w:rPr>
              <w:t xml:space="preserve">Tone</w:t>
            </w:r>
          </w:p>
        </w:tc>
        <w:tc>
          <w:tcPr>
            <w:tcW w:w="6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tone is described as darkly playful, combining a sense of adventure with underlying tension. When the wolf appears, the tone shifts to suspenseful, adding a sense of danger to the narrative.</w:t>
            </w:r>
          </w:p>
        </w:tc>
      </w:tr>
      <w:tr>
        <w:trPr>
          <w:trHeight w:val="847" w:hRule="auto"/>
          <w:jc w:val="left"/>
        </w:trPr>
        <w:tc>
          <w:tcPr>
            <w:tcW w:w="2175" w:type="dxa"/>
            <w:tcBorders>
              <w:top w:val="single" w:color="000000" w:sz="4"/>
              <w:left w:val="single" w:color="000000" w:sz="4"/>
              <w:bottom w:val="single" w:color="000000" w:sz="4"/>
              <w:right w:val="single" w:color="000000" w:sz="4"/>
            </w:tcBorders>
            <w:shd w:color="auto" w:fill="538135"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FFFFFF"/>
                <w:spacing w:val="0"/>
                <w:position w:val="0"/>
                <w:sz w:val="24"/>
                <w:shd w:fill="auto" w:val="clear"/>
              </w:rPr>
              <w:t xml:space="preserve">Mood</w:t>
            </w:r>
          </w:p>
        </w:tc>
        <w:tc>
          <w:tcPr>
            <w:tcW w:w="6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mood is suspenseful with hints of innocence, creating a charming yet eerie atmosphere. The scenes in the forest carry a haunting quality, making the journey from safety to danger feel intense, while ending on a note of relief in most versions.</w:t>
            </w:r>
          </w:p>
        </w:tc>
      </w:tr>
    </w:tbl>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 2: Moving Forward</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module, you will read one novel that you choose from a list provided by your instructor. As you work through each lesson, you will read a portion of the novel you picked. </w:t>
      </w:r>
    </w:p>
    <w:p>
      <w:pPr>
        <w:spacing w:before="0" w:after="0" w:line="240"/>
        <w:ind w:right="0" w:left="720" w:hanging="72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pace you read at will depend on the narrative you select. Your instructor will provide you with guidelines on your reading pace. Reach out to your instructor for your independent reading options. They will also be able to give you guidance on where to find your selected short story or novel.</w:t>
      </w:r>
    </w:p>
    <w:p>
      <w:pPr>
        <w:spacing w:before="0" w:after="0" w:line="240"/>
        <w:ind w:right="0" w:left="720" w:hanging="72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box provided, identify the text you have chosen to read.</w:t>
      </w:r>
    </w:p>
    <w:p>
      <w:pPr>
        <w:spacing w:before="0" w:after="0" w:line="240"/>
        <w:ind w:right="0" w:left="720" w:hanging="720"/>
        <w:jc w:val="left"/>
        <w:rPr>
          <w:rFonts w:ascii="Times New Roman" w:hAnsi="Times New Roman" w:cs="Times New Roman" w:eastAsia="Times New Roman"/>
          <w:color w:val="auto"/>
          <w:spacing w:val="0"/>
          <w:position w:val="0"/>
          <w:sz w:val="24"/>
          <w:shd w:fill="auto" w:val="clear"/>
        </w:rPr>
      </w:pPr>
    </w:p>
    <w:tbl>
      <w:tblPr>
        <w:tblInd w:w="720" w:type="dxa"/>
      </w:tblPr>
      <w:tblGrid>
        <w:gridCol w:w="8630"/>
      </w:tblGrid>
      <w:tr>
        <w:trPr>
          <w:trHeight w:val="1052" w:hRule="auto"/>
          <w:jc w:val="left"/>
        </w:trPr>
        <w:tc>
          <w:tcPr>
            <w:tcW w:w="8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Old Man and the Sea </w:t>
            </w:r>
          </w:p>
        </w:tc>
      </w:tr>
    </w:tbl>
    <w:p>
      <w:pPr>
        <w:keepNext w:val="true"/>
        <w:keepLines w:val="true"/>
        <w:spacing w:before="240" w:after="0" w:line="480"/>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Literature 101 Rubric</w:t>
      </w:r>
    </w:p>
    <w:tbl>
      <w:tblPr/>
      <w:tblGrid>
        <w:gridCol w:w="1345"/>
        <w:gridCol w:w="2668"/>
        <w:gridCol w:w="2668"/>
        <w:gridCol w:w="2669"/>
      </w:tblGrid>
      <w:tr>
        <w:trPr>
          <w:trHeight w:val="521" w:hRule="auto"/>
          <w:jc w:val="left"/>
        </w:trPr>
        <w:tc>
          <w:tcPr>
            <w:tcW w:w="1345" w:type="dxa"/>
            <w:tcBorders>
              <w:top w:val="single" w:color="000000" w:sz="4"/>
              <w:left w:val="single" w:color="000000" w:sz="4"/>
              <w:bottom w:val="single" w:color="000000" w:sz="4"/>
              <w:right w:val="single" w:color="000000" w:sz="4"/>
            </w:tcBorders>
            <w:shd w:color="auto" w:fill="f4b08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68" w:type="dxa"/>
            <w:tcBorders>
              <w:top w:val="single" w:color="000000" w:sz="4"/>
              <w:left w:val="single" w:color="000000" w:sz="4"/>
              <w:bottom w:val="single" w:color="000000" w:sz="4"/>
              <w:right w:val="single" w:color="000000" w:sz="4"/>
            </w:tcBorders>
            <w:shd w:color="auto" w:fill="f4b083"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On Target</w:t>
            </w:r>
          </w:p>
        </w:tc>
        <w:tc>
          <w:tcPr>
            <w:tcW w:w="2668" w:type="dxa"/>
            <w:tcBorders>
              <w:top w:val="single" w:color="000000" w:sz="4"/>
              <w:left w:val="single" w:color="000000" w:sz="4"/>
              <w:bottom w:val="single" w:color="000000" w:sz="4"/>
              <w:right w:val="single" w:color="000000" w:sz="4"/>
            </w:tcBorders>
            <w:shd w:color="auto" w:fill="f4b083"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Almost There</w:t>
            </w:r>
          </w:p>
        </w:tc>
        <w:tc>
          <w:tcPr>
            <w:tcW w:w="2669" w:type="dxa"/>
            <w:tcBorders>
              <w:top w:val="single" w:color="000000" w:sz="4"/>
              <w:left w:val="single" w:color="000000" w:sz="4"/>
              <w:bottom w:val="single" w:color="000000" w:sz="4"/>
              <w:right w:val="single" w:color="000000" w:sz="4"/>
            </w:tcBorders>
            <w:shd w:color="auto" w:fill="f4b083"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Needs Improvement</w:t>
            </w:r>
          </w:p>
        </w:tc>
      </w:tr>
      <w:tr>
        <w:trPr>
          <w:trHeight w:val="2123" w:hRule="auto"/>
          <w:jc w:val="left"/>
        </w:trPr>
        <w:tc>
          <w:tcPr>
            <w:tcW w:w="1345" w:type="dxa"/>
            <w:tcBorders>
              <w:top w:val="single" w:color="000000" w:sz="4"/>
              <w:left w:val="single" w:color="000000" w:sz="4"/>
              <w:bottom w:val="single" w:color="000000" w:sz="4"/>
              <w:right w:val="single" w:color="000000" w:sz="4"/>
            </w:tcBorders>
            <w:shd w:color="auto" w:fill="f4b083"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Graphic Organizer</w:t>
            </w:r>
          </w:p>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(30 points)</w:t>
            </w:r>
          </w:p>
        </w:tc>
        <w:tc>
          <w:tcPr>
            <w:tcW w:w="2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30-23 points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3"/>
              </w:numPr>
              <w:spacing w:before="0" w:after="0" w:line="240"/>
              <w:ind w:right="0" w:left="25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chart entries are filled out accurately.</w:t>
            </w:r>
          </w:p>
          <w:p>
            <w:pPr>
              <w:numPr>
                <w:ilvl w:val="0"/>
                <w:numId w:val="53"/>
              </w:numPr>
              <w:spacing w:before="0" w:after="0" w:line="240"/>
              <w:ind w:right="0" w:left="250" w:hanging="20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Entries provide thoroughly detailed responses.</w:t>
            </w:r>
          </w:p>
        </w:tc>
        <w:tc>
          <w:tcPr>
            <w:tcW w:w="2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22-16 points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5"/>
              </w:numPr>
              <w:spacing w:before="0" w:after="0" w:line="240"/>
              <w:ind w:right="0" w:left="25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Most chart entries are filled out accurately.</w:t>
            </w:r>
          </w:p>
          <w:p>
            <w:pPr>
              <w:numPr>
                <w:ilvl w:val="0"/>
                <w:numId w:val="55"/>
              </w:numPr>
              <w:spacing w:before="0" w:after="0" w:line="240"/>
              <w:ind w:right="0" w:left="190" w:hanging="17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Entries provide responses with basic information but lack detail.</w:t>
            </w:r>
          </w:p>
        </w:tc>
        <w:tc>
          <w:tcPr>
            <w:tcW w:w="2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15-0 points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8"/>
              </w:numPr>
              <w:spacing w:before="0" w:after="0" w:line="240"/>
              <w:ind w:right="0" w:left="25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Few or no chart entries are filled out accurately.</w:t>
            </w:r>
          </w:p>
          <w:p>
            <w:pPr>
              <w:numPr>
                <w:ilvl w:val="0"/>
                <w:numId w:val="58"/>
              </w:numPr>
              <w:spacing w:before="0" w:after="0" w:line="240"/>
              <w:ind w:right="0" w:left="230" w:hanging="23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Entries are cursory or incomplete.</w:t>
            </w:r>
          </w:p>
        </w:tc>
      </w:tr>
      <w:tr>
        <w:trPr>
          <w:trHeight w:val="1" w:hRule="atLeast"/>
          <w:jc w:val="left"/>
        </w:trPr>
        <w:tc>
          <w:tcPr>
            <w:tcW w:w="1345" w:type="dxa"/>
            <w:tcBorders>
              <w:top w:val="single" w:color="000000" w:sz="4"/>
              <w:left w:val="single" w:color="000000" w:sz="4"/>
              <w:bottom w:val="single" w:color="000000" w:sz="4"/>
              <w:right w:val="single" w:color="000000" w:sz="4"/>
            </w:tcBorders>
            <w:shd w:color="auto" w:fill="f4b083"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Content</w:t>
            </w:r>
          </w:p>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(15 points)</w:t>
            </w:r>
          </w:p>
        </w:tc>
        <w:tc>
          <w:tcPr>
            <w:tcW w:w="2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3"/>
              </w:numPr>
              <w:spacing w:before="0" w:after="0" w:line="240"/>
              <w:ind w:right="0" w:left="560" w:hanging="5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points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65"/>
              </w:numPr>
              <w:spacing w:before="120" w:after="120" w:line="240"/>
              <w:ind w:right="0" w:left="245" w:hanging="20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chart entries are complete sentences.</w:t>
            </w:r>
          </w:p>
          <w:p>
            <w:pPr>
              <w:numPr>
                <w:ilvl w:val="0"/>
                <w:numId w:val="65"/>
              </w:numPr>
              <w:spacing w:before="120" w:after="120" w:line="240"/>
              <w:ind w:right="0" w:left="245" w:hanging="202"/>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Standard grammar, punctuation, and sentence structure rules are followed with minimal errors.</w:t>
            </w:r>
          </w:p>
        </w:tc>
        <w:tc>
          <w:tcPr>
            <w:tcW w:w="2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5"/>
              </w:numPr>
              <w:spacing w:before="0" w:after="0" w:line="240"/>
              <w:ind w:right="0" w:left="440" w:hanging="4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points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68"/>
              </w:numPr>
              <w:spacing w:before="120" w:after="120" w:line="240"/>
              <w:ind w:right="0" w:left="245" w:hanging="20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Most chart entries are complete sentences.</w:t>
            </w:r>
          </w:p>
          <w:p>
            <w:pPr>
              <w:numPr>
                <w:ilvl w:val="0"/>
                <w:numId w:val="68"/>
              </w:numPr>
              <w:spacing w:before="120" w:after="120" w:line="240"/>
              <w:ind w:right="0" w:left="245" w:hanging="202"/>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Standard grammar, punctuation, and sentence structure rules are followed with some errors that do not impede readability.</w:t>
            </w:r>
          </w:p>
        </w:tc>
        <w:tc>
          <w:tcPr>
            <w:tcW w:w="2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8"/>
              </w:numPr>
              <w:spacing w:before="0"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71"/>
              </w:numPr>
              <w:spacing w:before="120" w:after="120" w:line="240"/>
              <w:ind w:right="0" w:left="245" w:hanging="20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Few or no chart entries are complete sentences.</w:t>
            </w:r>
          </w:p>
          <w:p>
            <w:pPr>
              <w:numPr>
                <w:ilvl w:val="0"/>
                <w:numId w:val="71"/>
              </w:numPr>
              <w:spacing w:before="120" w:after="120" w:line="240"/>
              <w:ind w:right="0" w:left="245" w:hanging="202"/>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Standard grammar, punctuation, and sentence structure rules are not followed, and this affects readability.</w:t>
            </w:r>
          </w:p>
        </w:tc>
      </w:tr>
      <w:tr>
        <w:trPr>
          <w:trHeight w:val="1" w:hRule="atLeast"/>
          <w:jc w:val="left"/>
        </w:trPr>
        <w:tc>
          <w:tcPr>
            <w:tcW w:w="1345" w:type="dxa"/>
            <w:tcBorders>
              <w:top w:val="single" w:color="000000" w:sz="4"/>
              <w:left w:val="single" w:color="000000" w:sz="4"/>
              <w:bottom w:val="single" w:color="000000" w:sz="4"/>
              <w:right w:val="single" w:color="000000" w:sz="4"/>
            </w:tcBorders>
            <w:shd w:color="auto" w:fill="f4b083"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Selected Text</w:t>
            </w:r>
          </w:p>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(5 points)</w:t>
            </w:r>
          </w:p>
        </w:tc>
        <w:tc>
          <w:tcPr>
            <w:tcW w:w="2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points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76"/>
              </w:numPr>
              <w:spacing w:before="0" w:after="0" w:line="240"/>
              <w:ind w:right="0" w:left="256" w:hanging="194"/>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 text from the list in the course is identified.</w:t>
            </w:r>
          </w:p>
        </w:tc>
        <w:tc>
          <w:tcPr>
            <w:tcW w:w="2668"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0 points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78"/>
              </w:numPr>
              <w:spacing w:before="0" w:after="0" w:line="240"/>
              <w:ind w:right="0" w:left="227" w:hanging="223"/>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 text is not identified or it is not from the course list.</w:t>
            </w:r>
          </w:p>
        </w:tc>
      </w:tr>
    </w:tbl>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53">
    <w:abstractNumId w:val="48"/>
  </w:num>
  <w:num w:numId="55">
    <w:abstractNumId w:val="42"/>
  </w:num>
  <w:num w:numId="58">
    <w:abstractNumId w:val="36"/>
  </w:num>
  <w:num w:numId="63">
    <w:abstractNumId w:val="30"/>
  </w:num>
  <w:num w:numId="65">
    <w:abstractNumId w:val="24"/>
  </w:num>
  <w:num w:numId="68">
    <w:abstractNumId w:val="18"/>
  </w:num>
  <w:num w:numId="71">
    <w:abstractNumId w:val="12"/>
  </w:num>
  <w:num w:numId="76">
    <w:abstractNumId w:val="6"/>
  </w:num>
  <w:num w:numId="7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