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Literature 101 Assignment</w:t>
      </w: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Graphic Organizer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your favorite book, movie, video game, or television show to break down. Be sure your answers are in complete sentences and that you use excellent grammar, spelling, and syntax. Keep in mind, some responses may be only one sentence while others could be a paragraph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all depends on what you're analyzing.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choose to analyze a book, it should not be the same independent reading book you have chosen from the list provided by your instructor for this module. You will analyze that book in later assignments.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175"/>
        <w:gridCol w:w="6640"/>
      </w:tblGrid>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What did you choose to analyze?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Little Red Riding Hood</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Setting</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dense, mysterious forest is portrayed vividly, with its trees almost anthropomorphized, listening in on the events. The cozy grandmother's cottage contrasts with the dark, winding path, making the journey feel both adventurous and dangerous.</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Plot</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follows Little Red Riding Hood’s journey to her grandmother’s house. Along the way, she encounters a cunning wolf who tricks her and arrives at her grandmother’s first. The iconic exchange about the wolf's physical features heightens the suspense. The ending varies by version, with either a woodsman rescuing Red or her outsmarting the wolf herself.</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Characterization</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Little Red is depicted as brave and trusting, with her innocence contrasting sharply against the wolf's sly, deceptive nature. The wolf embodies a cunning antagonist, while the woodsman, in versions where he appears, serves as a classic hero.</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Conflict</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central conflict revolves around survival, with Little Red facing the wolf’s dangerous deception. This clash between innocence and cunning raises themes of trust and self-reliance.</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Point of View</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third-person omniscient viewpoint allows readers insight into both Red’s innocence and the wolf’s plotting, adding suspense as readers know the wolf's intentions before Red does.</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Theme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Caution and awareness of surroundings are core themes, with the story serving as a cautionary tale about the dangers of trusting strangers. Bravery and family devotion are additional themes, as Little Red’s journey centers on her commitment to her grandmother.</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Tone</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tone is described as darkly playful, combining a sense of adventure with underlying tension. When the wolf appears, the tone shifts to suspenseful, adding a sense of danger to the narrative.</w:t>
            </w:r>
          </w:p>
        </w:tc>
      </w:tr>
      <w:tr>
        <w:trPr>
          <w:trHeight w:val="847" w:hRule="auto"/>
          <w:jc w:val="left"/>
        </w:trPr>
        <w:tc>
          <w:tcPr>
            <w:tcW w:w="2175" w:type="dxa"/>
            <w:tcBorders>
              <w:top w:val="single" w:color="000000" w:sz="4"/>
              <w:left w:val="single" w:color="000000" w:sz="4"/>
              <w:bottom w:val="single" w:color="000000" w:sz="4"/>
              <w:right w:val="single" w:color="000000" w:sz="4"/>
            </w:tcBorders>
            <w:shd w:color="auto" w:fill="538135"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FFFFFF"/>
                <w:spacing w:val="0"/>
                <w:position w:val="0"/>
                <w:sz w:val="24"/>
                <w:shd w:fill="auto" w:val="clear"/>
              </w:rPr>
              <w:t xml:space="preserve">Mood</w:t>
            </w:r>
          </w:p>
        </w:tc>
        <w:tc>
          <w:tcPr>
            <w:tcW w:w="6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mood is suspenseful with hints of innocence, creating a charming yet eerie atmosphere. The scenes in the forest carry a haunting quality, making the journey from safety to danger feel intense, while ending on a note of relief in most versions.</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Moving Forward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module, you will read one novel that you choose from a list provided by your instructor. As you work through each lesson, you will read a portion of the novel you picked. </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pace you read at will depend on the narrative you select. Your instructor will provide you with guidelines on your reading pace. Reach out to your instructor for your independent reading options. They will also be able to give you guidance on where to find your selected short story or novel.</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box provided, identify the text you have chosen to read.</w:t>
      </w:r>
    </w:p>
    <w:p>
      <w:pPr>
        <w:spacing w:before="0" w:after="0" w:line="240"/>
        <w:ind w:right="0" w:left="720" w:hanging="720"/>
        <w:jc w:val="left"/>
        <w:rPr>
          <w:rFonts w:ascii="Times New Roman" w:hAnsi="Times New Roman" w:cs="Times New Roman" w:eastAsia="Times New Roman"/>
          <w:color w:val="auto"/>
          <w:spacing w:val="0"/>
          <w:position w:val="0"/>
          <w:sz w:val="24"/>
          <w:shd w:fill="auto" w:val="clear"/>
        </w:rPr>
      </w:pPr>
    </w:p>
    <w:tbl>
      <w:tblPr>
        <w:tblInd w:w="720" w:type="dxa"/>
      </w:tblPr>
      <w:tblGrid>
        <w:gridCol w:w="8630"/>
      </w:tblGrid>
      <w:tr>
        <w:trPr>
          <w:trHeight w:val="1052" w:hRule="auto"/>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Literature 101 Rubric</w:t>
      </w:r>
    </w:p>
    <w:tbl>
      <w:tblPr/>
      <w:tblGrid>
        <w:gridCol w:w="1345"/>
        <w:gridCol w:w="2668"/>
        <w:gridCol w:w="2668"/>
        <w:gridCol w:w="2669"/>
      </w:tblGrid>
      <w:tr>
        <w:trPr>
          <w:trHeight w:val="521" w:hRule="auto"/>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6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On Target</w:t>
            </w:r>
          </w:p>
        </w:tc>
        <w:tc>
          <w:tcPr>
            <w:tcW w:w="266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Almost There</w:t>
            </w:r>
          </w:p>
        </w:tc>
        <w:tc>
          <w:tcPr>
            <w:tcW w:w="2669"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Needs Improvement</w:t>
            </w:r>
          </w:p>
        </w:tc>
      </w:tr>
      <w:tr>
        <w:trPr>
          <w:trHeight w:val="2123" w:hRule="auto"/>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Graphic Organizer</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(30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30-23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chart entries are filled out accurately.</w:t>
            </w:r>
          </w:p>
          <w:p>
            <w:pPr>
              <w:numPr>
                <w:ilvl w:val="0"/>
                <w:numId w:val="53"/>
              </w:numPr>
              <w:spacing w:before="0" w:after="0" w:line="240"/>
              <w:ind w:right="0" w:left="250" w:hanging="20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Entries provide thoroughly detailed responses.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22-16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5"/>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chart entries are filled out accurately.</w:t>
            </w:r>
          </w:p>
          <w:p>
            <w:pPr>
              <w:numPr>
                <w:ilvl w:val="0"/>
                <w:numId w:val="55"/>
              </w:numPr>
              <w:spacing w:before="0" w:after="0" w:line="240"/>
              <w:ind w:right="0" w:left="190" w:hanging="17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Entries provide responses with basic information but lack detail.</w:t>
            </w: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15-0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Few or no chart entries are filled out accurately.</w:t>
            </w:r>
          </w:p>
          <w:p>
            <w:pPr>
              <w:numPr>
                <w:ilvl w:val="0"/>
                <w:numId w:val="58"/>
              </w:numPr>
              <w:spacing w:before="0" w:after="0" w:line="240"/>
              <w:ind w:right="0" w:left="230" w:hanging="23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Entries are cursory or incomplete.</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(15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spacing w:before="0" w:after="0" w:line="240"/>
              <w:ind w:right="0" w:left="560" w:hanging="5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5"/>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chart entries are complete sentences.</w:t>
            </w:r>
          </w:p>
          <w:p>
            <w:pPr>
              <w:numPr>
                <w:ilvl w:val="0"/>
                <w:numId w:val="65"/>
              </w:numPr>
              <w:spacing w:before="120" w:after="120" w:line="240"/>
              <w:ind w:right="0" w:left="245" w:hanging="202"/>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minimal errors.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240"/>
              <w:ind w:right="0" w:left="440" w:hanging="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8"/>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chart entries are complete sentences.</w:t>
            </w:r>
          </w:p>
          <w:p>
            <w:pPr>
              <w:numPr>
                <w:ilvl w:val="0"/>
                <w:numId w:val="68"/>
              </w:numPr>
              <w:spacing w:before="120" w:after="120" w:line="240"/>
              <w:ind w:right="0" w:left="245" w:hanging="202"/>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some errors that do not impede readability.</w:t>
            </w: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1"/>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Few or no chart entries are complete sentences.</w:t>
            </w:r>
          </w:p>
          <w:p>
            <w:pPr>
              <w:numPr>
                <w:ilvl w:val="0"/>
                <w:numId w:val="71"/>
              </w:numPr>
              <w:spacing w:before="120" w:after="120" w:line="240"/>
              <w:ind w:right="0" w:left="245" w:hanging="202"/>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not followed, and this affects readability.</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Selected Text</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 points)</w:t>
            </w:r>
          </w:p>
        </w:tc>
        <w:tc>
          <w:tcPr>
            <w:tcW w:w="2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6"/>
              </w:numPr>
              <w:spacing w:before="0" w:after="0" w:line="240"/>
              <w:ind w:right="0" w:left="256" w:hanging="194"/>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text from the list in the course is identified.</w:t>
            </w:r>
          </w:p>
        </w:tc>
        <w:tc>
          <w:tcPr>
            <w:tcW w:w="266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8"/>
              </w:numPr>
              <w:spacing w:before="0" w:after="0" w:line="240"/>
              <w:ind w:right="0" w:left="227" w:hanging="223"/>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text is not identified or it is not from the course list.</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3">
    <w:abstractNumId w:val="48"/>
  </w:num>
  <w:num w:numId="55">
    <w:abstractNumId w:val="42"/>
  </w:num>
  <w:num w:numId="58">
    <w:abstractNumId w:val="36"/>
  </w:num>
  <w:num w:numId="63">
    <w:abstractNumId w:val="30"/>
  </w:num>
  <w:num w:numId="65">
    <w:abstractNumId w:val="24"/>
  </w:num>
  <w:num w:numId="68">
    <w:abstractNumId w:val="18"/>
  </w:num>
  <w:num w:numId="71">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