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0"/>
          <w:position w:val="0"/>
          <w:sz w:val="40"/>
          <w:shd w:fill="auto" w:val="clear"/>
        </w:rPr>
      </w:pPr>
      <w:r>
        <w:rPr>
          <w:rFonts w:ascii="Calibri Light" w:hAnsi="Calibri Light" w:cs="Calibri Light" w:eastAsia="Calibri Light"/>
          <w:b/>
          <w:color w:val="auto"/>
          <w:spacing w:val="0"/>
          <w:position w:val="0"/>
          <w:sz w:val="40"/>
          <w:shd w:fill="auto" w:val="clear"/>
        </w:rPr>
        <w:t xml:space="preserve">Save, Invest, or Spend</w:t>
      </w:r>
      <w:r>
        <w:rPr>
          <w:rFonts w:ascii="Calibri Light" w:hAnsi="Calibri Light" w:cs="Calibri Light" w:eastAsia="Calibri Light"/>
          <w:b/>
          <w:color w:val="auto"/>
          <w:spacing w:val="0"/>
          <w:position w:val="0"/>
          <w:sz w:val="40"/>
          <w:shd w:fill="auto" w:val="clear"/>
        </w:rPr>
        <w:t xml:space="preserve">—</w:t>
      </w:r>
      <w:r>
        <w:rPr>
          <w:rFonts w:ascii="Calibri Light" w:hAnsi="Calibri Light" w:cs="Calibri Light" w:eastAsia="Calibri Light"/>
          <w:b/>
          <w:color w:val="auto"/>
          <w:spacing w:val="0"/>
          <w:position w:val="0"/>
          <w:sz w:val="40"/>
          <w:shd w:fill="auto" w:val="clear"/>
        </w:rPr>
        <w:t xml:space="preserve">HONORS</w:t>
      </w:r>
    </w:p>
    <w:p>
      <w:pPr>
        <w:spacing w:before="0" w:after="0" w:line="240"/>
        <w:ind w:right="0" w:left="0" w:firstLine="0"/>
        <w:jc w:val="center"/>
        <w:rPr>
          <w:rFonts w:ascii="Calibri Light" w:hAnsi="Calibri Light" w:cs="Calibri Light" w:eastAsia="Calibri Light"/>
          <w:b/>
          <w:color w:val="auto"/>
          <w:spacing w:val="0"/>
          <w:position w:val="0"/>
          <w:sz w:val="22"/>
          <w:shd w:fill="auto" w:val="clear"/>
        </w:rPr>
      </w:pPr>
    </w:p>
    <w:p>
      <w:pPr>
        <w:spacing w:before="0" w:after="0" w:line="240"/>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Investment Data Sheet</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 __________________________________</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 this worksheet for the investment options you research. Remember that you will have to include at least one conservative investment, one moderate investment, and one aggressive investment in your portfolio.</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785"/>
        <w:gridCol w:w="7105"/>
      </w:tblGrid>
      <w:tr>
        <w:trPr>
          <w:trHeight w:val="1" w:hRule="atLeast"/>
          <w:jc w:val="left"/>
        </w:trPr>
        <w:tc>
          <w:tcPr>
            <w:tcW w:w="9890" w:type="dxa"/>
            <w:gridSpan w:val="2"/>
            <w:tcBorders>
              <w:top w:val="single" w:color="000000" w:sz="4"/>
              <w:left w:val="single" w:color="000000" w:sz="4"/>
              <w:bottom w:val="single" w:color="000000" w:sz="4"/>
              <w:right w:val="single" w:color="000000" w:sz="4"/>
            </w:tcBorders>
            <w:shd w:color="auto" w:fill="e7e6e6" w:val="clear"/>
            <w:tcMar>
              <w:left w:w="120" w:type="dxa"/>
              <w:right w:w="12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Conservative Investment</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company or investment</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Vanguard Total Stock Market Index Fund (VTSAX) </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details</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Vanguard is a well-established investment company known for its low-cost index funds.</w:t>
            </w:r>
          </w:p>
        </w:tc>
      </w:tr>
      <w:tr>
        <w:trPr>
          <w:trHeight w:val="290" w:hRule="auto"/>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investment</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IMF</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level</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Low to Moderate</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rate of return</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Historically around 7-10% annually, but can vary.</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required investment (dollar amount)</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$3,000</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you interested in this investment?</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fund provides broad exposure to the U.S. stock market with low fees, making it a solid long-term investment for steady growth.</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785"/>
        <w:gridCol w:w="7105"/>
      </w:tblGrid>
      <w:tr>
        <w:trPr>
          <w:trHeight w:val="1" w:hRule="atLeast"/>
          <w:jc w:val="left"/>
        </w:trPr>
        <w:tc>
          <w:tcPr>
            <w:tcW w:w="9890" w:type="dxa"/>
            <w:gridSpan w:val="2"/>
            <w:tcBorders>
              <w:top w:val="single" w:color="000000" w:sz="4"/>
              <w:left w:val="single" w:color="000000" w:sz="4"/>
              <w:bottom w:val="single" w:color="000000" w:sz="4"/>
              <w:right w:val="single" w:color="000000" w:sz="4"/>
            </w:tcBorders>
            <w:shd w:color="auto" w:fill="e7e6e6" w:val="clear"/>
            <w:tcMar>
              <w:left w:w="120" w:type="dxa"/>
              <w:right w:w="12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Moderate Investment</w:t>
            </w:r>
          </w:p>
        </w:tc>
      </w:tr>
      <w:tr>
        <w:trPr>
          <w:trHeight w:val="510" w:hRule="auto"/>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company or investment</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iShares Core U.S. Aggregate Bond ETF (AGG) </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details</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iShares is a part of BlackRock, a global investment management corporation.</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investment</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BOND</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level</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Moderate</w:t>
            </w:r>
          </w:p>
        </w:tc>
      </w:tr>
      <w:tr>
        <w:trPr>
          <w:trHeight w:val="250" w:hRule="auto"/>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rate of return</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lower than stocks, around 2-5% annually, but provides income and stability.</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required investment (dollar amount)</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Varies depending on the brokerage, but typically low.</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you interested in this investment?</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ETF offers diversification and a steady stream of income, balancing out the potential volatility of stocks in your portfolio.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785"/>
        <w:gridCol w:w="7105"/>
      </w:tblGrid>
      <w:tr>
        <w:trPr>
          <w:trHeight w:val="1" w:hRule="atLeast"/>
          <w:jc w:val="left"/>
        </w:trPr>
        <w:tc>
          <w:tcPr>
            <w:tcW w:w="9890" w:type="dxa"/>
            <w:gridSpan w:val="2"/>
            <w:tcBorders>
              <w:top w:val="single" w:color="000000" w:sz="4"/>
              <w:left w:val="single" w:color="000000" w:sz="4"/>
              <w:bottom w:val="single" w:color="000000" w:sz="4"/>
              <w:right w:val="single" w:color="000000" w:sz="4"/>
            </w:tcBorders>
            <w:shd w:color="auto" w:fill="e7e6e6" w:val="clear"/>
            <w:tcMar>
              <w:left w:w="120" w:type="dxa"/>
              <w:right w:w="12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Aggressive Investment</w:t>
            </w:r>
          </w:p>
        </w:tc>
      </w:tr>
      <w:tr>
        <w:trPr>
          <w:trHeight w:val="520" w:hRule="auto"/>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company or investment</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Tesla Inc. (TSLA)</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details</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Tesla is a leading electric vehicle and clean energy company.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investment: Individual Stock</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investment</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Stock</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level</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rate of return</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Potentially high, but also carries the risk of significant losses.</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required investment (dollar amount)</w:t>
            </w:r>
          </w:p>
        </w:tc>
        <w:tc>
          <w:tcPr>
            <w:tcW w:w="7105"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Price of one share of TSLA, which can fluctuate.</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you interested in this investment?</w:t>
            </w:r>
          </w:p>
        </w:tc>
        <w:tc>
          <w:tcPr>
            <w:tcW w:w="7105" w:type="dxa"/>
            <w:tcBorders>
              <w:top w:val="single" w:color="000000" w:sz="4"/>
              <w:left w:val="single" w:color="000000" w:sz="4"/>
              <w:bottom w:val="single" w:color="000000" w:sz="4"/>
              <w:right w:val="single" w:color="000000" w:sz="4"/>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believe in Tesla's long-term growth potential and are willing to accept higher risk for the possibility of higher returns.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