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B25B0" w14:paraId="2FD7FCD0" w14:textId="77777777" w:rsidTr="009C5E7C">
        <w:tc>
          <w:tcPr>
            <w:tcW w:w="9056" w:type="dxa"/>
          </w:tcPr>
          <w:p w14:paraId="113B6D2C" w14:textId="77777777" w:rsidR="00AB25B0" w:rsidRDefault="00AB25B0" w:rsidP="009C5E7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4"/>
                <w:szCs w:val="24"/>
                <w:bdr w:val="none" w:sz="0" w:space="0" w:color="auto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w:drawing>
                <wp:inline distT="0" distB="0" distL="0" distR="0" wp14:anchorId="34B1B685" wp14:editId="20B3D30D">
                  <wp:extent cx="4866476" cy="50484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00" cy="505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5B0" w14:paraId="0B7079FE" w14:textId="77777777" w:rsidTr="009C5E7C">
        <w:tc>
          <w:tcPr>
            <w:tcW w:w="9056" w:type="dxa"/>
          </w:tcPr>
          <w:p w14:paraId="0C0A8A83" w14:textId="77777777" w:rsidR="00AB25B0" w:rsidRPr="00101E4D" w:rsidRDefault="00AB25B0" w:rsidP="009C5E7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sz w:val="24"/>
                <w:szCs w:val="24"/>
                <w:bdr w:val="none" w:sz="0" w:space="0" w:color="auto"/>
              </w:rPr>
            </w:pPr>
            <w:r w:rsidRPr="000353B1">
              <w:rPr>
                <w:b/>
                <w:sz w:val="20"/>
                <w:szCs w:val="24"/>
                <w:bdr w:val="none" w:sz="0" w:space="0" w:color="auto"/>
              </w:rPr>
              <w:t xml:space="preserve">Figure 4 | </w:t>
            </w:r>
            <w:proofErr w:type="spellStart"/>
            <w:r w:rsidRPr="000353B1">
              <w:rPr>
                <w:b/>
                <w:sz w:val="20"/>
                <w:szCs w:val="24"/>
                <w:bdr w:val="none" w:sz="0" w:space="0" w:color="auto"/>
              </w:rPr>
              <w:t>ontogenic</w:t>
            </w:r>
            <w:proofErr w:type="spellEnd"/>
            <w:r w:rsidRPr="000353B1">
              <w:rPr>
                <w:b/>
                <w:sz w:val="20"/>
                <w:szCs w:val="24"/>
                <w:bdr w:val="none" w:sz="0" w:space="0" w:color="auto"/>
              </w:rPr>
              <w:t xml:space="preserve"> convergence on adult values, changes in wood density through inundation and biomass.</w:t>
            </w:r>
            <w:r w:rsidRPr="000353B1">
              <w:rPr>
                <w:sz w:val="20"/>
                <w:szCs w:val="24"/>
                <w:bdr w:val="none" w:sz="0" w:space="0" w:color="auto"/>
              </w:rPr>
              <w:t xml:space="preserve"> </w:t>
            </w:r>
            <w:r w:rsidRPr="000353B1">
              <w:rPr>
                <w:b/>
                <w:sz w:val="20"/>
                <w:szCs w:val="24"/>
                <w:bdr w:val="none" w:sz="0" w:space="0" w:color="auto"/>
              </w:rPr>
              <w:t xml:space="preserve">(a) </w:t>
            </w:r>
            <w:r w:rsidRPr="000353B1">
              <w:rPr>
                <w:sz w:val="20"/>
                <w:szCs w:val="24"/>
                <w:bdr w:val="none" w:sz="0" w:space="0" w:color="auto"/>
              </w:rPr>
              <w:t>r-squared values for wood density on the three life history stages.</w:t>
            </w:r>
            <w:r w:rsidRPr="000353B1">
              <w:rPr>
                <w:b/>
                <w:sz w:val="20"/>
                <w:szCs w:val="24"/>
                <w:bdr w:val="none" w:sz="0" w:space="0" w:color="auto"/>
              </w:rPr>
              <w:t xml:space="preserve"> (b) </w:t>
            </w:r>
            <w:r w:rsidRPr="000353B1">
              <w:rPr>
                <w:sz w:val="20"/>
                <w:szCs w:val="24"/>
                <w:bdr w:val="none" w:sz="0" w:space="0" w:color="auto"/>
              </w:rPr>
              <w:t xml:space="preserve">the change in wood density predicted by inundation frequency. </w:t>
            </w:r>
            <w:r w:rsidRPr="000353B1">
              <w:rPr>
                <w:b/>
                <w:sz w:val="20"/>
                <w:szCs w:val="24"/>
                <w:bdr w:val="none" w:sz="0" w:space="0" w:color="auto"/>
              </w:rPr>
              <w:t>(c)</w:t>
            </w:r>
            <w:r w:rsidRPr="000353B1">
              <w:rPr>
                <w:sz w:val="20"/>
                <w:szCs w:val="24"/>
                <w:bdr w:val="none" w:sz="0" w:space="0" w:color="auto"/>
              </w:rPr>
              <w:t xml:space="preserve"> quadratic relationship between inundation frequency and the fit between inundated seedlings and adults. </w:t>
            </w:r>
            <w:r w:rsidRPr="000353B1">
              <w:rPr>
                <w:b/>
                <w:sz w:val="20"/>
                <w:szCs w:val="24"/>
                <w:bdr w:val="none" w:sz="0" w:space="0" w:color="auto"/>
              </w:rPr>
              <w:t>(d)</w:t>
            </w:r>
            <w:r w:rsidRPr="000353B1">
              <w:rPr>
                <w:sz w:val="20"/>
                <w:szCs w:val="24"/>
                <w:bdr w:val="none" w:sz="0" w:space="0" w:color="auto"/>
              </w:rPr>
              <w:t xml:space="preserve"> </w:t>
            </w:r>
            <w:proofErr w:type="spellStart"/>
            <w:r w:rsidRPr="000353B1">
              <w:rPr>
                <w:sz w:val="20"/>
                <w:szCs w:val="24"/>
                <w:bdr w:val="none" w:sz="0" w:space="0" w:color="auto"/>
              </w:rPr>
              <w:t>allometic</w:t>
            </w:r>
            <w:proofErr w:type="spellEnd"/>
            <w:r w:rsidRPr="000353B1">
              <w:rPr>
                <w:sz w:val="20"/>
                <w:szCs w:val="24"/>
                <w:bdr w:val="none" w:sz="0" w:space="0" w:color="auto"/>
              </w:rPr>
              <w:t xml:space="preserve"> scaling showing the carbon intake per unit biomass, predicting the change in wood density. Points are partial residuals where. Bootstrapped confidence intervals </w:t>
            </w:r>
            <w:r w:rsidRPr="000353B1">
              <w:rPr>
                <w:b/>
                <w:sz w:val="20"/>
                <w:szCs w:val="24"/>
                <w:bdr w:val="none" w:sz="0" w:space="0" w:color="auto"/>
              </w:rPr>
              <w:t>(b, d)</w:t>
            </w:r>
            <w:r w:rsidRPr="000353B1">
              <w:rPr>
                <w:sz w:val="20"/>
                <w:szCs w:val="24"/>
                <w:bdr w:val="none" w:sz="0" w:space="0" w:color="auto"/>
              </w:rPr>
              <w:t xml:space="preserve">, whereas </w:t>
            </w:r>
            <w:r w:rsidRPr="000353B1">
              <w:rPr>
                <w:b/>
                <w:sz w:val="20"/>
                <w:szCs w:val="24"/>
                <w:bdr w:val="none" w:sz="0" w:space="0" w:color="auto"/>
              </w:rPr>
              <w:t xml:space="preserve">(c) </w:t>
            </w:r>
            <w:r w:rsidRPr="000353B1">
              <w:rPr>
                <w:sz w:val="20"/>
                <w:szCs w:val="24"/>
                <w:bdr w:val="none" w:sz="0" w:space="0" w:color="auto"/>
              </w:rPr>
              <w:t xml:space="preserve">is predicted form the model. </w:t>
            </w:r>
          </w:p>
        </w:tc>
      </w:tr>
    </w:tbl>
    <w:p w14:paraId="7504B3CD" w14:textId="77777777" w:rsidR="00A20BFF" w:rsidRDefault="00A20BFF">
      <w:bookmarkStart w:id="0" w:name="_GoBack"/>
      <w:bookmarkEnd w:id="0"/>
    </w:p>
    <w:sectPr w:rsidR="00A20BFF" w:rsidSect="00622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B0"/>
    <w:rsid w:val="0062229F"/>
    <w:rsid w:val="00A20BFF"/>
    <w:rsid w:val="00A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45028"/>
  <w15:chartTrackingRefBased/>
  <w15:docId w15:val="{BF796AB5-8B22-E148-A5E7-58D10B7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5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B25B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table" w:styleId="TableGrid">
    <w:name w:val="Table Grid"/>
    <w:basedOn w:val="TableNormal"/>
    <w:uiPriority w:val="39"/>
    <w:rsid w:val="00AB25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1</cp:revision>
  <dcterms:created xsi:type="dcterms:W3CDTF">2019-01-28T15:01:00Z</dcterms:created>
  <dcterms:modified xsi:type="dcterms:W3CDTF">2019-01-28T15:01:00Z</dcterms:modified>
</cp:coreProperties>
</file>