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5849" w:rsidRPr="00EC1733" w:rsidRDefault="00975849" w:rsidP="00975849">
      <w:pPr>
        <w:spacing w:after="0" w:line="480" w:lineRule="auto"/>
        <w:jc w:val="both"/>
        <w:rPr>
          <w:rFonts w:cs="Times New Roman"/>
          <w:b/>
          <w:sz w:val="28"/>
          <w:szCs w:val="24"/>
        </w:rPr>
      </w:pPr>
      <w:r w:rsidRPr="00EC1733">
        <w:rPr>
          <w:rFonts w:cs="Times New Roman"/>
          <w:b/>
          <w:sz w:val="28"/>
          <w:szCs w:val="24"/>
        </w:rPr>
        <w:t>2.2 METHODS</w:t>
      </w:r>
    </w:p>
    <w:p w:rsidR="00975849" w:rsidRPr="00EC1733" w:rsidRDefault="00975849" w:rsidP="00975849">
      <w:pPr>
        <w:pStyle w:val="NoSpacing"/>
        <w:spacing w:line="480" w:lineRule="auto"/>
        <w:jc w:val="both"/>
        <w:rPr>
          <w:rFonts w:ascii="Times New Roman" w:hAnsi="Times New Roman" w:cs="Times New Roman"/>
          <w:noProof/>
          <w:sz w:val="24"/>
          <w:szCs w:val="24"/>
          <w:vertAlign w:val="superscript"/>
          <w:lang w:val="en-GB"/>
        </w:rPr>
      </w:pPr>
      <w:r w:rsidRPr="00EC1733">
        <w:rPr>
          <w:rFonts w:ascii="Times New Roman" w:hAnsi="Times New Roman" w:cs="Times New Roman"/>
          <w:b/>
          <w:sz w:val="24"/>
          <w:szCs w:val="24"/>
          <w:lang w:val="en-GB"/>
        </w:rPr>
        <w:t xml:space="preserve">Site. </w:t>
      </w:r>
      <w:r w:rsidRPr="00EC1733">
        <w:rPr>
          <w:rFonts w:ascii="Times New Roman" w:hAnsi="Times New Roman" w:cs="Times New Roman"/>
          <w:sz w:val="24"/>
          <w:szCs w:val="24"/>
          <w:lang w:val="en-GB"/>
        </w:rPr>
        <w:t xml:space="preserve">Sepilok Forest Reserve (SFR) is a </w:t>
      </w:r>
      <w:proofErr w:type="gramStart"/>
      <w:r w:rsidRPr="00EC1733">
        <w:rPr>
          <w:rFonts w:ascii="Times New Roman" w:hAnsi="Times New Roman" w:cs="Times New Roman"/>
          <w:sz w:val="24"/>
          <w:szCs w:val="24"/>
          <w:lang w:val="en-GB"/>
        </w:rPr>
        <w:t>4475 ha</w:t>
      </w:r>
      <w:proofErr w:type="gramEnd"/>
      <w:r w:rsidRPr="00EC1733">
        <w:rPr>
          <w:rFonts w:ascii="Times New Roman" w:hAnsi="Times New Roman" w:cs="Times New Roman"/>
          <w:sz w:val="24"/>
          <w:szCs w:val="24"/>
          <w:lang w:val="en-GB"/>
        </w:rPr>
        <w:t xml:space="preserve"> patch of mostly pristine lowland dipterocarp forest located on the Northeast coast of Borneo in Sabah, Malaysia (5° 10ʹ N, 117° 56ʹ E). The reserve has a highly variable topography, vegetation, flooding frequency and soil characteristics that are partly derived from differential parent materials (Fig. 1a, </w:t>
      </w:r>
      <w:r w:rsidRPr="00EC1733">
        <w:rPr>
          <w:rFonts w:ascii="Times New Roman" w:hAnsi="Times New Roman" w:cs="Times New Roman"/>
          <w:i/>
          <w:sz w:val="24"/>
          <w:szCs w:val="24"/>
          <w:lang w:val="en-GB"/>
        </w:rPr>
        <w:t xml:space="preserve">for a description of SFR, see </w:t>
      </w:r>
      <w:r w:rsidRPr="00EC1733">
        <w:rPr>
          <w:rFonts w:ascii="Times New Roman" w:hAnsi="Times New Roman" w:cs="Times New Roman"/>
          <w:sz w:val="24"/>
          <w:szCs w:val="24"/>
          <w:lang w:val="en-GB"/>
        </w:rPr>
        <w:fldChar w:fldCharType="begin" w:fldLock="1"/>
      </w:r>
      <w:r w:rsidR="00923F1B">
        <w:rPr>
          <w:rFonts w:ascii="Times New Roman" w:hAnsi="Times New Roman" w:cs="Times New Roman"/>
          <w:sz w:val="24"/>
          <w:szCs w:val="24"/>
          <w:lang w:val="en-GB"/>
        </w:rPr>
        <w:instrText>ADDIN CSL_CITATION {"citationItems":[{"id":"ITEM-1","itemData":{"DOI":"10.1890/04-0598","ISSN":"0012-9658","author":[{"dropping-particle":"","family":"Baltzer","given":"J. L.","non-dropping-particle":"","parse-names":false,"suffix":""},{"dropping-particle":"","family":"Thomas","given":"S. C.","non-dropping-particle":"","parse-names":false,"suffix":""},{"dropping-particle":"","family":"Nilus","given":"R.","non-dropping-particle":"","parse-names":false,"suffix":""},{"dropping-particle":"","family":"Burslem","given":"David F R P","non-dropping-particle":"","parse-names":false,"suffix":""}],"container-title":"Ecology","id":"ITEM-1","issue":"11","issued":{"date-parts":[["2005"]]},"note":"Mean photosynthetic nitrogen use effiency was higher in the alluvial specialists. \n\nwater-use efficentices\n\nReich, poorter PNUE","page":"3063-3077","title":"Edaphic specialization in tropical trees: physiological correlates and responses to reciprocal transplantation","type":"article-journal","volume":"86"},"uris":["http://www.mendeley.com/documents/?uuid=533ba2db-3af2-4355-972b-db32b23a1a71"]},{"id":"ITEM-2","itemData":{"DOI":"10.1007/s11104-006-9108-1","ISBN":"1110400691","ISSN":"0032079X","abstract":"The extent to which plant communities are determined by resource availability is a central theme in ecosystem science, but patterns of small-scale variation in resource availability are poorly known. Studies of carbon (C) and nutrient cycling provide insights into factors limiting tree growth and forest productivity. To investigate rates of tropical forest litter production and decomposition in relation to nutrient availability and topography in the absence of confounding large-scale variation in climate and altitude we quantified nutrient fluxes via litterfall and leaf litter decomposition within three distinct floristic associations of tropical rain forest growing along a soil fertility gradient at the Sepilok Forest Reserve (SFR), Sabah, Malaysia. The quantity and nutrient content of small litter decreased along a gradient of soil nutrient availability from alluvial forest (most fertile) through sandstone forest to heath forest (least fertile). Temporal variation in litterfall was greatest in the sandstone forest, where the amount of litter was correlated negatively with rainfall in the previous month. Mass loss and N and P release were fastest from alluvial forest litter, and slowest from heath forest litter. All litter types decomposed most rapidly in the alluvial forest. Stand-level N and P use efficiencies (ratios of litter dry mass to nutrient content) were greatest for the heath forest followed by the sandstone ridge, sandstone valley and alluvial forests, respectively. We conclude that nutrient supply limits productivity most in the heath forest and least in the alluvial forest. Nutrient supply limited productivity in sandstone forest, especially on ridge and hill top sites where nutrient limitation may be exacerbated by reduced rates of litter decomposition during dry periods. The fluxes of N and P varied significantly between the different floristic communities at SFR and these differences may contribute to small-scale variation in species composition.","author":[{"dropping-particle":"","family":"Dent","given":"Daisy H.","non-dropping-particle":"","parse-names":false,"suffix":""},{"dropping-particle":"","family":"Bagchi","given":"R.","non-dropping-particle":"","parse-names":false,"suffix":""},{"dropping-particle":"","family":"Robinson","given":"David","non-dropping-particle":"","parse-names":false,"suffix":""},{"dropping-particle":"","family":"Majalap-Lee","given":"Noreen","non-dropping-particle":"","parse-names":false,"suffix":""},{"dropping-particle":"","family":"Burslem","given":"David F R P","non-dropping-particle":"","parse-names":false,"suffix":""}],"container-title":"Plant and Soil","id":"ITEM-2","issue":"1-2","issued":{"date-parts":[["2006"]]},"page":"197-215","title":"Nutrient fluxes via litterfall and leaf litter decomposition vary across a gradient of soil nutrient supply in a lowland tropical rain forest","type":"article-journal","volume":"288"},"uris":["http://www.mendeley.com/documents/?uuid=db4977db-fb26-4bed-88e6-041d204e4a7d"]},{"id":"ITEM-3","itemData":{"DOI":"10.1007/s11258-006-9123-6","ISBN":"1626008914","ISSN":"13850237","PMID":"15974422","abstract":"This paper discusses the use of the Trans-theoretical Model of Behavior Change in the treatment of sex offenders. Constructs within this theory are the Stages of Change, Processes of Change and Decisional Balance. The first section of this paper provides a brief description of these constructs. The second section provides a brief review of research related to these constructs and discusses the implications of this research in relation to the treatment of sex offenders. The third section of this paper provides a practical description of the use of the constructs of the Trans-theoretical Model of Behaviour Change in the treatment of sex offenders. Although the validity of this model among sex offenders requires further investigation, the Trans-theoretical Model of Behavior Change appears to have considerable utility as an overarching theoretical model to conceptualize and facilitate behavior change among sex offenders.","author":[{"dropping-particle":"","family":"DeWalt","given":"Saara J.","non-dropping-particle":"","parse-names":false,"suffix":""},{"dropping-particle":"","family":"Ickes","given":"Kalan","non-dropping-particle":"","parse-names":false,"suffix":""},{"dropping-particle":"","family":"Nilus","given":"Reuben","non-dropping-particle":"","parse-names":false,"suffix":""},{"dropping-particle":"","family":"Harms","given":"Kyle E.","non-dropping-particle":"","parse-names":false,"suffix":""},{"dropping-particle":"","family":"Burslem","given":"David F R P","non-dropping-particle":"","parse-names":false,"suffix":""}],"container-title":"Plant Ecology","id":"ITEM-3","issue":"2","issued":{"date-parts":[["2006"]]},"page":"203-216","title":"Liana habitat associations and community structure in a Bornean lowland tropical forest","type":"article-journal","volume":"186"},"uris":["http://www.mendeley.com/documents/?uuid=be5e5334-1033-4841-8ddc-ad4aaaefb14d"]},{"id":"ITEM-4","itemData":{"DOI":"10.1111/btp.12189","ISSN":"17447429 00063606","abstract":"? 2015 The Association for Tropical Biology and Conservation.The frequency of extreme precipitation events is predicted to increase in some tropical regions in response to global climate change, but the impacts of this form of disturbance on the structure and dynamics of tropical tree communities across heterogeneous landscapes remain understudied. We determined the effects of an extreme precipitation event (EPE) in July 2006 on mortality of dipterocarps on a 68 ha permanent inventory plot in Sepilok Forest Reserve, Sabah. For stems ?30 cm dbh, 12 of the 15 species of Dipterocarpaceae on this plot have significant positive and/or negative associations to habitats defined by topography and soil type. Short-term mortality induced by the EPE was much greater for individuals growing on the alluvial floodplain (13.7%) than in the mudstone (1.4%) or sandstone (0.0%) habitats, but mortality of dipterocarps did not differ among these habitats in the subsequent 5-yr interval. The likelihood of mortality in response to the EPE was highest for a small group of fast growing dipterocarps that possess low wood density and a strong association to the alluvial forest habitat. This group of species represents a high percentage of dipterocarp individuals but a low proportion of dipterocarp diversity in this habitat. We conclude that disturbance induced by high rainfall events contributes to the episodic nature of tropical forest dynamics, and that increases in the frequency of these events would disproportionately impact low-lying alluvial forest environments and some of the species growing in them.","author":[{"dropping-particle":"","family":"Margrove","given":"J.A.","non-dropping-particle":"","parse-names":false,"suffix":""},{"dropping-particle":"","family":"Burslem","given":"D.F.R.P.","non-dropping-particle":"","parse-names":false,"suffix":""},{"dropping-particle":"","family":"Ghazoul","given":"J.","non-dropping-particle":"","parse-names":false,"suffix":""},{"dropping-particle":"","family":"Khoo","given":"E.","non-dropping-particle":"","parse-names":false,"suffix":""},{"dropping-particle":"","family":"Kettle","given":"C.J.","non-dropping-particle":"","parse-names":false,"suffix":""},{"dropping-particle":"","family":"Maycock","given":"C.R.","non-dropping-particle":"","parse-names":false,"suffix":""}],"container-title":"Biotropica","id":"ITEM-4","issue":"1","issued":{"date-parts":[["2015"]]},"page":"66-76","title":"Impacts of an extreme precipitation event on dipterocarp mortality and habitat filtering in a Bornean tropical rain forest","type":"article-journal","volume":"47"},"uris":["http://www.mendeley.com/documents/?uuid=56c332fe-34ca-3fd7-ae23-291678f463a9"]}],"mendeley":{"formattedCitation":"(Baltzer, Thomas, Nilus, &amp; Burslem, 2005; Dent, Bagchi, Robinson, Majalap-Lee, &amp; Burslem, 2006; DeWalt, Ickes, Nilus, Harms, &amp; Burslem, 2006; Margrove et al., 2015)","plainTextFormattedCitation":"(Baltzer, Thomas, Nilus, &amp; Burslem, 2005; Dent, Bagchi, Robinson, Majalap-Lee, &amp; Burslem, 2006; DeWalt, Ickes, Nilus, Harms, &amp; Burslem, 2006; Margrove et al., 2015)","previouslyFormattedCitation":"(Baltzer &lt;i&gt;et al.&lt;/i&gt;, 2005; Dent &lt;i&gt;et al.&lt;/i&gt;, 2006; DeWalt &lt;i&gt;et al.&lt;/i&gt;, 2006; Margrove &lt;i&gt;et al.&lt;/i&gt;, 2015)"},"properties":{"noteIndex":0},"schema":"https://github.com/citation-style-language/schema/raw/master/csl-citation.json"}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00923F1B" w:rsidRPr="00923F1B">
        <w:rPr>
          <w:rFonts w:ascii="Times New Roman" w:hAnsi="Times New Roman" w:cs="Times New Roman"/>
          <w:noProof/>
          <w:sz w:val="24"/>
          <w:szCs w:val="24"/>
          <w:lang w:val="en-GB"/>
        </w:rPr>
        <w:t>(Baltzer, Thomas, Nilus, &amp; Burslem, 2005; Dent, Bagchi, Robinson, Majalap-Lee, &amp; Burslem, 2006; DeWalt, Ickes, Nilus, Harms, &amp; Burslem, 2006; Margrove et al., 2015)</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xml:space="preserve">). Sepilok Forest Reserve has a mean annual rainfall of 3136 (±921 SD) mm and a mean annual temperature of 27.3°C </w:t>
      </w:r>
      <w:r w:rsidRPr="00EC1733">
        <w:rPr>
          <w:rFonts w:ascii="Times New Roman" w:hAnsi="Times New Roman" w:cs="Times New Roman"/>
          <w:sz w:val="24"/>
          <w:szCs w:val="24"/>
          <w:lang w:val="en-GB"/>
        </w:rPr>
        <w:fldChar w:fldCharType="begin" w:fldLock="1"/>
      </w:r>
      <w:r w:rsidR="00923F1B">
        <w:rPr>
          <w:rFonts w:ascii="Times New Roman" w:hAnsi="Times New Roman" w:cs="Times New Roman"/>
          <w:sz w:val="24"/>
          <w:szCs w:val="24"/>
          <w:lang w:val="en-GB"/>
        </w:rPr>
        <w:instrText>ADDIN CSL_CITATION {"citationItems":[{"id":"ITEM-1","itemData":{"DOI":"10.1111/btp.12189","ISSN":"17447429 00063606","abstract":"? 2015 The Association for Tropical Biology and Conservation.The frequency of extreme precipitation events is predicted to increase in some tropical regions in response to global climate change, but the impacts of this form of disturbance on the structure and dynamics of tropical tree communities across heterogeneous landscapes remain understudied. We determined the effects of an extreme precipitation event (EPE) in July 2006 on mortality of dipterocarps on a 68 ha permanent inventory plot in Sepilok Forest Reserve, Sabah. For stems ?30 cm dbh, 12 of the 15 species of Dipterocarpaceae on this plot have significant positive and/or negative associations to habitats defined by topography and soil type. Short-term mortality induced by the EPE was much greater for individuals growing on the alluvial floodplain (13.7%) than in the mudstone (1.4%) or sandstone (0.0%) habitats, but mortality of dipterocarps did not differ among these habitats in the subsequent 5-yr interval. The likelihood of mortality in response to the EPE was highest for a small group of fast growing dipterocarps that possess low wood density and a strong association to the alluvial forest habitat. This group of species represents a high percentage of dipterocarp individuals but a low proportion of dipterocarp diversity in this habitat. We conclude that disturbance induced by high rainfall events contributes to the episodic nature of tropical forest dynamics, and that increases in the frequency of these events would disproportionately impact low-lying alluvial forest environments and some of the species growing in them.","author":[{"dropping-particle":"","family":"Margrove","given":"J.A.","non-dropping-particle":"","parse-names":false,"suffix":""},{"dropping-particle":"","family":"Burslem","given":"D.F.R.P.","non-dropping-particle":"","parse-names":false,"suffix":""},{"dropping-particle":"","family":"Ghazoul","given":"J.","non-dropping-particle":"","parse-names":false,"suffix":""},{"dropping-particle":"","family":"Khoo","given":"E.","non-dropping-particle":"","parse-names":false,"suffix":""},{"dropping-particle":"","family":"Kettle","given":"C.J.","non-dropping-particle":"","parse-names":false,"suffix":""},{"dropping-particle":"","family":"Maycock","given":"C.R.","non-dropping-particle":"","parse-names":false,"suffix":""}],"container-title":"Biotropica","id":"ITEM-1","issue":"1","issued":{"date-parts":[["2015"]]},"page":"66-76","title":"Impacts of an extreme precipitation event on dipterocarp mortality and habitat filtering in a Bornean tropical rain forest","type":"article-journal","volume":"47"},"uris":["http://www.mendeley.com/documents/?uuid=56c332fe-34ca-3fd7-ae23-291678f463a9"]}],"mendeley":{"formattedCitation":"(Margrove et al., 2015)","plainTextFormattedCitation":"(Margrove et al., 2015)","previouslyFormattedCitation":"(Margrove &lt;i&gt;et al.&lt;/i&gt;, 2015)"},"properties":{"noteIndex":0},"schema":"https://github.com/citation-style-language/schema/raw/master/csl-citation.json"}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Pr="00923F1B">
        <w:rPr>
          <w:rFonts w:ascii="Times New Roman" w:hAnsi="Times New Roman" w:cs="Times New Roman"/>
          <w:noProof/>
          <w:sz w:val="24"/>
          <w:szCs w:val="24"/>
          <w:lang w:val="en-GB"/>
        </w:rPr>
        <w:t>(Margrove et al., 2015)</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xml:space="preserve">.  Sabah's climate is aseasonal </w:t>
      </w:r>
      <w:r w:rsidRPr="00EC1733">
        <w:rPr>
          <w:rFonts w:ascii="Times New Roman" w:hAnsi="Times New Roman" w:cs="Times New Roman"/>
          <w:sz w:val="24"/>
          <w:szCs w:val="24"/>
          <w:lang w:val="en-GB"/>
        </w:rPr>
        <w:fldChar w:fldCharType="begin" w:fldLock="1"/>
      </w:r>
      <w:r w:rsidR="00923F1B">
        <w:rPr>
          <w:rFonts w:ascii="Times New Roman" w:hAnsi="Times New Roman" w:cs="Times New Roman"/>
          <w:sz w:val="24"/>
          <w:szCs w:val="24"/>
          <w:lang w:val="en-GB"/>
        </w:rPr>
        <w:instrText>ADDIN CSL_CITATION {"citationItems":[{"id":"ITEM-1","itemData":{"DOI":"10.1111/btp.12189","ISSN":"17447429 00063606","abstract":"? 2015 The Association for Tropical Biology and Conservation.The frequency of extreme precipitation events is predicted to increase in some tropical regions in response to global climate change, but the impacts of this form of disturbance on the structure and dynamics of tropical tree communities across heterogeneous landscapes remain understudied. We determined the effects of an extreme precipitation event (EPE) in July 2006 on mortality of dipterocarps on a 68 ha permanent inventory plot in Sepilok Forest Reserve, Sabah. For stems ?30 cm dbh, 12 of the 15 species of Dipterocarpaceae on this plot have significant positive and/or negative associations to habitats defined by topography and soil type. Short-term mortality induced by the EPE was much greater for individuals growing on the alluvial floodplain (13.7%) than in the mudstone (1.4%) or sandstone (0.0%) habitats, but mortality of dipterocarps did not differ among these habitats in the subsequent 5-yr interval. The likelihood of mortality in response to the EPE was highest for a small group of fast growing dipterocarps that possess low wood density and a strong association to the alluvial forest habitat. This group of species represents a high percentage of dipterocarp individuals but a low proportion of dipterocarp diversity in this habitat. We conclude that disturbance induced by high rainfall events contributes to the episodic nature of tropical forest dynamics, and that increases in the frequency of these events would disproportionately impact low-lying alluvial forest environments and some of the species growing in them.","author":[{"dropping-particle":"","family":"Margrove","given":"J.A.","non-dropping-particle":"","parse-names":false,"suffix":""},{"dropping-particle":"","family":"Burslem","given":"D.F.R.P.","non-dropping-particle":"","parse-names":false,"suffix":""},{"dropping-particle":"","family":"Ghazoul","given":"J.","non-dropping-particle":"","parse-names":false,"suffix":""},{"dropping-particle":"","family":"Khoo","given":"E.","non-dropping-particle":"","parse-names":false,"suffix":""},{"dropping-particle":"","family":"Kettle","given":"C.J.","non-dropping-particle":"","parse-names":false,"suffix":""},{"dropping-particle":"","family":"Maycock","given":"C.R.","non-dropping-particle":"","parse-names":false,"suffix":""}],"container-title":"Biotropica","id":"ITEM-1","issue":"1","issued":{"date-parts":[["2015"]]},"page":"66-76","title":"Impacts of an extreme precipitation event on dipterocarp mortality and habitat filtering in a Bornean tropical rain forest","type":"article-journal","volume":"47"},"uris":["http://www.mendeley.com/documents/?uuid=56c332fe-34ca-3fd7-ae23-291678f463a9"]},{"id":"ITEM-2","itemData":{"DOI":"10.1111/btp.12083","ISSN":"00063606","abstract":"Niche differentiation is a prominent mechanism for explaining tree species coexistence in tropical rain forests. Theory predicts that species that are specialized on a set of environmental conditions should competitively exclude generalists in those conditions, and that environmental heterogeneity allows the coexistence of many different species based on niche specialization. Yet, many tropical tree species of the family Dipterocarpaceae have broadly similar habitat preferences, with some occurring widely across several soil types. These soil generalists clearly persist despite the presence of other dipterocarp species that show clear soil specialization. We evaluate comparative seedling performance (growth and survival) of six Shorea species (Dipterocarpaceae) which differ in their adult tree habitat associations within the Sepilok Forest Reserve (Borneo, Malaysia). We tested the hypothesis that seedlings of species associated with a particular soil type perform better on that soil type than seedlings of soil generalist species, with generalists in turn performing better than specialists on a different soil type. We conducted a reciprocal transplant experiment including two soil types (alluvial and mudstone) and two light treatments (gap and understory). The soils differed in soil acidity, Al and P concentration. Observed species-specific differences in seedling responses to soil, light, and occasional flooding events could partially explain observed adult distribution, although not all species could be fully differentiated along these axes. Other trade-offs, such as investment in defense against herbivores and tolerance to soil waterlogging, may play additional roles in explaining coexistence of these species. © 2013 The Association for Tropical Biology and Conservation.","author":[{"dropping-particle":"","family":"Born","given":"Julia","non-dropping-particle":"","parse-names":false,"suffix":""},{"dropping-particle":"","family":"Pluess","given":"Andrea R.","non-dropping-particle":"","parse-names":false,"suffix":""},{"dropping-particle":"","family":"Burslem","given":"David F R P","non-dropping-particle":"","parse-names":false,"suffix":""},{"dropping-particle":"","family":"Nilus","given":"Reuben","non-dropping-particle":"","parse-names":false,"suffix":""},{"dropping-particle":"","family":"Maycock","given":"Colin R.","non-dropping-particle":"","parse-names":false,"suffix":""},{"dropping-particle":"","family":"Ghazoul","given":"Jaboury","non-dropping-particle":"","parse-names":false,"suffix":""}],"container-title":"Biotropica","id":"ITEM-2","issue":"1","issued":{"date-parts":[["2014"]]},"note":"Davies &amp;amp; Becker 1996, De Oliveira &amp;amp; Mori 1999, Lee et al. 2002)","page":"58-68","title":"Differing life history characteristics support coexistence of tree soil generalist and specialist species in tropical rain forests","type":"article-journal","volume":"46"},"uris":["http://www.mendeley.com/documents/?uuid=1803fa7b-fda0-473b-8dfc-c4acd4a638de"]},{"id":"ITEM-3","itemData":{"DOI":"10.1111/j.1654-1103.2005.tb02406.x","ISBN":"1100-9233","ISSN":"11009233","abstract":"Question: The evolution of general flowering and mast fruit- ing of dipterocarps in tropical rain forest has been explained by different mechanisms. We studied whether the abundance of flowering conspecifics influences the recruitment success of tropical forest trees in Borneo. Location: Sepilok Forest Reserve, Sabah, Malaysia. Method: We examined the recruitment success of 17 species of Dipterocarpaceae in a 640-ha sample area over two flower- ing events in 2001-2002 using seed traps and quadrats. Seed predation experiments were used to investigate if post-disper- sal seed survival was density-dependent. Results: We found a negative relationship between the per- centage of flowers abscised per individual and the number of flowering conspecifics and a positive relationship between the percent of flowering trees that produced viable seeds and the number of flowering conspecifics. However, we found no evidence of decreasing pre- and post-dispersal predation with increasing numbers of flowering conspecifics. High levels of flower abscission, and pre- and post-dispersal seed mortality, resulted in near-complete recruitment failure of most species, with only three species successfully recruiting in only one year. One of these, Parashorea tomentella, satiated seed preda- tors over a large area, while Hopea beccariana and Shorea multiflora only recruited in small isolated clumps. Seed preda- tion experiments suggest that post-dispersal seed survival was positively density-dependent in the short-term. Conclusions: Increased density of flowering conspecifics may contribute to increased likelihood of successful cross-pollina- tion during low intensity flowering events and, in some cases, to enhanced probability of short-term seed and seedling sur- vival. Both processes may contribute to the evolution of mast fruiting and general flowering in Southeast Asian lowland dipterocarp forests.","author":[{"dropping-particle":"","family":"Maycock","given":"Colin R.","non-dropping-particle":"","parse-names":false,"suffix":""},{"dropping-particle":"","family":"Thewlis","given":"Richard N.","non-dropping-particle":"","parse-names":false,"suffix":""},{"dropping-particle":"","family":"Ghazoul","given":"Jaboury","non-dropping-particle":"","parse-names":false,"suffix":""},{"dropping-particle":"","family":"Nilus","given":"Reuben","non-dropping-particle":"","parse-names":false,"suffix":""},{"dropping-particle":"","family":"Burslem","given":"David F. R. P.","non-dropping-particle":"","parse-names":false,"suffix":""}],"container-title":"Journal of Vegetation Science","id":"ITEM-3","issue":"6","issued":{"date-parts":[["2005"]]},"page":"635-646","title":"Reproduction of dipterocarps during low intensity masting events in a Bornean rain forest","type":"article-journal","volume":"16"},"uris":["http://www.mendeley.com/documents/?uuid=5b971434-96ee-4fef-b9b2-c00e7438b99d"]}],"mendeley":{"formattedCitation":"(Born et al., 2014; Margrove et al., 2015; Maycock, Thewlis, Ghazoul, Nilus, &amp; Burslem, 2005)","plainTextFormattedCitation":"(Born et al., 2014; Margrove et al., 2015; Maycock, Thewlis, Ghazoul, Nilus, &amp; Burslem, 2005)","previouslyFormattedCitation":"(Maycock &lt;i&gt;et al.&lt;/i&gt;, 2005; Born &lt;i&gt;et al.&lt;/i&gt;, 2014; Margrove &lt;i&gt;et al.&lt;/i&gt;, 2015)"},"properties":{"noteIndex":0},"schema":"https://github.com/citation-style-language/schema/raw/master/csl-citation.json"}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00923F1B" w:rsidRPr="00923F1B">
        <w:rPr>
          <w:rFonts w:ascii="Times New Roman" w:hAnsi="Times New Roman" w:cs="Times New Roman"/>
          <w:noProof/>
          <w:sz w:val="24"/>
          <w:szCs w:val="24"/>
          <w:lang w:val="en-GB"/>
        </w:rPr>
        <w:t>(Born et al., 2014; Margrove et al., 2015; Maycock, Thewlis, Ghazoul, Nilus, &amp; Burslem, 2005)</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however, there are relatively consistent wetter and drier periods throughout the year (Fig. S2). Climate also varies year on year, with these supra-annual fluctuations attributable to variation in the El Niño Southern Oscillation (ENSO)</w:t>
      </w:r>
      <w:r w:rsidRPr="00EC1733">
        <w:rPr>
          <w:rFonts w:ascii="Times New Roman" w:hAnsi="Times New Roman" w:cs="Times New Roman"/>
          <w:sz w:val="24"/>
          <w:szCs w:val="24"/>
          <w:lang w:val="en-GB"/>
        </w:rPr>
        <w:fldChar w:fldCharType="begin" w:fldLock="1"/>
      </w:r>
      <w:r w:rsidR="00923F1B">
        <w:rPr>
          <w:rFonts w:ascii="Times New Roman" w:hAnsi="Times New Roman" w:cs="Times New Roman"/>
          <w:sz w:val="24"/>
          <w:szCs w:val="24"/>
          <w:lang w:val="en-GB"/>
        </w:rPr>
        <w:instrText>ADDIN CSL_CITATION {"citationItems":[{"id":"ITEM-1","itemData":{"DOI":"10.1016/j.epsl.2013.03.014","ISBN":"0012-821X","ISSN":"0012821X","abstract":"The relationship between climate variability and rainfall oxygen isotopic (δ18O) variability is poorly constrained, especially in the tropics, where many key paleoclimate records rely on past rainfall isotopes as proxies for hydroclimate. Here we present a daily-resolved, 5-yr-long timeseries of rainfall δ18O from Gunung Mulu National Park, located in northern Borneo (4°N, 114°E) in the heart of the West Pacific Warm Pool, and compare it to local and regional climatic variables. Daily rainfall δ18O values range from +0.7‰ to -18.5‰ and exhibit a weak but significant inverse relationship with daily local precipitation amount (R=-0.19, p&lt;0.05), consistent with the tropical amount effect. Day-to-day δ18O variability at Mulu is best correlated to regional precipitation amount averaged over the preceding week (R=-0.64, p&lt;0.01). The inverse relationship between Mulu rainfall δ18O and local (regional) precipitation amount increases with increased temporal averaging, reaching R=-0.56 (R=-0.72) on monthly timescales. Large, negative, multi-day rainfall δ18O anomalies of up to 16‰ occur every 30-90 days and are closely associated with wet phases of the intraseasonal Madden-Julian Oscillation. A weak, semi-annual seasonal cycle in rainfall δ18O of 2-3‰ bears little resemblance to seasonal precipitation variability, pointing to a complex sequence of moisture sources and/or trajectories over the course of the year. Interannual rainfall δ18O variations of 6-8‰ are significantly correlated with indices of the El Niño Southern Oscillation, with increased rainfall δ18O during relatively dry El Niño conditions, and vice versa during La Nina events. We find that Mulu rainfall δ18O outperforms Mulu precipitation amount as a tracer of basin-scale climate variability, highlighting the time- and space-integrative nature of rainfall δ18O. Taken together, our results suggest that rainfall δ18O variability at Mulu is significantly influenced by the strength of regional convective activity. As such, our study provides further empirical support for the interpretation of δ18O-based paleo-reconstructions from northern Borneo stalagmites as robust indicators of regional-scale hydroclimate variability, where higher δ18O reflects regional drying. © 2013 Elsevier B.V.","author":[{"dropping-particle":"","family":"Moerman","given":"Jessica W.","non-dropping-particle":"","parse-names":false,"suffix":""},{"dropping-particle":"","family":"Cobb","given":"Kim M.","non-dropping-particle":"","parse-names":false,"suffix":""},{"dropping-particle":"","family":"Adkins","given":"Jess F.","non-dropping-particle":"","parse-names":false,"suffix":""},{"dropping-particle":"","family":"Sodemann","given":"Harald","non-dropping-particle":"","parse-names":false,"suffix":""},{"dropping-particle":"","family":"Clark","given":"Brian","non-dropping-particle":"","parse-names":false,"suffix":""},{"dropping-particle":"","family":"Tuen","given":"Andrew A.","non-dropping-particle":"","parse-names":false,"suffix":""}],"container-title":"Earth and Planetary Science Letters","id":"ITEM-1","issued":{"date-parts":[["2013"]]},"page":"108-119","publisher":"Elsevier","title":"Diurnal to interannual rainfall δ18O variations in northern Borneo driven by regional hydrology","type":"article-journal","volume":"369-370"},"uris":["http://www.mendeley.com/documents/?uuid=cf3ec7a7-5297-4aa7-a3e6-5e29fc405c6f"]}],"mendeley":{"formattedCitation":"(Moerman et al., 2013)","plainTextFormattedCitation":"(Moerman et al., 2013)","previouslyFormattedCitation":"(Moerman &lt;i&gt;et al.&lt;/i&gt;, 2013)"},"properties":{"noteIndex":0},"schema":"https://github.com/citation-style-language/schema/raw/master/csl-citation.json"}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Pr="00923F1B">
        <w:rPr>
          <w:rFonts w:ascii="Times New Roman" w:hAnsi="Times New Roman" w:cs="Times New Roman"/>
          <w:noProof/>
          <w:sz w:val="24"/>
          <w:szCs w:val="24"/>
          <w:lang w:val="en-GB"/>
        </w:rPr>
        <w:t>(Moerman et al., 2013)</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w:t>
      </w:r>
      <w:r w:rsidRPr="00EC1733">
        <w:rPr>
          <w:rFonts w:ascii="Times New Roman" w:hAnsi="Times New Roman" w:cs="Times New Roman"/>
          <w:noProof/>
          <w:sz w:val="24"/>
          <w:szCs w:val="24"/>
          <w:vertAlign w:val="superscript"/>
          <w:lang w:val="en-GB"/>
        </w:rPr>
        <w:t xml:space="preserve"> </w:t>
      </w:r>
    </w:p>
    <w:p w:rsidR="00975849" w:rsidRPr="00EC1733" w:rsidRDefault="00975849" w:rsidP="00975849">
      <w:pPr>
        <w:pStyle w:val="NoSpacing"/>
        <w:spacing w:line="480" w:lineRule="auto"/>
        <w:jc w:val="both"/>
        <w:rPr>
          <w:rFonts w:ascii="Times New Roman" w:hAnsi="Times New Roman" w:cs="Times New Roman"/>
          <w:b/>
          <w:sz w:val="24"/>
          <w:szCs w:val="24"/>
          <w:lang w:val="en-GB"/>
        </w:rPr>
      </w:pPr>
    </w:p>
    <w:p w:rsidR="00975849" w:rsidRPr="00EC1733" w:rsidRDefault="00975849" w:rsidP="00975849">
      <w:pPr>
        <w:pStyle w:val="NoSpacing"/>
        <w:spacing w:line="480" w:lineRule="auto"/>
        <w:jc w:val="both"/>
        <w:rPr>
          <w:rFonts w:ascii="Times New Roman" w:hAnsi="Times New Roman" w:cs="Times New Roman"/>
          <w:sz w:val="24"/>
          <w:szCs w:val="24"/>
          <w:lang w:val="en-GB"/>
        </w:rPr>
      </w:pPr>
      <w:r w:rsidRPr="00EC1733">
        <w:rPr>
          <w:rFonts w:ascii="Times New Roman" w:hAnsi="Times New Roman" w:cs="Times New Roman"/>
          <w:b/>
          <w:sz w:val="24"/>
          <w:szCs w:val="24"/>
          <w:lang w:val="en-GB"/>
        </w:rPr>
        <w:t xml:space="preserve">Seed collection. </w:t>
      </w:r>
      <w:r w:rsidRPr="00EC1733">
        <w:rPr>
          <w:rFonts w:ascii="Times New Roman" w:hAnsi="Times New Roman" w:cs="Times New Roman"/>
          <w:sz w:val="24"/>
          <w:szCs w:val="24"/>
          <w:lang w:val="en-GB"/>
        </w:rPr>
        <w:t xml:space="preserve">We </w:t>
      </w:r>
      <w:r>
        <w:rPr>
          <w:rFonts w:ascii="Times New Roman" w:hAnsi="Times New Roman" w:cs="Times New Roman"/>
          <w:sz w:val="24"/>
          <w:szCs w:val="24"/>
          <w:lang w:val="en-GB"/>
        </w:rPr>
        <w:t>s</w:t>
      </w:r>
      <w:r w:rsidRPr="00EC1733">
        <w:rPr>
          <w:rFonts w:ascii="Times New Roman" w:hAnsi="Times New Roman" w:cs="Times New Roman"/>
          <w:sz w:val="24"/>
          <w:szCs w:val="24"/>
          <w:lang w:val="en-GB"/>
        </w:rPr>
        <w:t xml:space="preserve">elected sixteen species from 3 dipterocarp genera for this study (Table S3) based on their variable adult distributions and seed availability during the 2014 general flowering event. Dipterocarps flower every 2 – 10 years </w:t>
      </w:r>
      <w:r w:rsidRPr="00EC1733">
        <w:rPr>
          <w:rFonts w:ascii="Times New Roman" w:hAnsi="Times New Roman" w:cs="Times New Roman"/>
          <w:sz w:val="24"/>
          <w:szCs w:val="24"/>
          <w:lang w:val="en-GB"/>
        </w:rPr>
        <w:fldChar w:fldCharType="begin" w:fldLock="1"/>
      </w:r>
      <w:r w:rsidR="00923F1B">
        <w:rPr>
          <w:rFonts w:ascii="Times New Roman" w:hAnsi="Times New Roman" w:cs="Times New Roman"/>
          <w:sz w:val="24"/>
          <w:szCs w:val="24"/>
          <w:lang w:val="en-GB"/>
        </w:rPr>
        <w:instrText>ADDIN CSL_CITATION {"citationItems":[{"id":"ITEM-1","itemData":{"author":[{"dropping-particle":"","family":"Ashton","given":"Peter S","non-dropping-particle":"","parse-names":false,"suffix":""}],"container-title":"Annual Review of Ecology and Systematics","id":"ITEM-1","issue":"1988","issued":{"date-parts":[["1988"]]},"page":"347-370","title":"Dipterocarp biology as a window to the understanding of tropical forest structure","type":"article-journal","volume":"19"},"uris":["http://www.mendeley.com/documents/?uuid=3ac3b3f7-31f9-4ad5-9acf-0eb7407e5c2d"]}],"mendeley":{"formattedCitation":"(Peter S Ashton, 1988)","plainTextFormattedCitation":"(Peter S Ashton, 1988)","previouslyFormattedCitation":"(Ashton, 1988)"},"properties":{"noteIndex":0},"schema":"https://github.com/citation-style-language/schema/raw/master/csl-citation.json"}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00923F1B" w:rsidRPr="00923F1B">
        <w:rPr>
          <w:rFonts w:ascii="Times New Roman" w:hAnsi="Times New Roman" w:cs="Times New Roman"/>
          <w:noProof/>
          <w:sz w:val="24"/>
          <w:szCs w:val="24"/>
          <w:lang w:val="en-GB"/>
        </w:rPr>
        <w:t>(Peter S Ashton, 1988)</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xml:space="preserve"> often in association with major ENSO events </w:t>
      </w:r>
      <w:r w:rsidRPr="00EC1733">
        <w:rPr>
          <w:rFonts w:ascii="Times New Roman" w:hAnsi="Times New Roman" w:cs="Times New Roman"/>
          <w:sz w:val="24"/>
          <w:szCs w:val="24"/>
          <w:lang w:val="en-GB"/>
        </w:rPr>
        <w:fldChar w:fldCharType="begin" w:fldLock="1"/>
      </w:r>
      <w:r w:rsidR="00923F1B">
        <w:rPr>
          <w:rFonts w:ascii="Times New Roman" w:hAnsi="Times New Roman" w:cs="Times New Roman"/>
          <w:sz w:val="24"/>
          <w:szCs w:val="24"/>
          <w:lang w:val="en-GB"/>
        </w:rPr>
        <w:instrText>ADDIN CSL_CITATION {"citationItems":[{"id":"ITEM-1","itemData":{"author":[{"dropping-particle":"","family":"Ashton","given":"P. S.","non-dropping-particle":"","parse-names":false,"suffix":""},{"dropping-particle":"","family":"Givnish","given":"T. J.","non-dropping-particle":"","parse-names":false,"suffix":""},{"dropping-particle":"","family":"Appanah","given":"S.","non-dropping-particle":"","parse-names":false,"suffix":""}],"container-title":"The American Society of Naturalists","id":"ITEM-1","issue":"1","issued":{"date-parts":[["1988"]]},"page":"44-66","title":"Staggered flowering in the Dipterocarpaceae: new insights into floral induction and the evolution of mast fruiting in the aseasonal tropics","type":"article-journal","volume":"132"},"uris":["http://www.mendeley.com/documents/?uuid=5561e563-483f-42cc-bd27-364e61c5ac18"]},{"id":"ITEM-2","itemData":{"DOI":"10.1126/science.286.5447.2184","author":[{"dropping-particle":"","family":"Curran","given":"Lisa M","non-dropping-particle":"","parse-names":false,"suffix":""},{"dropping-particle":"","family":"Caniago","given":"I","non-dropping-particle":"","parse-names":false,"suffix":""},{"dropping-particle":"","family":"Paoli","given":"Gary D","non-dropping-particle":"","parse-names":false,"suffix":""},{"dropping-particle":"","family":"Astianti","given":"D.","non-dropping-particle":"","parse-names":false,"suffix":""},{"dropping-particle":"","family":"Kusneti","given":"M.","non-dropping-particle":"","parse-names":false,"suffix":""},{"dropping-particle":"","family":"Leighton","given":"M.","non-dropping-particle":"","parse-names":false,"suffix":""},{"dropping-particle":"","family":"Nirarita","given":"C. E.","non-dropping-particle":"","parse-names":false,"suffix":""},{"dropping-particle":"","family":"Haeruman","given":"H.","non-dropping-particle":"","parse-names":false,"suffix":""}],"container-title":"Science","id":"ITEM-2","issue":"5447","issued":{"date-parts":[["1999"]]},"page":"2184-2188","title":"Impact of El Niño and logging on canopy tree recruitment in borneo","type":"article-journal","volume":"286"},"uris":["http://www.mendeley.com/documents/?uuid=bdfc0d0e-a72e-45bc-b26d-ea5b1dd8c3ec"]}],"mendeley":{"formattedCitation":"(P. S. Ashton, Givnish, &amp; Appanah, 1988; Curran et al., 1999)","plainTextFormattedCitation":"(P. S. Ashton, Givnish, &amp; Appanah, 1988; Curran et al., 1999)","previouslyFormattedCitation":"(Ashton &lt;i&gt;et al.&lt;/i&gt;, 1988; Curran &lt;i&gt;et al.&lt;/i&gt;, 1999)"},"properties":{"noteIndex":0},"schema":"https://github.com/citation-style-language/schema/raw/master/csl-citation.json"}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00923F1B" w:rsidRPr="00923F1B">
        <w:rPr>
          <w:rFonts w:ascii="Times New Roman" w:hAnsi="Times New Roman" w:cs="Times New Roman"/>
          <w:noProof/>
          <w:sz w:val="24"/>
          <w:szCs w:val="24"/>
          <w:lang w:val="en-GB"/>
        </w:rPr>
        <w:t>(P. S. Ashton, Givnish, &amp; Appanah, 1988; Curran et al., 1999)</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xml:space="preserve">, and as a result seedling recruitment is intermittent </w:t>
      </w:r>
      <w:r w:rsidRPr="00EC1733">
        <w:rPr>
          <w:rFonts w:ascii="Times New Roman" w:hAnsi="Times New Roman" w:cs="Times New Roman"/>
          <w:sz w:val="24"/>
          <w:szCs w:val="24"/>
          <w:lang w:val="en-GB"/>
        </w:rPr>
        <w:fldChar w:fldCharType="begin" w:fldLock="1"/>
      </w:r>
      <w:r w:rsidR="00923F1B">
        <w:rPr>
          <w:rFonts w:ascii="Times New Roman" w:hAnsi="Times New Roman" w:cs="Times New Roman"/>
          <w:sz w:val="24"/>
          <w:szCs w:val="24"/>
          <w:lang w:val="en-GB"/>
        </w:rPr>
        <w:instrText>ADDIN CSL_CITATION {"citationItems":[{"id":"ITEM-1","itemData":{"author":[{"dropping-particle":"","family":"Ashton","given":"Peter S","non-dropping-particle":"","parse-names":false,"suffix":""}],"container-title":"Annual Review of Ecology and Systematics","id":"ITEM-1","issue":"1988","issued":{"date-parts":[["1988"]]},"page":"347-370","title":"Dipterocarp biology as a window to the understanding of tropical forest structure","type":"article-journal","volume":"19"},"uris":["http://www.mendeley.com/documents/?uuid=3ac3b3f7-31f9-4ad5-9acf-0eb7407e5c2d"]}],"mendeley":{"formattedCitation":"(Peter S Ashton, 1988)","plainTextFormattedCitation":"(Peter S Ashton, 1988)","previouslyFormattedCitation":"(Ashton, 1988)"},"properties":{"noteIndex":0},"schema":"https://github.com/citation-style-language/schema/raw/master/csl-citation.json"}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00923F1B" w:rsidRPr="00923F1B">
        <w:rPr>
          <w:rFonts w:ascii="Times New Roman" w:hAnsi="Times New Roman" w:cs="Times New Roman"/>
          <w:noProof/>
          <w:sz w:val="24"/>
          <w:szCs w:val="24"/>
          <w:lang w:val="en-GB"/>
        </w:rPr>
        <w:t>(Peter S Ashton, 1988)</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xml:space="preserve">. Moreover, seeds have a short period of viability and germinate within days of falling from the parent tree leaving no seed bank </w:t>
      </w:r>
      <w:r w:rsidRPr="00EC1733">
        <w:rPr>
          <w:rFonts w:ascii="Times New Roman" w:hAnsi="Times New Roman" w:cs="Times New Roman"/>
          <w:sz w:val="24"/>
          <w:szCs w:val="24"/>
          <w:lang w:val="en-GB"/>
        </w:rPr>
        <w:fldChar w:fldCharType="begin" w:fldLock="1"/>
      </w:r>
      <w:r w:rsidR="00923F1B">
        <w:rPr>
          <w:rFonts w:ascii="Times New Roman" w:hAnsi="Times New Roman" w:cs="Times New Roman"/>
          <w:sz w:val="24"/>
          <w:szCs w:val="24"/>
          <w:lang w:val="en-GB"/>
        </w:rPr>
        <w:instrText>ADDIN CSL_CITATION {"citationItems":[{"id":"ITEM-1","itemData":{"DOI":"10.1371/journal.pone.0070287","ISSN":"19326203","PMID":"23894634","abstract":"Climate change induced alterations to rainfall patterns have the potential to affect the regeneration dynamics of plant species, especially in historically everwet tropical rainforest. Differential species response to infrequent rainfall may influence seed germination and seedling establishment in turn affecting species distributions. We tested the role of watering frequency intervals (from daily to six-day watering) on the germination and the early growth of Dipterocarpaceae seedlings in Borneo. We used seeds that ranged in size from 500 to 20,000 mg in order to test the role of seed mass in mediating the effects of infrequent watering. With frequent rainfall, germination and seedling development traits bore no relationship to seed mass, but all metrics of seedling growth increased with increasing seed mass. Cumulative germination declined by 39.4% on average for all species when plants were watered at six-day intervals, and days to germination increased by 76.5% on average for all species from daily to six-day intervals. Final height and biomass declined on average in the six-day interval by 16% and 30%, respectively, but the percentage decrease in final size was greater for large-seeded species. Rooting depth per leaf area also significantly declined with seed mass indicating large-seeded species allocate relatively more biomass for leaf production. This difference in allocation provided an establishment advantage to large-seeded species when water was non-limiting but inhibited their growth under infrequent rainfall. The observed reduction in the growth of large-seeded species under infrequent rainfall would likely restrict their establishment in drier microsites associated with coarse sandy soils and ridge tops. In total, these species differences in germination and initial seedling growth indicates a possible niche axis that may help explain both current species distributions and future responses to climate change.","author":[{"dropping-particle":"","family":"O'Brien","given":"Michael J.","non-dropping-particle":"","parse-names":false,"suffix":""},{"dropping-particle":"","family":"Philipson","given":"Christopher D.","non-dropping-particle":"","parse-names":false,"suffix":""},{"dropping-particle":"","family":"Tay","given":"John","non-dropping-particle":"","parse-names":false,"suffix":""},{"dropping-particle":"","family":"Hector","given":"Andy","non-dropping-particle":"","parse-names":false,"suffix":""}],"container-title":"PLoS ONE","id":"ITEM-1","issue":"7","issued":{"date-parts":[["2013"]]},"page":"1-9","title":"The influence of variable rainfall frequency on germination and early growth of shade-tolerant dipterocarp seedlings in Borneo","type":"article-journal","volume":"8"},"uris":["http://www.mendeley.com/documents/?uuid=5b6525bd-5159-4849-87ab-5293fe3b5df3"]}],"mendeley":{"formattedCitation":"(O’Brien, Philipson, Tay, &amp; Hector, 2013)","plainTextFormattedCitation":"(O’Brien, Philipson, Tay, &amp; Hector, 2013)","previouslyFormattedCitation":"(O’Brien &lt;i&gt;et al.&lt;/i&gt;, 2013)"},"properties":{"noteIndex":0},"schema":"https://github.com/citation-style-language/schema/raw/master/csl-citation.json"}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00923F1B" w:rsidRPr="00923F1B">
        <w:rPr>
          <w:rFonts w:ascii="Times New Roman" w:hAnsi="Times New Roman" w:cs="Times New Roman"/>
          <w:noProof/>
          <w:sz w:val="24"/>
          <w:szCs w:val="24"/>
          <w:lang w:val="en-GB"/>
        </w:rPr>
        <w:t>(O’Brien, Philipson, Tay, &amp; Hector, 2013)</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xml:space="preserve">. As the first year is one of the most sensitive life stages to environmental disturbances </w:t>
      </w:r>
      <w:r w:rsidRPr="00EC1733">
        <w:rPr>
          <w:rFonts w:ascii="Times New Roman" w:hAnsi="Times New Roman" w:cs="Times New Roman"/>
          <w:sz w:val="24"/>
          <w:szCs w:val="24"/>
          <w:lang w:val="en-GB"/>
        </w:rPr>
        <w:fldChar w:fldCharType="begin" w:fldLock="1"/>
      </w:r>
      <w:r w:rsidR="00923F1B">
        <w:rPr>
          <w:rFonts w:ascii="Times New Roman" w:hAnsi="Times New Roman" w:cs="Times New Roman"/>
          <w:sz w:val="24"/>
          <w:szCs w:val="24"/>
          <w:lang w:val="en-GB"/>
        </w:rPr>
        <w:instrText>ADDIN CSL_CITATION {"citationItems":[{"id":"ITEM-1","itemData":{"DOI":"10.1073/pnas.1321892112","ISBN":"1091-6490 (Electronic) 0027-8424 (Linking)","ISSN":"0027-8424","PMID":"25512498","abstract":"SignificanceA long-standing paradigm in forest ecology holds that patterns of relative abundance among a forest's mature trees are largely set by biotic and abiotic processes that operate most strongly at the earliest life-cycle stages. Although support for this model is implicit in the vast body of research on tropical seedling dynamics, the paradigm has never formally been tested in any forest. Using multidecadal demographic data, we present quantitative evidence for the primacy of early-stage, nonrandom dynamics in forest ecology. This finding corroborates the importance that tropical ecologists have traditionally assigned to early-stage dynamics, and calls for greater and more widespread inclusion of the smallest size classes into large, plot-based tropical forest dynamics projects worldwide. A variety of ecological processes influence diversity and species composition in natural communities. Most of these processes, whether abiotic or biotic, differentially filter individuals from birth to death, thereby altering species' relative abundances. Nonrandom outcomes could accrue throughout ontogeny, or the processes that generate them could be particularly influential at certain stages. One long-standing paradigm in tropical forest ecology holds that patterns of relative abundance among mature trees are largely set by processes operating at the earliest life cycle stages. Several studies confirm filtering processes at some stages, but the longevity of large trees makes a rigorous comparison across size classes impossible without long-term demographic data. Here, we use one of the world's longest-running, plot-based forest dynamics projects to compare nonrandom outcomes across stage classes. We considered a cohort of 7,977 individuals in 186 species that were alive in 1971 and monitored in 13 mortality censuses over 42 y to 2013. Nonrandom mortality with respect to species identity occurred more often in the smaller rather than the larger size classes. Furthermore, observed nonrandom mortality in the smaller size classes had a diversifying influence; species richness of the survivors was up to 30% greater than expected in the two smallest size classes, but not greater than expected in the larger size classes. These results highlight the importance of early life cycle stages in tropical forest community dynamics. More generally, they add to an accumulating body of evidence for the importance of early-stage nonrandom outcomes to community structure in mari…","author":[{"dropping-particle":"","family":"Green","given":"Peter T.","non-dropping-particle":"","parse-names":false,"suffix":""},{"dropping-particle":"","family":"Harms","given":"Kyle E.","non-dropping-particle":"","parse-names":false,"suffix":""},{"dropping-particle":"","family":"Connell","given":"Joseph H.","non-dropping-particle":"","parse-names":false,"suffix":""}],"container-title":"PNAS","id":"ITEM-1","issue":"52","issued":{"date-parts":[["2014"]]},"page":"18649-18654","title":"Nonrandom, diversifying processes are disproportionately strong in the smallest size classes of a tropical forest","type":"article-journal","volume":"111"},"uris":["http://www.mendeley.com/documents/?uuid=3b2bcf94-d6a8-41a6-b363-e58cc0e5ec3f"]}],"mendeley":{"formattedCitation":"(Green, Harms, &amp; Connell, 2014)","plainTextFormattedCitation":"(Green, Harms, &amp; Connell, 2014)","previouslyFormattedCitation":"(Green &lt;i&gt;et al.&lt;/i&gt;, 2014)"},"properties":{"noteIndex":0},"schema":"https://github.com/citation-style-language/schema/raw/master/csl-citation.json"}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00923F1B" w:rsidRPr="00923F1B">
        <w:rPr>
          <w:rFonts w:ascii="Times New Roman" w:hAnsi="Times New Roman" w:cs="Times New Roman"/>
          <w:noProof/>
          <w:sz w:val="24"/>
          <w:szCs w:val="24"/>
          <w:lang w:val="en-GB"/>
        </w:rPr>
        <w:t>(Green, Harms, &amp; Connell, 2014)</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our study replicated the first year of life as close</w:t>
      </w:r>
      <w:r>
        <w:rPr>
          <w:rFonts w:ascii="Times New Roman" w:hAnsi="Times New Roman" w:cs="Times New Roman"/>
          <w:sz w:val="24"/>
          <w:szCs w:val="24"/>
          <w:lang w:val="en-GB"/>
        </w:rPr>
        <w:t>ly</w:t>
      </w:r>
      <w:r w:rsidRPr="00EC1733">
        <w:rPr>
          <w:rFonts w:ascii="Times New Roman" w:hAnsi="Times New Roman" w:cs="Times New Roman"/>
          <w:sz w:val="24"/>
          <w:szCs w:val="24"/>
          <w:lang w:val="en-GB"/>
        </w:rPr>
        <w:t xml:space="preserve"> as possible with the first period of water inundation occurring ca. six months after germination.</w:t>
      </w:r>
    </w:p>
    <w:tbl>
      <w:tblPr>
        <w:tblW w:w="0" w:type="auto"/>
        <w:tblLook w:val="04A0" w:firstRow="1" w:lastRow="0" w:firstColumn="1" w:lastColumn="0" w:noHBand="0" w:noVBand="1"/>
      </w:tblPr>
      <w:tblGrid>
        <w:gridCol w:w="9020"/>
      </w:tblGrid>
      <w:tr w:rsidR="00975849" w:rsidRPr="00EC1733" w:rsidTr="009C5E7C">
        <w:trPr>
          <w:trHeight w:val="1713"/>
        </w:trPr>
        <w:tc>
          <w:tcPr>
            <w:tcW w:w="9242" w:type="dxa"/>
          </w:tcPr>
          <w:p w:rsidR="00975849" w:rsidRPr="00EC1733" w:rsidRDefault="00975849" w:rsidP="009C5E7C">
            <w:pPr>
              <w:tabs>
                <w:tab w:val="center" w:pos="4867"/>
              </w:tabs>
              <w:spacing w:line="480" w:lineRule="auto"/>
              <w:jc w:val="center"/>
              <w:rPr>
                <w:rFonts w:ascii="Times New Roman" w:hAnsi="Times New Roman" w:cs="Times New Roman"/>
                <w:sz w:val="24"/>
                <w:szCs w:val="24"/>
              </w:rPr>
            </w:pPr>
            <w:r w:rsidRPr="00EC1733">
              <w:rPr>
                <w:rFonts w:ascii="Times New Roman" w:hAnsi="Times New Roman" w:cs="Times New Roman"/>
                <w:noProof/>
                <w:sz w:val="24"/>
                <w:szCs w:val="24"/>
                <w:lang w:eastAsia="en-GB"/>
              </w:rPr>
              <w:lastRenderedPageBreak/>
              <w:drawing>
                <wp:inline distT="0" distB="0" distL="0" distR="0" wp14:anchorId="7D0C4C40" wp14:editId="5BD62D62">
                  <wp:extent cx="5250376" cy="550386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I.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51088" cy="5504612"/>
                          </a:xfrm>
                          <a:prstGeom prst="rect">
                            <a:avLst/>
                          </a:prstGeom>
                        </pic:spPr>
                      </pic:pic>
                    </a:graphicData>
                  </a:graphic>
                </wp:inline>
              </w:drawing>
            </w:r>
          </w:p>
        </w:tc>
      </w:tr>
      <w:tr w:rsidR="00975849" w:rsidRPr="00EC1733" w:rsidTr="009C5E7C">
        <w:trPr>
          <w:trHeight w:val="204"/>
        </w:trPr>
        <w:tc>
          <w:tcPr>
            <w:tcW w:w="9242" w:type="dxa"/>
          </w:tcPr>
          <w:p w:rsidR="00975849" w:rsidRPr="00EC1733" w:rsidRDefault="00975849" w:rsidP="009C5E7C">
            <w:pPr>
              <w:spacing w:line="360" w:lineRule="auto"/>
              <w:ind w:firstLine="708"/>
              <w:jc w:val="both"/>
              <w:rPr>
                <w:rFonts w:ascii="Times New Roman" w:hAnsi="Times New Roman" w:cs="Times New Roman"/>
                <w:sz w:val="24"/>
                <w:szCs w:val="24"/>
              </w:rPr>
            </w:pPr>
            <w:r w:rsidRPr="00EC1733">
              <w:rPr>
                <w:rFonts w:ascii="Times New Roman" w:hAnsi="Times New Roman" w:cs="Times New Roman"/>
                <w:b/>
                <w:sz w:val="20"/>
                <w:szCs w:val="24"/>
              </w:rPr>
              <w:t>Figure 1 | Macro to micro topographical variation within Sepilok Forest Reserve, and community compositional variation at the macro scale.</w:t>
            </w:r>
            <w:r w:rsidRPr="00EC1733">
              <w:rPr>
                <w:rFonts w:ascii="Times New Roman" w:hAnsi="Times New Roman" w:cs="Times New Roman"/>
                <w:sz w:val="20"/>
                <w:szCs w:val="24"/>
              </w:rPr>
              <w:t xml:space="preserve"> A topographical digital terrain model of 3375 ha (ca. 75%) of SFR </w:t>
            </w:r>
            <w:r w:rsidRPr="00EC1733">
              <w:rPr>
                <w:rFonts w:ascii="Times New Roman" w:hAnsi="Times New Roman" w:cs="Times New Roman"/>
                <w:b/>
                <w:sz w:val="20"/>
                <w:szCs w:val="24"/>
              </w:rPr>
              <w:t>(a)</w:t>
            </w:r>
            <w:r w:rsidRPr="00EC1733">
              <w:rPr>
                <w:rFonts w:ascii="Times New Roman" w:hAnsi="Times New Roman" w:cs="Times New Roman"/>
                <w:sz w:val="20"/>
                <w:szCs w:val="24"/>
              </w:rPr>
              <w:t xml:space="preserve">, with the </w:t>
            </w:r>
            <w:proofErr w:type="gramStart"/>
            <w:r w:rsidRPr="00EC1733">
              <w:rPr>
                <w:rFonts w:ascii="Times New Roman" w:hAnsi="Times New Roman" w:cs="Times New Roman"/>
                <w:sz w:val="20"/>
                <w:szCs w:val="24"/>
              </w:rPr>
              <w:t>160 ha</w:t>
            </w:r>
            <w:proofErr w:type="gramEnd"/>
            <w:r w:rsidRPr="00EC1733">
              <w:rPr>
                <w:rFonts w:ascii="Times New Roman" w:hAnsi="Times New Roman" w:cs="Times New Roman"/>
                <w:sz w:val="20"/>
                <w:szCs w:val="24"/>
              </w:rPr>
              <w:t xml:space="preserve"> forest plot outlined and the distribution of the four 4 ha plots (and one 2 ha plot) for analysis. </w:t>
            </w:r>
            <w:r w:rsidRPr="00EC1733">
              <w:rPr>
                <w:rFonts w:ascii="Times New Roman" w:hAnsi="Times New Roman" w:cs="Times New Roman"/>
                <w:b/>
                <w:sz w:val="20"/>
                <w:szCs w:val="24"/>
              </w:rPr>
              <w:t>(b)</w:t>
            </w:r>
            <w:r w:rsidRPr="00EC1733">
              <w:rPr>
                <w:rFonts w:ascii="Times New Roman" w:hAnsi="Times New Roman" w:cs="Times New Roman"/>
                <w:sz w:val="20"/>
                <w:szCs w:val="24"/>
              </w:rPr>
              <w:t xml:space="preserve"> The distribution of two example species, </w:t>
            </w:r>
            <w:r w:rsidRPr="00EC1733">
              <w:rPr>
                <w:rFonts w:ascii="Times New Roman" w:hAnsi="Times New Roman" w:cs="Times New Roman"/>
                <w:i/>
                <w:sz w:val="20"/>
                <w:szCs w:val="24"/>
              </w:rPr>
              <w:t xml:space="preserve">Shorea leprosula </w:t>
            </w:r>
            <w:r w:rsidRPr="00EC1733">
              <w:rPr>
                <w:rFonts w:ascii="Times New Roman" w:hAnsi="Times New Roman" w:cs="Times New Roman"/>
                <w:sz w:val="20"/>
                <w:szCs w:val="24"/>
              </w:rPr>
              <w:t xml:space="preserve">(white, diamond) and </w:t>
            </w:r>
            <w:r w:rsidRPr="00EC1733">
              <w:rPr>
                <w:rFonts w:ascii="Times New Roman" w:hAnsi="Times New Roman" w:cs="Times New Roman"/>
                <w:i/>
                <w:sz w:val="20"/>
                <w:szCs w:val="24"/>
              </w:rPr>
              <w:t>S. beccariana</w:t>
            </w:r>
            <w:r w:rsidRPr="00EC1733">
              <w:rPr>
                <w:rFonts w:ascii="Times New Roman" w:hAnsi="Times New Roman" w:cs="Times New Roman"/>
                <w:sz w:val="20"/>
                <w:szCs w:val="24"/>
              </w:rPr>
              <w:t xml:space="preserve"> (grey, circle), indicating partitioning along topographical gradients within the </w:t>
            </w:r>
            <w:proofErr w:type="gramStart"/>
            <w:r w:rsidRPr="00EC1733">
              <w:rPr>
                <w:rFonts w:ascii="Times New Roman" w:hAnsi="Times New Roman" w:cs="Times New Roman"/>
                <w:sz w:val="20"/>
                <w:szCs w:val="24"/>
              </w:rPr>
              <w:t>160 ha</w:t>
            </w:r>
            <w:proofErr w:type="gramEnd"/>
            <w:r w:rsidRPr="00EC1733">
              <w:rPr>
                <w:rFonts w:ascii="Times New Roman" w:hAnsi="Times New Roman" w:cs="Times New Roman"/>
                <w:sz w:val="20"/>
                <w:szCs w:val="24"/>
              </w:rPr>
              <w:t xml:space="preserve"> plot. </w:t>
            </w:r>
            <w:r w:rsidRPr="00EC1733">
              <w:rPr>
                <w:rFonts w:ascii="Times New Roman" w:hAnsi="Times New Roman" w:cs="Times New Roman"/>
                <w:b/>
                <w:sz w:val="20"/>
                <w:szCs w:val="24"/>
              </w:rPr>
              <w:t>(c)</w:t>
            </w:r>
            <w:r w:rsidRPr="00EC1733">
              <w:rPr>
                <w:rFonts w:ascii="Times New Roman" w:hAnsi="Times New Roman" w:cs="Times New Roman"/>
                <w:sz w:val="20"/>
                <w:szCs w:val="24"/>
              </w:rPr>
              <w:t xml:space="preserve"> Dissimilarity in dipterocarp community compositions reflected by colour variations across the </w:t>
            </w:r>
            <w:proofErr w:type="gramStart"/>
            <w:r w:rsidRPr="00EC1733">
              <w:rPr>
                <w:rFonts w:ascii="Times New Roman" w:hAnsi="Times New Roman" w:cs="Times New Roman"/>
                <w:sz w:val="20"/>
                <w:szCs w:val="24"/>
              </w:rPr>
              <w:t>160 ha</w:t>
            </w:r>
            <w:proofErr w:type="gramEnd"/>
            <w:r w:rsidRPr="00EC1733">
              <w:rPr>
                <w:rFonts w:ascii="Times New Roman" w:hAnsi="Times New Roman" w:cs="Times New Roman"/>
                <w:sz w:val="20"/>
                <w:szCs w:val="24"/>
              </w:rPr>
              <w:t xml:space="preserve"> plot, extracted from axis 1 of a non-metric multi-dimensional scaling analysis of 12 elevational bands. </w:t>
            </w:r>
            <w:r w:rsidRPr="00EC1733">
              <w:rPr>
                <w:rFonts w:ascii="Times New Roman" w:hAnsi="Times New Roman" w:cs="Times New Roman"/>
                <w:b/>
                <w:sz w:val="20"/>
                <w:szCs w:val="24"/>
              </w:rPr>
              <w:t>(d)</w:t>
            </w:r>
            <w:r w:rsidRPr="00EC1733">
              <w:rPr>
                <w:rFonts w:ascii="Times New Roman" w:hAnsi="Times New Roman" w:cs="Times New Roman"/>
                <w:sz w:val="20"/>
                <w:szCs w:val="24"/>
              </w:rPr>
              <w:t xml:space="preserve"> Micro-topographical variation within three example plots, mean water inundation height expressed as the transparent blue (Fig. S1 – pictures of water inundation). </w:t>
            </w:r>
          </w:p>
        </w:tc>
      </w:tr>
    </w:tbl>
    <w:p w:rsidR="00975849" w:rsidRDefault="00975849" w:rsidP="00975849">
      <w:pPr>
        <w:pStyle w:val="NoSpacing"/>
        <w:spacing w:line="480" w:lineRule="auto"/>
        <w:jc w:val="both"/>
        <w:rPr>
          <w:rFonts w:ascii="Times New Roman" w:hAnsi="Times New Roman" w:cs="Times New Roman"/>
          <w:sz w:val="24"/>
          <w:szCs w:val="24"/>
          <w:lang w:val="en-GB"/>
        </w:rPr>
      </w:pPr>
    </w:p>
    <w:p w:rsidR="00975849" w:rsidRDefault="00975849" w:rsidP="00975849">
      <w:pPr>
        <w:pStyle w:val="NoSpacing"/>
        <w:spacing w:line="480" w:lineRule="auto"/>
        <w:jc w:val="both"/>
        <w:rPr>
          <w:rFonts w:ascii="Times New Roman" w:hAnsi="Times New Roman" w:cs="Times New Roman"/>
          <w:sz w:val="24"/>
          <w:szCs w:val="24"/>
          <w:lang w:val="en-GB"/>
        </w:rPr>
      </w:pPr>
    </w:p>
    <w:p w:rsidR="00975849" w:rsidRPr="00EC1733" w:rsidRDefault="00975849" w:rsidP="00975849">
      <w:pPr>
        <w:pStyle w:val="NoSpacing"/>
        <w:spacing w:line="480" w:lineRule="auto"/>
        <w:ind w:firstLine="708"/>
        <w:jc w:val="both"/>
        <w:rPr>
          <w:rFonts w:ascii="Times New Roman" w:hAnsi="Times New Roman" w:cs="Times New Roman"/>
          <w:sz w:val="24"/>
          <w:szCs w:val="24"/>
          <w:lang w:val="en-GB"/>
        </w:rPr>
      </w:pPr>
      <w:r w:rsidRPr="00EC1733">
        <w:rPr>
          <w:rFonts w:ascii="Times New Roman" w:hAnsi="Times New Roman" w:cs="Times New Roman"/>
          <w:sz w:val="24"/>
          <w:szCs w:val="24"/>
          <w:lang w:val="en-GB"/>
        </w:rPr>
        <w:lastRenderedPageBreak/>
        <w:t>We collected the seeds for the experiment during the mast flowering in 2014 (July-August) with 13 species harvested directly from SFR and three species (</w:t>
      </w:r>
      <w:r w:rsidRPr="00EC1733">
        <w:rPr>
          <w:rFonts w:ascii="Times New Roman" w:hAnsi="Times New Roman" w:cs="Times New Roman"/>
          <w:i/>
          <w:sz w:val="24"/>
          <w:szCs w:val="24"/>
          <w:lang w:val="en-GB"/>
        </w:rPr>
        <w:t>Shorea waltonii, Dryobalanops lanceolata</w:t>
      </w:r>
      <w:r w:rsidRPr="00EC1733">
        <w:rPr>
          <w:rFonts w:ascii="Times New Roman" w:hAnsi="Times New Roman" w:cs="Times New Roman"/>
          <w:sz w:val="24"/>
          <w:szCs w:val="24"/>
          <w:lang w:val="en-GB"/>
        </w:rPr>
        <w:t xml:space="preserve"> and </w:t>
      </w:r>
      <w:r w:rsidRPr="00EC1733">
        <w:rPr>
          <w:rFonts w:ascii="Times New Roman" w:hAnsi="Times New Roman" w:cs="Times New Roman"/>
          <w:i/>
          <w:sz w:val="24"/>
          <w:szCs w:val="24"/>
          <w:lang w:val="en-GB"/>
        </w:rPr>
        <w:t>S. pauciflora</w:t>
      </w:r>
      <w:r w:rsidRPr="00EC1733">
        <w:rPr>
          <w:rFonts w:ascii="Times New Roman" w:hAnsi="Times New Roman" w:cs="Times New Roman"/>
          <w:sz w:val="24"/>
          <w:szCs w:val="24"/>
          <w:lang w:val="en-GB"/>
        </w:rPr>
        <w:t xml:space="preserve">) sourced from nearby forest reserves. These three species are found in SFR and remain in the same floristic region within Borneo </w:t>
      </w:r>
      <w:r w:rsidRPr="00EC1733">
        <w:rPr>
          <w:rFonts w:ascii="Times New Roman" w:hAnsi="Times New Roman" w:cs="Times New Roman"/>
          <w:sz w:val="24"/>
          <w:szCs w:val="24"/>
          <w:lang w:val="en-GB"/>
        </w:rPr>
        <w:fldChar w:fldCharType="begin" w:fldLock="1"/>
      </w:r>
      <w:r w:rsidR="00923F1B">
        <w:rPr>
          <w:rFonts w:ascii="Times New Roman" w:hAnsi="Times New Roman" w:cs="Times New Roman"/>
          <w:sz w:val="24"/>
          <w:szCs w:val="24"/>
          <w:lang w:val="en-GB"/>
        </w:rPr>
        <w:instrText>ADDIN CSL_CITATION {"citationItems":[{"id":"ITEM-1","itemData":{"DOI":"10.1046/j.1365-2699.2003.00967.x","ISBN":"0305-0270","ISSN":"03050270","abstract":"Aim To ( 1) identify floristic regions in the lowland (below 500 m a. s.l.) tropical dipterocarp rain forest of Borneo based on tree genera, ( 2) determine the characteristic taxa of these regions, ( 3) study tree diversity patterns within Borneo, and ( 4) relate the floristic and diversity patterns to abiotic factors such as mean annual rainfall and geographical distance between plots. Location Lowland tropical dipterocarp rain forest of Borneo. Methods We used tree ( diameter at breast height greater than or equal to 9.8 cm) inventory data from 28 lowland dipterocarp rain forest locations throughout Borneo. From each location six samples of 640 individuals were drawn randomly. With these data we calculated a Sorensen and Steinhaus similarity matrix for the locations. These matrices were then used in an UPGMA clustering algorithm to determine the floristic relations between the locations ( dendrogram). Principal coordinate analysis was used to ordinate the locations. Characteristic taxa for the identified floristic clusters were determined with the use of the INDVAL method of Dufrene &amp; Legendre ( 1997). Finally, Mantel analysis was applied to determine the influence of mean annual rainfall and geographical distance between plots on floristic composition. Results A total of 77 families and 363 genera were included in the analysis. On average a random sample of 640 trees from a lowland dipterocarp forest in Borneo contains 41.6 +/- 3.8 families and 103.0 +/- 12.7 genera. Diversity varied strongly on local scales. On a regional scale, diversity was found to be highest in south-east Borneo and central Sarawak. The most common families were Dipterocarpaceae (21.9% of trees) and Euphorbiaceae (12.2% of trees). The most common genera were Shorea (12.3% of trees) and Syzygium (5.0% of trees). The 28 locations were clustered in geographically distinct floristic regions. This was related to the fact that floristic similarity depended strongly on the geographical distance between plots and similarity in mean annual rainfall. Conclusions We identified five main floristic regions within the lowland dipterocarp rain forests of Borneo, each of which had its own set of characteristic genera. Mean annual rainfall is an important factor in explaining differences in floristic composition between locations. The influence of geographical distance on floristic similarity between locations is probably related to the fact that abiotic factors change with distance between plot…","author":[{"dropping-particle":"","family":"Slik","given":"J. W F","non-dropping-particle":"","parse-names":false,"suffix":""},{"dropping-particle":"","family":"Poulsen","given":"A. D.","non-dropping-particle":"","parse-names":false,"suffix":""},{"dropping-particle":"","family":"Ashton","given":"P. S.","non-dropping-particle":"","parse-names":false,"suffix":""},{"dropping-particle":"","family":"Cannon","given":"C. H.","non-dropping-particle":"","parse-names":false,"suffix":""},{"dropping-particle":"","family":"Eichhorn","given":"K. A O","non-dropping-particle":"","parse-names":false,"suffix":""},{"dropping-particle":"","family":"Kartawinata","given":"K.","non-dropping-particle":"","parse-names":false,"suffix":""},{"dropping-particle":"","family":"Lanniari","given":"I.","non-dropping-particle":"","parse-names":false,"suffix":""},{"dropping-particle":"","family":"Nagamasu","given":"H.","non-dropping-particle":"","parse-names":false,"suffix":""},{"dropping-particle":"","family":"Nakagawa","given":"M.","non-dropping-particle":"","parse-names":false,"suffix":""},{"dropping-particle":"","family":"Nieuwstadt","given":"M. G L","non-dropping-particle":"Van","parse-names":false,"suffix":""},{"dropping-particle":"","family":"Payne","given":"J.","non-dropping-particle":"","parse-names":false,"suffix":""},{"dropping-particle":"","family":"Purwaningsih","given":"","non-dropping-particle":"","parse-names":false,"suffix":""},{"dropping-particle":"","family":"Saridan","given":"A.","non-dropping-particle":"","parse-names":false,"suffix":""},{"dropping-particle":"","family":"Sidiyasa","given":"K.","non-dropping-particle":"","parse-names":false,"suffix":""},{"dropping-particle":"","family":"Verburg","given":"R. W.","non-dropping-particle":"","parse-names":false,"suffix":""},{"dropping-particle":"","family":"Webb","given":"C. O.","non-dropping-particle":"","parse-names":false,"suffix":""},{"dropping-particle":"","family":"Wilkie","given":"P.","non-dropping-particle":"","parse-names":false,"suffix":""}],"container-title":"Journal of Biogeography","id":"ITEM-1","issue":"10","issued":{"date-parts":[["2003"]]},"page":"1517-1531","title":"A floristic analysis of the lowland dipterocarp forests of Borneo","type":"article-journal","volume":"30"},"uris":["http://www.mendeley.com/documents/?uuid=fafaee02-56cb-402f-9d83-a4467279446b"]}],"mendeley":{"formattedCitation":"(Slik et al., 2003)","plainTextFormattedCitation":"(Slik et al., 2003)","previouslyFormattedCitation":"(Slik &lt;i&gt;et al.&lt;/i&gt;, 2003)"},"properties":{"noteIndex":0},"schema":"https://github.com/citation-style-language/schema/raw/master/csl-citation.json"}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Pr="00923F1B">
        <w:rPr>
          <w:rFonts w:ascii="Times New Roman" w:hAnsi="Times New Roman" w:cs="Times New Roman"/>
          <w:noProof/>
          <w:sz w:val="24"/>
          <w:szCs w:val="24"/>
          <w:lang w:val="en-GB"/>
        </w:rPr>
        <w:t>(Slik et al., 2003)</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xml:space="preserve">. Seeds were collected directly from the mother tree by shaking the outer fruit-bearing branches using a ‘bigshot' catapult and rope to control for maternal heritage. Species had variable numbers of mothers due to the availability of fruiting individuals, ranging from 1 to 9, with a total of 51 different mother trees used in this experiment. Seeds were germinated in wet jute sacks, transplanted into cylindrical polythene bags 9 x 15 cm filled with a mixture of sawdust and locally sourced alluvial topsoil. After germination, seedlings were grown for three months under 10% ambient light, typical of nursery conditions recreating a medium sized forest gap </w:t>
      </w:r>
      <w:r w:rsidRPr="00EC1733">
        <w:rPr>
          <w:rFonts w:ascii="Times New Roman" w:hAnsi="Times New Roman" w:cs="Times New Roman"/>
          <w:sz w:val="24"/>
          <w:szCs w:val="24"/>
          <w:lang w:val="en-GB"/>
        </w:rPr>
        <w:fldChar w:fldCharType="begin" w:fldLock="1"/>
      </w:r>
      <w:r w:rsidR="00923F1B">
        <w:rPr>
          <w:rFonts w:ascii="Times New Roman" w:hAnsi="Times New Roman" w:cs="Times New Roman"/>
          <w:sz w:val="24"/>
          <w:szCs w:val="24"/>
          <w:lang w:val="en-GB"/>
        </w:rPr>
        <w:instrText>ADDIN CSL_CITATION {"citationItems":[{"id":"ITEM-1","itemData":{"DOI":"10.1111/btp.12083","ISSN":"00063606","abstract":"Niche differentiation is a prominent mechanism for explaining tree species coexistence in tropical rain forests. Theory predicts that species that are specialized on a set of environmental conditions should competitively exclude generalists in those conditions, and that environmental heterogeneity allows the coexistence of many different species based on niche specialization. Yet, many tropical tree species of the family Dipterocarpaceae have broadly similar habitat preferences, with some occurring widely across several soil types. These soil generalists clearly persist despite the presence of other dipterocarp species that show clear soil specialization. We evaluate comparative seedling performance (growth and survival) of six Shorea species (Dipterocarpaceae) which differ in their adult tree habitat associations within the Sepilok Forest Reserve (Borneo, Malaysia). We tested the hypothesis that seedlings of species associated with a particular soil type perform better on that soil type than seedlings of soil generalist species, with generalists in turn performing better than specialists on a different soil type. We conducted a reciprocal transplant experiment including two soil types (alluvial and mudstone) and two light treatments (gap and understory). The soils differed in soil acidity, Al and P concentration. Observed species-specific differences in seedling responses to soil, light, and occasional flooding events could partially explain observed adult distribution, although not all species could be fully differentiated along these axes. Other trade-offs, such as investment in defense against herbivores and tolerance to soil waterlogging, may play additional roles in explaining coexistence of these species. © 2013 The Association for Tropical Biology and Conservation.","author":[{"dropping-particle":"","family":"Born","given":"Julia","non-dropping-particle":"","parse-names":false,"suffix":""},{"dropping-particle":"","family":"Pluess","given":"Andrea R.","non-dropping-particle":"","parse-names":false,"suffix":""},{"dropping-particle":"","family":"Burslem","given":"David F R P","non-dropping-particle":"","parse-names":false,"suffix":""},{"dropping-particle":"","family":"Nilus","given":"Reuben","non-dropping-particle":"","parse-names":false,"suffix":""},{"dropping-particle":"","family":"Maycock","given":"Colin R.","non-dropping-particle":"","parse-names":false,"suffix":""},{"dropping-particle":"","family":"Ghazoul","given":"Jaboury","non-dropping-particle":"","parse-names":false,"suffix":""}],"container-title":"Biotropica","id":"ITEM-1","issue":"1","issued":{"date-parts":[["2014"]]},"note":"Davies &amp;amp; Becker 1996, De Oliveira &amp;amp; Mori 1999, Lee et al. 2002)","page":"58-68","title":"Differing life history characteristics support coexistence of tree soil generalist and specialist species in tropical rain forests","type":"article-journal","volume":"46"},"uris":["http://www.mendeley.com/documents/?uuid=1803fa7b-fda0-473b-8dfc-c4acd4a638de"]},{"id":"ITEM-2","itemData":{"DOI":"10.1002/ece3.1186","ISBN":"2045-7758","ISSN":"20457758","PMID":"25478157","abstract":"A life-history trade-off between low mortality in the dark and rapid growth in the light is one of the most widely accepted mechanisms underlying plant ecological strategies in tropical forests. Differences in plant functional traits are thought to underlie these distinct ecological strategies; however, very few studies have shown relationships between functional traits and demographic rates within a functional group. We present 8years of growth and mortality data from saplings of 15 species of Dipterocarpaceae planted into logged-over forest in Malaysian Borneo, and the relationships between these demographic rates and four key functional traits: wood density, specific leaf area (SLA), seed mass, and leaf C:N ratio. Species-specific differences in growth rates were separated from seedling size effects by fitting nonlinear mixed-effects models, to repeated measurements taken on individuals at multiple time points. Mortality data were analyzed using binary logistic regressions in a mixed-effects models framework. Growth increased and mortality decreased with increasing light availability. Species differed in both their growth and mortality rates, yet there was little evidence for a statistical interaction between species and light for either response. There was a positive relationship between growth rate and the predicted probability of mortality regardless of light environment, suggesting that this relationship may be driven by a general trade-off between traits that maximize growth and traits that minimize mortality, rather than through differential species responses to light. Our results indicate that wood density is an important trait that indicates both the ability of species to grow and resistance to mortality, but no other trait was correlated with either growth or mortality. Therefore, the growth mortality trade-off among species of dipterocarp appears to be general in being independent of species crossovers in performance in different light environments.","author":[{"dropping-particle":"","family":"Philipson","given":"Christopher D.","non-dropping-particle":"","parse-names":false,"suffix":""},{"dropping-particle":"","family":"Dent","given":"Daisy H.","non-dropping-particle":"","parse-names":false,"suffix":""},{"dropping-particle":"","family":"O'Brien","given":"Michael J.","non-dropping-particle":"","parse-names":false,"suffix":""},{"dropping-particle":"","family":"Chamagne","given":"Juliette","non-dropping-particle":"","parse-names":false,"suffix":""},{"dropping-particle":"","family":"Dzulkifli","given":"Dzaeman","non-dropping-particle":"","parse-names":false,"suffix":""},{"dropping-particle":"","family":"Nilus","given":"Reuben","non-dropping-particle":"","parse-names":false,"suffix":""},{"dropping-particle":"","family":"Philips","given":"Sam","non-dropping-particle":"","parse-names":false,"suffix":""},{"dropping-particle":"","family":"Reynolds","given":"Glen","non-dropping-particle":"","parse-names":false,"suffix":""},{"dropping-particle":"","family":"Saner","given":"Philippe","non-dropping-particle":"","parse-names":false,"suffix":""},{"dropping-particle":"","family":"Hector","given":"Andy","non-dropping-particle":"","parse-names":false,"suffix":""}],"container-title":"Ecology and Evolution","id":"ITEM-2","issue":"18","issued":{"date-parts":[["2014"]]},"page":"3675-3688","title":"A trait-based trade-off between growth and mortality: evidence from 15 tropical tree species using size-specific relative growth rates","type":"article-journal","volume":"4"},"uris":["http://www.mendeley.com/documents/?uuid=d4642910-64b4-4a3a-80b1-fc98c73f721f"]}],"mendeley":{"formattedCitation":"(Born et al., 2014; Philipson et al., 2014)","plainTextFormattedCitation":"(Born et al., 2014; Philipson et al., 2014)","previouslyFormattedCitation":"(Born &lt;i&gt;et al.&lt;/i&gt;, 2014; Philipson &lt;i&gt;et al.&lt;/i&gt;, 2014)"},"properties":{"noteIndex":0},"schema":"https://github.com/citation-style-language/schema/raw/master/csl-citation.json"}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Pr="00923F1B">
        <w:rPr>
          <w:rFonts w:ascii="Times New Roman" w:hAnsi="Times New Roman" w:cs="Times New Roman"/>
          <w:noProof/>
          <w:sz w:val="24"/>
          <w:szCs w:val="24"/>
          <w:lang w:val="en-GB"/>
        </w:rPr>
        <w:t>(Born et al., 2014; Philipson et al., 2014)</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xml:space="preserve"> and watered daily before being transplanted into the forest after discarding their cotyledons and first true leaves had developed.</w:t>
      </w:r>
    </w:p>
    <w:p w:rsidR="00975849" w:rsidRPr="00EC1733" w:rsidRDefault="00975849" w:rsidP="00975849">
      <w:pPr>
        <w:pStyle w:val="NoSpacing"/>
        <w:spacing w:line="480" w:lineRule="auto"/>
        <w:ind w:firstLine="708"/>
        <w:jc w:val="both"/>
        <w:rPr>
          <w:rFonts w:ascii="Times New Roman" w:hAnsi="Times New Roman" w:cs="Times New Roman"/>
          <w:sz w:val="24"/>
          <w:szCs w:val="24"/>
          <w:lang w:val="en-GB"/>
        </w:rPr>
      </w:pPr>
    </w:p>
    <w:p w:rsidR="00975849" w:rsidRPr="00EC1733" w:rsidRDefault="00975849" w:rsidP="00975849">
      <w:pPr>
        <w:pStyle w:val="NoSpacing"/>
        <w:spacing w:line="480" w:lineRule="auto"/>
        <w:jc w:val="both"/>
        <w:rPr>
          <w:rFonts w:ascii="Times New Roman" w:hAnsi="Times New Roman" w:cs="Times New Roman"/>
          <w:b/>
          <w:sz w:val="24"/>
          <w:szCs w:val="24"/>
          <w:lang w:val="en-GB"/>
        </w:rPr>
      </w:pPr>
      <w:r w:rsidRPr="00EC1733">
        <w:rPr>
          <w:rFonts w:ascii="Times New Roman" w:hAnsi="Times New Roman" w:cs="Times New Roman"/>
          <w:b/>
          <w:sz w:val="24"/>
          <w:szCs w:val="24"/>
          <w:lang w:val="en-GB"/>
        </w:rPr>
        <w:t xml:space="preserve">Experimental Design. </w:t>
      </w:r>
      <w:r w:rsidRPr="00EC1733">
        <w:rPr>
          <w:rFonts w:ascii="Times New Roman" w:hAnsi="Times New Roman" w:cs="Times New Roman"/>
          <w:sz w:val="24"/>
          <w:szCs w:val="24"/>
          <w:lang w:val="en-GB"/>
        </w:rPr>
        <w:t xml:space="preserve">We planted a total of 2048 seedlings in a stratified randomized block design in October 2014. There were 16 blocks with two plots nested in each. Twelve blocks were within a 160 ha long-term forest dynamics plot (see below for details), and four blocks were outside this area. The furthest distance that a block was from the </w:t>
      </w:r>
      <w:proofErr w:type="gramStart"/>
      <w:r w:rsidRPr="00EC1733">
        <w:rPr>
          <w:rFonts w:ascii="Times New Roman" w:hAnsi="Times New Roman" w:cs="Times New Roman"/>
          <w:sz w:val="24"/>
          <w:szCs w:val="24"/>
          <w:lang w:val="en-GB"/>
        </w:rPr>
        <w:t>160 ha</w:t>
      </w:r>
      <w:proofErr w:type="gramEnd"/>
      <w:r w:rsidRPr="00EC1733">
        <w:rPr>
          <w:rFonts w:ascii="Times New Roman" w:hAnsi="Times New Roman" w:cs="Times New Roman"/>
          <w:sz w:val="24"/>
          <w:szCs w:val="24"/>
          <w:lang w:val="en-GB"/>
        </w:rPr>
        <w:t xml:space="preserve"> plot boundary was 198 m. Two alluvial floodplains in SFR, separated by a ca. 800 m formation of mudstone hills, were used to distribute the blocks in natural gaps equitably &gt; 100 m apart (Fig 1a &amp; b). Within each block, the two plots were in conditions with an open canopy &lt; 50 m apart.  Each plot was in either high or low topographical positions to capture variation in meso-topography and hydrology. We surveyed for prospective blocks fitting these criteria, forming a collection of possible locations. From these, we randomly selected the positions of the final blocks. We planted in each plot four individuals from each of the 16 species (Table S3) while maximizing the possible maternal diversity. We did this by evenly distributing the seedlings derived from </w:t>
      </w:r>
      <w:r w:rsidRPr="00EC1733">
        <w:rPr>
          <w:rFonts w:ascii="Times New Roman" w:hAnsi="Times New Roman" w:cs="Times New Roman"/>
          <w:sz w:val="24"/>
          <w:szCs w:val="24"/>
          <w:lang w:val="en-GB"/>
        </w:rPr>
        <w:lastRenderedPageBreak/>
        <w:t xml:space="preserve">different mother trees among plots and blocks within the design framework. To ensure that mortality caused by transplanting seedlings from the nursery to the forest was not a source of error, we replaced any dead or damaged seedlings before the start of the experiment in December. Plots were square with a side length of 2.4m and contained 64 seedling positions spaced at 30 cm apart. Each position within all plots was assigned a random seedling fitting the criteria described above. </w:t>
      </w:r>
    </w:p>
    <w:p w:rsidR="00975849" w:rsidRPr="00EC1733" w:rsidRDefault="00975849" w:rsidP="00975849">
      <w:pPr>
        <w:pStyle w:val="NoSpacing"/>
        <w:spacing w:line="480" w:lineRule="auto"/>
        <w:jc w:val="both"/>
        <w:rPr>
          <w:rFonts w:ascii="Times New Roman" w:hAnsi="Times New Roman" w:cs="Times New Roman"/>
          <w:b/>
          <w:sz w:val="24"/>
          <w:szCs w:val="24"/>
          <w:lang w:val="en-GB"/>
        </w:rPr>
      </w:pPr>
    </w:p>
    <w:p w:rsidR="00975849" w:rsidRPr="00EC1733" w:rsidRDefault="00975849" w:rsidP="00975849">
      <w:pPr>
        <w:pStyle w:val="NoSpacing"/>
        <w:spacing w:line="480" w:lineRule="auto"/>
        <w:jc w:val="both"/>
        <w:rPr>
          <w:rFonts w:ascii="Times New Roman" w:hAnsi="Times New Roman" w:cs="Times New Roman"/>
          <w:b/>
          <w:sz w:val="24"/>
          <w:szCs w:val="24"/>
          <w:lang w:val="en-GB"/>
        </w:rPr>
      </w:pPr>
    </w:p>
    <w:p w:rsidR="00975849" w:rsidRPr="00EC1733" w:rsidRDefault="00975849" w:rsidP="00975849">
      <w:pPr>
        <w:pStyle w:val="NoSpacing"/>
        <w:spacing w:line="480" w:lineRule="auto"/>
        <w:jc w:val="both"/>
        <w:rPr>
          <w:rFonts w:ascii="Times New Roman" w:hAnsi="Times New Roman" w:cs="Times New Roman"/>
          <w:b/>
          <w:sz w:val="24"/>
          <w:szCs w:val="24"/>
          <w:lang w:val="en-GB"/>
        </w:rPr>
      </w:pPr>
      <w:r w:rsidRPr="00EC1733">
        <w:rPr>
          <w:rFonts w:ascii="Times New Roman" w:hAnsi="Times New Roman" w:cs="Times New Roman"/>
          <w:b/>
          <w:sz w:val="24"/>
          <w:szCs w:val="24"/>
          <w:lang w:val="en-GB"/>
        </w:rPr>
        <w:t xml:space="preserve">Environmental Variables. </w:t>
      </w:r>
      <w:r w:rsidRPr="00EC1733">
        <w:rPr>
          <w:rFonts w:ascii="Times New Roman" w:hAnsi="Times New Roman" w:cs="Times New Roman"/>
          <w:sz w:val="24"/>
          <w:szCs w:val="24"/>
          <w:lang w:val="en-GB"/>
        </w:rPr>
        <w:t>We measured micro-topographic undulations within each plot with a laser level fixed to a pole placed upright ensuring both horizontal tubular bubbles were correct. The level's fan angle laser projected a horizontal beam over the plot. By measuring down from the laser to each seedling using a tape measure, we calculated the relative elevation of each seedling in the plot. The laser level was also used to calculate the difference in elevation between the two plots within each block. We determined the relative seedling elevations within blocks by adding the difference between the plot elevations to the higher plot.</w:t>
      </w:r>
    </w:p>
    <w:p w:rsidR="00975849" w:rsidRPr="00EC1733" w:rsidRDefault="00975849" w:rsidP="00975849">
      <w:pPr>
        <w:pStyle w:val="NoSpacing"/>
        <w:spacing w:line="480" w:lineRule="auto"/>
        <w:ind w:firstLine="708"/>
        <w:jc w:val="both"/>
        <w:rPr>
          <w:rFonts w:ascii="Times New Roman" w:hAnsi="Times New Roman" w:cs="Times New Roman"/>
          <w:sz w:val="24"/>
          <w:szCs w:val="24"/>
          <w:lang w:val="en-GB"/>
        </w:rPr>
      </w:pPr>
      <w:r w:rsidRPr="00EC1733">
        <w:rPr>
          <w:rFonts w:ascii="Times New Roman" w:hAnsi="Times New Roman" w:cs="Times New Roman"/>
          <w:sz w:val="24"/>
          <w:szCs w:val="24"/>
          <w:lang w:val="en-GB"/>
        </w:rPr>
        <w:t xml:space="preserve">We measured the water depth at the lowest seedling 13 times during the wettest </w:t>
      </w:r>
      <w:proofErr w:type="gramStart"/>
      <w:r w:rsidRPr="00EC1733">
        <w:rPr>
          <w:rFonts w:ascii="Times New Roman" w:hAnsi="Times New Roman" w:cs="Times New Roman"/>
          <w:sz w:val="24"/>
          <w:szCs w:val="24"/>
          <w:lang w:val="en-GB"/>
        </w:rPr>
        <w:t>24 day</w:t>
      </w:r>
      <w:proofErr w:type="gramEnd"/>
      <w:r w:rsidRPr="00EC1733">
        <w:rPr>
          <w:rFonts w:ascii="Times New Roman" w:hAnsi="Times New Roman" w:cs="Times New Roman"/>
          <w:sz w:val="24"/>
          <w:szCs w:val="24"/>
          <w:lang w:val="en-GB"/>
        </w:rPr>
        <w:t xml:space="preserve"> period. By knowing the relative elevation of all seedlings in every plot we can calculate the mean extent of water inundation for every seedling within a block. Mean flood levels for each block can link plots together. This approach is more desirable than measuring the exact altitude of each plot, as observations indicated that groundwater levels did not play a significant role in determining inundation levels with plots. Furthermore, we found evidence of gleying (mottled oranges and greys, Fig. S3) in many of the plots, indicating that these areas may experience anaerobic conditions although well above river levels.</w:t>
      </w:r>
    </w:p>
    <w:p w:rsidR="00975849" w:rsidRPr="00EC1733" w:rsidRDefault="00975849" w:rsidP="00975849">
      <w:pPr>
        <w:spacing w:after="0" w:line="480" w:lineRule="auto"/>
        <w:ind w:firstLine="708"/>
        <w:jc w:val="both"/>
        <w:rPr>
          <w:rFonts w:ascii="Times New Roman" w:hAnsi="Times New Roman" w:cs="Times New Roman"/>
          <w:sz w:val="24"/>
          <w:szCs w:val="24"/>
        </w:rPr>
      </w:pPr>
      <w:r w:rsidRPr="00EC1733">
        <w:rPr>
          <w:rFonts w:ascii="Times New Roman" w:hAnsi="Times New Roman" w:cs="Times New Roman"/>
          <w:sz w:val="24"/>
          <w:szCs w:val="24"/>
        </w:rPr>
        <w:t>Flash floods occurred several times during January 2015 in SFR with the most intense rainfall in the morning of January 14</w:t>
      </w:r>
      <w:r w:rsidRPr="00EC1733">
        <w:rPr>
          <w:rFonts w:ascii="Times New Roman" w:hAnsi="Times New Roman" w:cs="Times New Roman"/>
          <w:sz w:val="24"/>
          <w:szCs w:val="24"/>
          <w:vertAlign w:val="superscript"/>
        </w:rPr>
        <w:t>th</w:t>
      </w:r>
      <w:r w:rsidRPr="00EC1733">
        <w:rPr>
          <w:rFonts w:ascii="Times New Roman" w:hAnsi="Times New Roman" w:cs="Times New Roman"/>
          <w:sz w:val="24"/>
          <w:szCs w:val="24"/>
        </w:rPr>
        <w:t xml:space="preserve">, </w:t>
      </w:r>
      <w:r w:rsidRPr="00EC1733">
        <w:rPr>
          <w:rFonts w:ascii="Times New Roman" w:hAnsi="Times New Roman" w:cs="Times New Roman"/>
          <w:sz w:val="24"/>
          <w:szCs w:val="24"/>
        </w:rPr>
        <w:softHyphen/>
        <w:t xml:space="preserve">when 178.3 mm fell within a </w:t>
      </w:r>
      <w:proofErr w:type="gramStart"/>
      <w:r w:rsidRPr="00EC1733">
        <w:rPr>
          <w:rFonts w:ascii="Times New Roman" w:hAnsi="Times New Roman" w:cs="Times New Roman"/>
          <w:sz w:val="24"/>
          <w:szCs w:val="24"/>
        </w:rPr>
        <w:t>6 hour</w:t>
      </w:r>
      <w:proofErr w:type="gramEnd"/>
      <w:r w:rsidRPr="00EC1733">
        <w:rPr>
          <w:rFonts w:ascii="Times New Roman" w:hAnsi="Times New Roman" w:cs="Times New Roman"/>
          <w:sz w:val="24"/>
          <w:szCs w:val="24"/>
        </w:rPr>
        <w:t xml:space="preserve"> period (January’s daily mean precipitation was 12.3 mm 95% CrI = 11.0 – 13.8 mm, Fig. S2). Nineteen plots </w:t>
      </w:r>
      <w:r w:rsidRPr="00EC1733">
        <w:rPr>
          <w:rFonts w:ascii="Times New Roman" w:hAnsi="Times New Roman" w:cs="Times New Roman"/>
          <w:sz w:val="24"/>
          <w:szCs w:val="24"/>
        </w:rPr>
        <w:lastRenderedPageBreak/>
        <w:t>showed complete and eight plots showing partial submergence (27 out of 32) during this event. However, rivers and surface runoff drained sites quickly, freeing the seedlings from submergence in &lt; 5 hours (mean drainage rate: 26.6 ± 17.5 cm hour</w:t>
      </w:r>
      <w:r w:rsidRPr="00EC1733">
        <w:rPr>
          <w:rFonts w:ascii="Times New Roman" w:hAnsi="Times New Roman" w:cs="Times New Roman"/>
          <w:sz w:val="24"/>
          <w:szCs w:val="24"/>
          <w:vertAlign w:val="superscript"/>
        </w:rPr>
        <w:t>-1</w:t>
      </w:r>
      <w:r w:rsidRPr="00EC1733">
        <w:rPr>
          <w:rFonts w:ascii="Times New Roman" w:hAnsi="Times New Roman" w:cs="Times New Roman"/>
          <w:sz w:val="24"/>
          <w:szCs w:val="24"/>
        </w:rPr>
        <w:t xml:space="preserve">; n = 4 locations). </w:t>
      </w:r>
    </w:p>
    <w:p w:rsidR="00975849" w:rsidRPr="00EC1733" w:rsidRDefault="00975849" w:rsidP="00975849">
      <w:pPr>
        <w:pStyle w:val="NoSpacing"/>
        <w:spacing w:line="480" w:lineRule="auto"/>
        <w:ind w:firstLine="708"/>
        <w:jc w:val="both"/>
        <w:rPr>
          <w:rFonts w:ascii="Times New Roman" w:hAnsi="Times New Roman" w:cs="Times New Roman"/>
          <w:sz w:val="24"/>
          <w:szCs w:val="24"/>
          <w:lang w:val="en-GB"/>
        </w:rPr>
      </w:pPr>
      <w:r w:rsidRPr="00EC1733">
        <w:rPr>
          <w:rFonts w:ascii="Times New Roman" w:hAnsi="Times New Roman" w:cs="Times New Roman"/>
          <w:sz w:val="24"/>
          <w:szCs w:val="24"/>
          <w:lang w:val="en-GB"/>
        </w:rPr>
        <w:t>Four soil samples were taken from each plot using a soil auger at two corners corresponding to a maximum and minimum elevation with</w:t>
      </w:r>
      <w:r>
        <w:rPr>
          <w:rFonts w:ascii="Times New Roman" w:hAnsi="Times New Roman" w:cs="Times New Roman"/>
          <w:sz w:val="24"/>
          <w:szCs w:val="24"/>
          <w:lang w:val="en-GB"/>
        </w:rPr>
        <w:t>in</w:t>
      </w:r>
      <w:r w:rsidRPr="00EC1733">
        <w:rPr>
          <w:rFonts w:ascii="Times New Roman" w:hAnsi="Times New Roman" w:cs="Times New Roman"/>
          <w:sz w:val="24"/>
          <w:szCs w:val="24"/>
          <w:lang w:val="en-GB"/>
        </w:rPr>
        <w:t xml:space="preserve"> each plot, and two depths (0-15 and 30-50 cm </w:t>
      </w:r>
      <w:r w:rsidRPr="00EC1733">
        <w:rPr>
          <w:rFonts w:ascii="Times New Roman" w:hAnsi="Times New Roman" w:cs="Times New Roman"/>
          <w:sz w:val="24"/>
          <w:szCs w:val="24"/>
          <w:lang w:val="en-GB"/>
        </w:rPr>
        <w:fldChar w:fldCharType="begin" w:fldLock="1"/>
      </w:r>
      <w:r w:rsidR="00923F1B">
        <w:rPr>
          <w:rFonts w:ascii="Times New Roman" w:hAnsi="Times New Roman" w:cs="Times New Roman"/>
          <w:sz w:val="24"/>
          <w:szCs w:val="24"/>
          <w:lang w:val="en-GB"/>
        </w:rPr>
        <w:instrText>ADDIN CSL_CITATION {"citationItems":[{"id":"ITEM-1","itemData":{"DOI":"10.1111/j.1744-7429.2011.00837.x","ISBN":"1744-7429","ISSN":"00063606","abstract":"Plant habitat associations are well documented in Bornean lowland tropical forests, but few studies contrast the prevalence of associations across sites. We examined habitat associations and community composition of Dipterocarpaceae trees in two contrasting Bornean lowland mixed dipterocarp forests separated by approximately 100 km: Andulau (uniform topography, lower altitudinal range, sandy soils) and Belalong (highly dissected topography, higher altitudinal range, clay-rich soils). Dipterocarpaceae trees ≥ 1 cm diameter at breast height (dbh) were censused in 20-m wide belt transects established along topographic gradients at each site. Dipterocarp density, evenness, species richness, and diversity were significantly higher at Andulau than Belalong. Significant site associations (with either Andulau or Belalong) were detected for 19 (52%) of the 37 dipterocarp species tested. Dipterocarpaceae community composition at Belalong correlated with soil nutrient concentrations as well as measures of vegetation and topographic structure, but community composition at Andulau correlated with fewer habitat variables. Within each site, dipterocarp density, species richness, and diversity were consistently higher on ridges than in slopes and valleys. Significant within-site associations to topographic habitats were less common at Andulau (10% of species tested) than at Belalong (15%). We conclude that edaphic and other environmental factors influence dipterocarp community composition at a local scale, and are more important drivers of community structure in the more variable environment at Belalong. Species richness and diversity of dipterocarps on small plots, however, were higher at Andulau, suggesting that factors other than environmental heterogeneity contribute to contrasts in dipterocarp tree species richness at small scales.","author":[{"dropping-particle":"","family":"Sukri","given":"Rahayu S.","non-dropping-particle":"","parse-names":false,"suffix":""},{"dropping-particle":"","family":"Wahab","given":"Rodzay A.","non-dropping-particle":"","parse-names":false,"suffix":""},{"dropping-particle":"","family":"Salim","given":"Kamariah A.","non-dropping-particle":"","parse-names":false,"suffix":""},{"dropping-particle":"","family":"Burslem","given":"David F R P","non-dropping-particle":"","parse-names":false,"suffix":""}],"container-title":"Biotropica","id":"ITEM-1","issue":"5","issued":{"date-parts":[["2012"]]},"page":"595-605","title":"Habitat associations and community structure of dipterocarps in response to environment and soil conditions in Brunei Darussalam, Northwest Borneo","type":"article-journal","volume":"44"},"uris":["http://www.mendeley.com/documents/?uuid=6b40558c-6289-4315-b02a-d06786762f8f"]}],"mendeley":{"formattedCitation":"(Sukri, Wahab, Salim, &amp; Burslem, 2012)","plainTextFormattedCitation":"(Sukri, Wahab, Salim, &amp; Burslem, 2012)","previouslyFormattedCitation":"(Sukri &lt;i&gt;et al.&lt;/i&gt;, 2012)"},"properties":{"noteIndex":0},"schema":"https://github.com/citation-style-language/schema/raw/master/csl-citation.json"}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00923F1B" w:rsidRPr="00923F1B">
        <w:rPr>
          <w:rFonts w:ascii="Times New Roman" w:hAnsi="Times New Roman" w:cs="Times New Roman"/>
          <w:noProof/>
          <w:sz w:val="24"/>
          <w:szCs w:val="24"/>
          <w:lang w:val="en-GB"/>
        </w:rPr>
        <w:t>(Sukri, Wahab, Salim, &amp; Burslem, 2012)</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xml:space="preserve">). The soil stored in a cold dark room for three months to air-dry. The two samples from equal depths within each plot were homogenized, leaving 32 from the surface and 32 from the lower layer of soil. Soil pH was determined by measuring samples after mixing with distilled water </w:t>
      </w:r>
      <w:r w:rsidRPr="00EC1733">
        <w:rPr>
          <w:rFonts w:ascii="Times New Roman" w:hAnsi="Times New Roman" w:cs="Times New Roman"/>
          <w:sz w:val="24"/>
          <w:szCs w:val="24"/>
          <w:lang w:val="en-GB"/>
        </w:rPr>
        <w:fldChar w:fldCharType="begin" w:fldLock="1"/>
      </w:r>
      <w:r w:rsidRPr="00EC1733">
        <w:rPr>
          <w:rFonts w:ascii="Times New Roman" w:hAnsi="Times New Roman" w:cs="Times New Roman"/>
          <w:sz w:val="24"/>
          <w:szCs w:val="24"/>
          <w:lang w:val="en-GB"/>
        </w:rPr>
        <w:instrText>ADDIN CSL_CITATION {"citationItems":[{"id":"ITEM-1","itemData":{"author":[{"dropping-particle":"","family":"Allen","given":"S E","non-dropping-particle":"","parse-names":false,"suffix":""}],"edition":"2","id":"ITEM-1","issued":{"date-parts":[["1989"]]},"publisher":"Blackwell Scientific Publications","publisher-place":"Oxford","title":"Chemical analysis of ecological materials","type":"book"},"uris":["http://www.mendeley.com/documents/?uuid=6bb2a1a5-1f55-4d35-b170-24c2c7f09448"]}],"mendeley":{"formattedCitation":"(Allen, 1989)","plainTextFormattedCitation":"(Allen, 1989)","previouslyFormattedCitation":"(Allen, 1989)"},"properties":{"noteIndex":0},"schema":"https://github.com/citation-style-language/schema/raw/master/csl-citation.json"}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Pr="00EC1733">
        <w:rPr>
          <w:rFonts w:ascii="Times New Roman" w:hAnsi="Times New Roman" w:cs="Times New Roman"/>
          <w:noProof/>
          <w:sz w:val="24"/>
          <w:szCs w:val="24"/>
          <w:lang w:val="en-GB"/>
        </w:rPr>
        <w:t>(Allen, 1989)</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xml:space="preserve">. Soil texture was used as an edaphic variable to provide a proxy for soil fertility </w:t>
      </w:r>
      <w:r w:rsidRPr="00EC1733">
        <w:rPr>
          <w:rFonts w:ascii="Times New Roman" w:hAnsi="Times New Roman" w:cs="Times New Roman"/>
          <w:sz w:val="24"/>
          <w:szCs w:val="24"/>
          <w:lang w:val="en-GB"/>
        </w:rPr>
        <w:fldChar w:fldCharType="begin" w:fldLock="1"/>
      </w:r>
      <w:r w:rsidR="00923F1B">
        <w:rPr>
          <w:rFonts w:ascii="Times New Roman" w:hAnsi="Times New Roman" w:cs="Times New Roman"/>
          <w:sz w:val="24"/>
          <w:szCs w:val="24"/>
          <w:lang w:val="en-GB"/>
        </w:rPr>
        <w:instrText>ADDIN CSL_CITATION {"citationItems":[{"id":"ITEM-1","itemData":{"DOI":"10.1046/j.1440-1703.2003.00556.x","ISBN":"0912-3814","ISSN":"09123814","abstract":"Relationships between spatial distributions and site conditions, namely topography and soil texture, were analyzed for two congeneric emergent trees, Dryobalanops aromatica and Dryobalanops lanceolata (Dipterocarpaceae), in a tropical rainforest in Sarawak, East Malaysia. A 52-ha permanent plot was divided into 1300 quadrats measuring 20 m ¥ 20 m; for each Dryobalanops species, the number and total basal area of trees ≥ 1 cm in d.b.h. were compared among groups of quadrats with different site conditions. Because spatial distributions of both Dryobalanops and site-condition variables were aggregated, Monte-Carlo permutation tests were applied to analyze the relationships. Both single and multifactor statistical tests showed that the density and basal area distributions of the two spe-cies were significantly non-random in relation to soil texture and topographic variables. D. aromatica was significantly more abundant at higher elevations, in sandy soils, and on convex and steep slopes. In contrast, D. lanceolata preferred lower elevations and less sandy soils. In the study plot, there were very few sites (3 of 1150 quadrats tested) where the models of Hayashi's method predicted the co-occurrence of the two species. These results suggest that between-species differences in habitat pref-erences are so large that they alone explain the spatially segregated distributions of these two species within the 52-ha study plot.","author":[{"dropping-particle":"","family":"Itoh","given":"Akira","non-dropping-particle":"","parse-names":false,"suffix":""},{"dropping-particle":"","family":"Yamakura","given":"Takuo","non-dropping-particle":"","parse-names":false,"suffix":""},{"dropping-particle":"","family":"Ohkubo","given":"Tatsuhiro","non-dropping-particle":"","parse-names":false,"suffix":""},{"dropping-particle":"","family":"Kanzaki","given":"Mamoru","non-dropping-particle":"","parse-names":false,"suffix":""},{"dropping-particle":"","family":"Palmiotto","given":"Peter A.","non-dropping-particle":"","parse-names":false,"suffix":""},{"dropping-particle":"V.","family":"LaFrankie","given":"James","non-dropping-particle":"","parse-names":false,"suffix":""},{"dropping-particle":"","family":"Ashton","given":"Peter S.","non-dropping-particle":"","parse-names":false,"suffix":""},{"dropping-particle":"","family":"Lee","given":"Hua Seng","non-dropping-particle":"","parse-names":false,"suffix":""}],"container-title":"Ecological Research","id":"ITEM-1","issue":"3","issued":{"date-parts":[["2003"]]},"note":"Soil texture was used for an edaphic variable because previous studies showed that soil fertility and soil water conditions were closely related to soil texture at Lambir (Baillie &amp;amp; Ahmed 1984; Ashton &amp;amp; Hall 1992; Hirai et al. 1997)","page":"307-320","title":"Importance of topography and soil texture in the spatial distribution of two sympatric dipterocarp trees in a Bornean rainforest","type":"article-journal","volume":"18"},"uris":["http://www.mendeley.com/documents/?uuid=53189350-0bb6-49e7-9115-05ced83ab814"]},{"id":"ITEM-2","itemData":{"DOI":"10.3759/tropics.7.21","ISSN":"0917-415X","author":[{"dropping-particle":"","family":"Hirai","given":"Hideaki","non-dropping-particle":"","parse-names":false,"suffix":""},{"dropping-particle":"","family":"Matsumura","given":"Hiroshi","non-dropping-particle":"","parse-names":false,"suffix":""},{"dropping-particle":"","family":"Hirotani","given":"Hiroshi","non-dropping-particle":"","parse-names":false,"suffix":""},{"dropping-particle":"","family":"Sakurai","given":"Katsutoshi","non-dropping-particle":"","parse-names":false,"suffix":""},{"dropping-particle":"","family":"Ogino","given":"Kazuhiko","non-dropping-particle":"","parse-names":false,"suffix":""},{"dropping-particle":"","family":"Lee","given":"Hua Seng","non-dropping-particle":"","parse-names":false,"suffix":""}],"container-title":"Tropics","id":"ITEM-2","issue":"July","issued":{"date-parts":[["1997"]]},"note":"Da soils\n- sandy texture \n-Thicker organic layer\nDl soils\n- sand content higher \n-sandy to clayey\n- ten times as many fungal colonies in the Da soils \n-thinner organic layer \n-p2o2, Ca, Mg, K2) MgO, higher","page":"21-33","title":"Soils and the distribution of Dryobalanops aromatica and D. lanceolata in mixed dipterocarp forest - a case study at Lambir Hills National Park, Sarawak, Malaysia","type":"article-journal","volume":"7"},"uris":["http://www.mendeley.com/documents/?uuid=8372072b-4875-4e89-87d7-ef914490de38"]}],"mendeley":{"formattedCitation":"(Hirai et al., 1997; Itoh et al., 2003)","plainTextFormattedCitation":"(Hirai et al., 1997; Itoh et al., 2003)","previouslyFormattedCitation":"(Hirai &lt;i&gt;et al.&lt;/i&gt;, 1997; Itoh &lt;i&gt;et al.&lt;/i&gt;, 2003)"},"properties":{"noteIndex":0},"schema":"https://github.com/citation-style-language/schema/raw/master/csl-citation.json"}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Pr="00923F1B">
        <w:rPr>
          <w:rFonts w:ascii="Times New Roman" w:hAnsi="Times New Roman" w:cs="Times New Roman"/>
          <w:noProof/>
          <w:sz w:val="24"/>
          <w:szCs w:val="24"/>
          <w:lang w:val="en-GB"/>
        </w:rPr>
        <w:t>(Hirai et al., 1997; Itoh et al., 2003)</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xml:space="preserve">. We used the pipet method to determine the three soil texture fractions, clay, silt and sand at the plot level </w:t>
      </w:r>
      <w:r w:rsidRPr="00EC1733">
        <w:rPr>
          <w:rFonts w:ascii="Times New Roman" w:hAnsi="Times New Roman" w:cs="Times New Roman"/>
          <w:sz w:val="24"/>
          <w:szCs w:val="24"/>
          <w:lang w:val="en-GB"/>
        </w:rPr>
        <w:fldChar w:fldCharType="begin" w:fldLock="1"/>
      </w:r>
      <w:r w:rsidRPr="00EC1733">
        <w:rPr>
          <w:rFonts w:ascii="Times New Roman" w:hAnsi="Times New Roman" w:cs="Times New Roman"/>
          <w:sz w:val="24"/>
          <w:szCs w:val="24"/>
          <w:lang w:val="en-GB"/>
        </w:rPr>
        <w:instrText>ADDIN CSL_CITATION {"citationItems":[{"id":"ITEM-1","itemData":{"author":[{"dropping-particle":"","family":"Majalap-Lee, N &amp; Hin","given":"C N","non-dropping-particle":"","parse-names":false,"suffix":""}],"id":"ITEM-1","issued":{"date-parts":[["1992"]]},"publisher":"Forestry Research Centre, Sandakan, Malaysia","publisher-place":"Sandakan","title":"Laboratory Manual for Chemcial Analysis","type":"book"},"uris":["http://www.mendeley.com/documents/?uuid=6ecc312c-3ccf-4685-a6a2-1e27e1a0805f"]}],"mendeley":{"formattedCitation":"(Majalap-Lee, N &amp; Hin, 1992)","plainTextFormattedCitation":"(Majalap-Lee, N &amp; Hin, 1992)","previouslyFormattedCitation":"(Majalap-Lee, N &amp; Hin, 1992)"},"properties":{"noteIndex":0},"schema":"https://github.com/citation-style-language/schema/raw/master/csl-citation.json"}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Pr="00EC1733">
        <w:rPr>
          <w:rFonts w:ascii="Times New Roman" w:hAnsi="Times New Roman" w:cs="Times New Roman"/>
          <w:noProof/>
          <w:sz w:val="24"/>
          <w:szCs w:val="24"/>
          <w:lang w:val="en-GB"/>
        </w:rPr>
        <w:t>(Majalap-Lee, N &amp; Hin, 1992)</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Organic matter was digested using ammonia solution and hydrogen peroxide with a hot plate. The contents were transferred to a 1L measuring cylinder, filled with distilled water and boiled. Exploiting the differences in settling time of the soil fractions clay, silt, and sand; we pipetted out the solutions and calculated the mean percentage of clay, silt, and sand per plot.</w:t>
      </w:r>
    </w:p>
    <w:p w:rsidR="00975849" w:rsidRPr="00EC1733" w:rsidRDefault="00975849" w:rsidP="00975849">
      <w:pPr>
        <w:pStyle w:val="NoSpacing"/>
        <w:spacing w:line="480" w:lineRule="auto"/>
        <w:jc w:val="both"/>
        <w:rPr>
          <w:rFonts w:ascii="Times New Roman" w:hAnsi="Times New Roman" w:cs="Times New Roman"/>
          <w:sz w:val="24"/>
          <w:szCs w:val="24"/>
          <w:lang w:val="en-GB"/>
        </w:rPr>
      </w:pPr>
      <w:r w:rsidRPr="00EC1733">
        <w:rPr>
          <w:rFonts w:ascii="Times New Roman" w:hAnsi="Times New Roman" w:cs="Times New Roman"/>
          <w:sz w:val="24"/>
          <w:szCs w:val="24"/>
          <w:lang w:val="en-GB"/>
        </w:rPr>
        <w:tab/>
        <w:t>The light environment for each plot was measured using a spherical densiometer. The densiometer was held level in the centre of each plot ca. 30 cm above the ground. We counted the number of quarter grid cells on the concave mirror that were reflecting open canopy as the value of canopy openness</w:t>
      </w:r>
      <w:r w:rsidRPr="00EC1733">
        <w:rPr>
          <w:rFonts w:ascii="Times New Roman" w:hAnsi="Times New Roman" w:cs="Times New Roman"/>
          <w:sz w:val="24"/>
          <w:szCs w:val="24"/>
          <w:lang w:val="en-GB"/>
        </w:rPr>
        <w:fldChar w:fldCharType="begin" w:fldLock="1"/>
      </w:r>
      <w:r w:rsidR="00923F1B">
        <w:rPr>
          <w:rFonts w:ascii="Times New Roman" w:hAnsi="Times New Roman" w:cs="Times New Roman"/>
          <w:sz w:val="24"/>
          <w:szCs w:val="24"/>
          <w:lang w:val="en-GB"/>
        </w:rPr>
        <w:instrText>ADDIN CSL_CITATION {"citationItems":[{"id":"ITEM-1","itemData":{"author":[{"dropping-particle":"","family":"Lemmon","given":"P. E.","non-dropping-particle":"","parse-names":false,"suffix":""}],"container-title":"Forest Science","id":"ITEM-1","issued":{"date-parts":[["1956"]]},"page":"314-320","title":"A spherical densiometer for estimating forest overstory density","type":"article-journal","volume":"2"},"uris":["http://www.mendeley.com/documents/?uuid=5a2b1a2e-b60e-402c-b8db-b4a193f493ea"]},{"id":"ITEM-2","itemData":{"DOI":"10.1002/ece3.1186","ISBN":"2045-7758","ISSN":"20457758","PMID":"25478157","abstract":"A life-history trade-off between low mortality in the dark and rapid growth in the light is one of the most widely accepted mechanisms underlying plant ecological strategies in tropical forests. Differences in plant functional traits are thought to underlie these distinct ecological strategies; however, very few studies have shown relationships between functional traits and demographic rates within a functional group. We present 8years of growth and mortality data from saplings of 15 species of Dipterocarpaceae planted into logged-over forest in Malaysian Borneo, and the relationships between these demographic rates and four key functional traits: wood density, specific leaf area (SLA), seed mass, and leaf C:N ratio. Species-specific differences in growth rates were separated from seedling size effects by fitting nonlinear mixed-effects models, to repeated measurements taken on individuals at multiple time points. Mortality data were analyzed using binary logistic regressions in a mixed-effects models framework. Growth increased and mortality decreased with increasing light availability. Species differed in both their growth and mortality rates, yet there was little evidence for a statistical interaction between species and light for either response. There was a positive relationship between growth rate and the predicted probability of mortality regardless of light environment, suggesting that this relationship may be driven by a general trade-off between traits that maximize growth and traits that minimize mortality, rather than through differential species responses to light. Our results indicate that wood density is an important trait that indicates both the ability of species to grow and resistance to mortality, but no other trait was correlated with either growth or mortality. Therefore, the growth mortality trade-off among species of dipterocarp appears to be general in being independent of species crossovers in performance in different light environments.","author":[{"dropping-particle":"","family":"Philipson","given":"Christopher D.","non-dropping-particle":"","parse-names":false,"suffix":""},{"dropping-particle":"","family":"Dent","given":"Daisy H.","non-dropping-particle":"","parse-names":false,"suffix":""},{"dropping-particle":"","family":"O'Brien","given":"Michael J.","non-dropping-particle":"","parse-names":false,"suffix":""},{"dropping-particle":"","family":"Chamagne","given":"Juliette","non-dropping-particle":"","parse-names":false,"suffix":""},{"dropping-particle":"","family":"Dzulkifli","given":"Dzaeman","non-dropping-particle":"","parse-names":false,"suffix":""},{"dropping-particle":"","family":"Nilus","given":"Reuben","non-dropping-particle":"","parse-names":false,"suffix":""},{"dropping-particle":"","family":"Philips","given":"Sam","non-dropping-particle":"","parse-names":false,"suffix":""},{"dropping-particle":"","family":"Reynolds","given":"Glen","non-dropping-particle":"","parse-names":false,"suffix":""},{"dropping-particle":"","family":"Saner","given":"Philippe","non-dropping-particle":"","parse-names":false,"suffix":""},{"dropping-particle":"","family":"Hector","given":"Andy","non-dropping-particle":"","parse-names":false,"suffix":""}],"container-title":"Ecology and Evolution","id":"ITEM-2","issue":"18","issued":{"date-parts":[["2014"]]},"page":"3675-3688","title":"A trait-based trade-off between growth and mortality: evidence from 15 tropical tree species using size-specific relative growth rates","type":"article-journal","volume":"4"},"uris":["http://www.mendeley.com/documents/?uuid=d4642910-64b4-4a3a-80b1-fc98c73f721f"]}],"mendeley":{"formattedCitation":"(Lemmon, 1956; Philipson et al., 2014)","plainTextFormattedCitation":"(Lemmon, 1956; Philipson et al., 2014)","previouslyFormattedCitation":"(Lemmon, 1956; Philipson &lt;i&gt;et al.&lt;/i&gt;, 2014)"},"properties":{"noteIndex":0},"schema":"https://github.com/citation-style-language/schema/raw/master/csl-citation.json"}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Pr="00923F1B">
        <w:rPr>
          <w:rFonts w:ascii="Times New Roman" w:hAnsi="Times New Roman" w:cs="Times New Roman"/>
          <w:noProof/>
          <w:sz w:val="24"/>
          <w:szCs w:val="24"/>
          <w:lang w:val="en-GB"/>
        </w:rPr>
        <w:t>(Lemmon, 1956; Philipson et al., 2014)</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w:t>
      </w:r>
    </w:p>
    <w:p w:rsidR="00975849" w:rsidRPr="00EC1733" w:rsidRDefault="00975849" w:rsidP="00975849">
      <w:pPr>
        <w:pStyle w:val="NoSpacing"/>
        <w:spacing w:line="480" w:lineRule="auto"/>
        <w:jc w:val="both"/>
        <w:rPr>
          <w:rFonts w:ascii="Times New Roman" w:hAnsi="Times New Roman" w:cs="Times New Roman"/>
          <w:sz w:val="24"/>
          <w:szCs w:val="24"/>
          <w:lang w:val="en-GB"/>
        </w:rPr>
      </w:pPr>
    </w:p>
    <w:p w:rsidR="00975849" w:rsidRPr="00EC1733" w:rsidRDefault="00975849" w:rsidP="00975849">
      <w:pPr>
        <w:pStyle w:val="NoSpacing"/>
        <w:spacing w:line="480" w:lineRule="auto"/>
        <w:jc w:val="both"/>
        <w:rPr>
          <w:rFonts w:ascii="Times New Roman" w:hAnsi="Times New Roman" w:cs="Times New Roman"/>
          <w:sz w:val="24"/>
          <w:szCs w:val="24"/>
          <w:lang w:val="en-GB"/>
        </w:rPr>
      </w:pPr>
      <w:r w:rsidRPr="00EC1733">
        <w:rPr>
          <w:rFonts w:ascii="Times New Roman" w:hAnsi="Times New Roman" w:cs="Times New Roman"/>
          <w:b/>
          <w:sz w:val="24"/>
          <w:szCs w:val="24"/>
          <w:lang w:val="en-GB"/>
        </w:rPr>
        <w:t xml:space="preserve">Seedling Census. </w:t>
      </w:r>
      <w:r w:rsidRPr="00EC1733">
        <w:rPr>
          <w:rFonts w:ascii="Times New Roman" w:hAnsi="Times New Roman" w:cs="Times New Roman"/>
          <w:sz w:val="24"/>
          <w:szCs w:val="24"/>
          <w:lang w:val="en-GB"/>
        </w:rPr>
        <w:t xml:space="preserve">We took the first seedling census during December 2015, after which, a re-census of the seedlings was taken every three months for one year giving a total of four census intervals. During each census, we measured the diameter and noted the mortality of seedlings. Diameters were measured twice perpendicular at the same marked point 5 cm above the soil </w:t>
      </w:r>
      <w:r w:rsidRPr="00EC1733">
        <w:rPr>
          <w:rFonts w:ascii="Times New Roman" w:hAnsi="Times New Roman" w:cs="Times New Roman"/>
          <w:sz w:val="24"/>
          <w:szCs w:val="24"/>
          <w:lang w:val="en-GB"/>
        </w:rPr>
        <w:lastRenderedPageBreak/>
        <w:t>with digital callipers. We considered a seedling as dead when there was no green phloem tissue remaining under the stem.</w:t>
      </w:r>
    </w:p>
    <w:p w:rsidR="00975849" w:rsidRPr="00EC1733" w:rsidRDefault="00975849" w:rsidP="00975849">
      <w:pPr>
        <w:pStyle w:val="NoSpacing"/>
        <w:spacing w:line="480" w:lineRule="auto"/>
        <w:jc w:val="both"/>
        <w:rPr>
          <w:rFonts w:ascii="Times New Roman" w:hAnsi="Times New Roman" w:cs="Times New Roman"/>
          <w:sz w:val="24"/>
          <w:szCs w:val="24"/>
          <w:lang w:val="en-GB"/>
        </w:rPr>
      </w:pPr>
    </w:p>
    <w:p w:rsidR="00975849" w:rsidRPr="00EC1733" w:rsidRDefault="00975849" w:rsidP="00975849">
      <w:pPr>
        <w:pStyle w:val="NoSpacing"/>
        <w:spacing w:line="480" w:lineRule="auto"/>
        <w:jc w:val="both"/>
        <w:rPr>
          <w:rFonts w:ascii="Times New Roman" w:eastAsia="Times New Roman" w:hAnsi="Times New Roman" w:cs="Times New Roman"/>
          <w:sz w:val="24"/>
          <w:szCs w:val="24"/>
          <w:lang w:val="en-GB" w:eastAsia="it-IT"/>
        </w:rPr>
      </w:pPr>
      <w:r w:rsidRPr="00EC1733">
        <w:rPr>
          <w:rFonts w:ascii="Times New Roman" w:hAnsi="Times New Roman" w:cs="Times New Roman"/>
          <w:b/>
          <w:sz w:val="24"/>
          <w:szCs w:val="24"/>
          <w:lang w:val="en-GB"/>
        </w:rPr>
        <w:t xml:space="preserve">Digital Terrain Model.  </w:t>
      </w:r>
      <w:r w:rsidRPr="00EC1733">
        <w:rPr>
          <w:rFonts w:ascii="Times New Roman" w:hAnsi="Times New Roman" w:cs="Times New Roman"/>
          <w:sz w:val="24"/>
          <w:szCs w:val="24"/>
          <w:lang w:val="en-GB"/>
        </w:rPr>
        <w:t>NERC's Airborne Research Facili</w:t>
      </w:r>
      <w:r w:rsidRPr="00EC1733">
        <w:rPr>
          <w:rFonts w:ascii="Times New Roman" w:eastAsia="Times New Roman" w:hAnsi="Times New Roman" w:cs="Times New Roman"/>
          <w:sz w:val="24"/>
          <w:szCs w:val="24"/>
          <w:lang w:val="en-GB" w:eastAsia="it-IT"/>
        </w:rPr>
        <w:t xml:space="preserve">ty collected airborne laser scanning (ALS) data for SFR in November of 2014. </w:t>
      </w:r>
      <w:r w:rsidRPr="00EC1733">
        <w:rPr>
          <w:rFonts w:ascii="Times New Roman" w:eastAsia="Times New Roman" w:hAnsi="Times New Roman" w:cs="Times New Roman"/>
          <w:sz w:val="24"/>
          <w:szCs w:val="24"/>
          <w:shd w:val="clear" w:color="auto" w:fill="FFFFFF"/>
          <w:lang w:val="en-GB" w:eastAsia="it-IT"/>
        </w:rPr>
        <w:t xml:space="preserve">The sensor used was </w:t>
      </w:r>
      <w:r w:rsidRPr="00EC1733">
        <w:rPr>
          <w:rFonts w:ascii="Times New Roman" w:eastAsia="Times New Roman" w:hAnsi="Times New Roman" w:cs="Times New Roman"/>
          <w:sz w:val="24"/>
          <w:szCs w:val="24"/>
          <w:lang w:val="en-GB" w:eastAsia="it-IT"/>
        </w:rPr>
        <w:t xml:space="preserve">a Leica ALS50-II </w:t>
      </w:r>
      <w:r w:rsidRPr="00EC1733">
        <w:rPr>
          <w:rFonts w:ascii="Times New Roman" w:eastAsia="Times New Roman" w:hAnsi="Times New Roman" w:cs="Times New Roman"/>
          <w:sz w:val="24"/>
          <w:szCs w:val="24"/>
          <w:shd w:val="clear" w:color="auto" w:fill="FFFFFF"/>
          <w:lang w:val="en-GB" w:eastAsia="it-IT"/>
        </w:rPr>
        <w:t xml:space="preserve">LiDAR </w:t>
      </w:r>
      <w:r w:rsidRPr="00EC1733">
        <w:rPr>
          <w:rFonts w:ascii="Times New Roman" w:eastAsia="Times New Roman" w:hAnsi="Times New Roman" w:cs="Times New Roman"/>
          <w:sz w:val="24"/>
          <w:szCs w:val="24"/>
          <w:lang w:val="en-GB" w:eastAsia="it-IT"/>
        </w:rPr>
        <w:t xml:space="preserve">on a </w:t>
      </w:r>
      <w:r w:rsidRPr="00EC1733">
        <w:rPr>
          <w:rFonts w:ascii="Times New Roman" w:eastAsia="Times New Roman" w:hAnsi="Times New Roman" w:cs="Times New Roman"/>
          <w:sz w:val="24"/>
          <w:szCs w:val="24"/>
          <w:shd w:val="clear" w:color="auto" w:fill="FFFFFF"/>
          <w:lang w:val="en-GB" w:eastAsia="it-IT"/>
        </w:rPr>
        <w:t>Dornier 228-201</w:t>
      </w:r>
      <w:r w:rsidRPr="00EC1733">
        <w:rPr>
          <w:rFonts w:ascii="Times New Roman" w:eastAsia="Times New Roman" w:hAnsi="Times New Roman" w:cs="Times New Roman"/>
          <w:sz w:val="24"/>
          <w:szCs w:val="24"/>
          <w:lang w:val="en-GB" w:eastAsia="it-IT"/>
        </w:rPr>
        <w:t xml:space="preserve"> and was flown over the </w:t>
      </w:r>
      <w:proofErr w:type="gramStart"/>
      <w:r w:rsidRPr="00EC1733">
        <w:rPr>
          <w:rFonts w:ascii="Times New Roman" w:eastAsia="Times New Roman" w:hAnsi="Times New Roman" w:cs="Times New Roman"/>
          <w:sz w:val="24"/>
          <w:szCs w:val="24"/>
          <w:lang w:val="en-GB" w:eastAsia="it-IT"/>
        </w:rPr>
        <w:t>160 ha</w:t>
      </w:r>
      <w:proofErr w:type="gramEnd"/>
      <w:r w:rsidRPr="00EC1733">
        <w:rPr>
          <w:rFonts w:ascii="Times New Roman" w:eastAsia="Times New Roman" w:hAnsi="Times New Roman" w:cs="Times New Roman"/>
          <w:sz w:val="24"/>
          <w:szCs w:val="24"/>
          <w:lang w:val="en-GB" w:eastAsia="it-IT"/>
        </w:rPr>
        <w:t xml:space="preserve"> permanent forest plot. It emitted pulses at 83.1 Hz, has a field of view of 12° and an impression of about 40 cm. The average point density was 7.3 m</w:t>
      </w:r>
      <w:r w:rsidRPr="00EC1733">
        <w:rPr>
          <w:rFonts w:ascii="Times New Roman" w:eastAsia="Times New Roman" w:hAnsi="Times New Roman" w:cs="Times New Roman"/>
          <w:sz w:val="24"/>
          <w:szCs w:val="24"/>
          <w:vertAlign w:val="superscript"/>
          <w:lang w:val="en-GB" w:eastAsia="it-IT"/>
        </w:rPr>
        <w:t>-2</w:t>
      </w:r>
      <w:r w:rsidRPr="00EC1733">
        <w:rPr>
          <w:rFonts w:ascii="Times New Roman" w:eastAsia="Times New Roman" w:hAnsi="Times New Roman" w:cs="Times New Roman"/>
          <w:sz w:val="24"/>
          <w:szCs w:val="24"/>
          <w:lang w:val="en-GB" w:eastAsia="it-IT"/>
        </w:rPr>
        <w:t xml:space="preserve">. The point cloud data were processed to produce a digital elevation model (DEM), a digital terrain model (DTM). Data were processed in LAStools (http:// rapidlasso.com/lastools/). For a full description of the methods used see Jucker </w:t>
      </w:r>
      <w:r w:rsidRPr="00EC1733">
        <w:rPr>
          <w:rFonts w:ascii="Times New Roman" w:eastAsia="Times New Roman" w:hAnsi="Times New Roman" w:cs="Times New Roman"/>
          <w:i/>
          <w:sz w:val="24"/>
          <w:szCs w:val="24"/>
          <w:lang w:val="en-GB" w:eastAsia="it-IT"/>
        </w:rPr>
        <w:t>et al.</w:t>
      </w:r>
      <w:r w:rsidRPr="00EC1733">
        <w:rPr>
          <w:rFonts w:ascii="Times New Roman" w:eastAsia="Times New Roman" w:hAnsi="Times New Roman" w:cs="Times New Roman"/>
          <w:sz w:val="24"/>
          <w:szCs w:val="24"/>
          <w:lang w:val="en-GB" w:eastAsia="it-IT"/>
        </w:rPr>
        <w:t xml:space="preserve"> (2017). </w:t>
      </w:r>
    </w:p>
    <w:p w:rsidR="00975849" w:rsidRPr="00EC1733" w:rsidRDefault="00975849" w:rsidP="00975849">
      <w:pPr>
        <w:pStyle w:val="NoSpacing"/>
        <w:spacing w:line="480" w:lineRule="auto"/>
        <w:jc w:val="both"/>
        <w:rPr>
          <w:rFonts w:ascii="Times New Roman" w:hAnsi="Times New Roman" w:cs="Times New Roman"/>
          <w:b/>
          <w:sz w:val="24"/>
          <w:szCs w:val="24"/>
          <w:lang w:val="en-GB"/>
        </w:rPr>
      </w:pPr>
    </w:p>
    <w:p w:rsidR="00975849" w:rsidRPr="00EC1733" w:rsidRDefault="00975849" w:rsidP="00975849">
      <w:pPr>
        <w:pStyle w:val="NoSpacing"/>
        <w:spacing w:line="480" w:lineRule="auto"/>
        <w:jc w:val="both"/>
        <w:rPr>
          <w:rFonts w:ascii="Times New Roman" w:hAnsi="Times New Roman" w:cs="Times New Roman"/>
          <w:sz w:val="24"/>
          <w:szCs w:val="24"/>
          <w:lang w:val="en-GB"/>
        </w:rPr>
      </w:pPr>
      <w:r w:rsidRPr="00EC1733">
        <w:rPr>
          <w:rFonts w:ascii="Times New Roman" w:hAnsi="Times New Roman" w:cs="Times New Roman"/>
          <w:b/>
          <w:sz w:val="24"/>
          <w:szCs w:val="24"/>
          <w:lang w:val="en-GB"/>
        </w:rPr>
        <w:t xml:space="preserve">160 ha Forest plot. </w:t>
      </w:r>
      <w:r w:rsidRPr="00EC1733">
        <w:rPr>
          <w:rFonts w:ascii="Times New Roman" w:hAnsi="Times New Roman" w:cs="Times New Roman"/>
          <w:sz w:val="24"/>
          <w:szCs w:val="24"/>
          <w:lang w:val="en-GB"/>
        </w:rPr>
        <w:t>We completed the initial establishment of a 160 ha long-term forest dynamics plot within SFR in 2010. All adult dipterocarps were tagged, identified to species level and mapped (n = 5587). Minimum diameter limits were selected based on the estimated minimum size that a species would flower and the maximum adult size. For sub-canopy dipterocarps species &gt; 30cm DBH (n species = 2) were selected, for large emergent</w:t>
      </w:r>
      <w:r>
        <w:rPr>
          <w:rFonts w:ascii="Times New Roman" w:hAnsi="Times New Roman" w:cs="Times New Roman"/>
          <w:sz w:val="24"/>
          <w:szCs w:val="24"/>
          <w:lang w:val="en-GB"/>
        </w:rPr>
        <w:t>s</w:t>
      </w:r>
      <w:r w:rsidRPr="00EC1733">
        <w:rPr>
          <w:rFonts w:ascii="Times New Roman" w:hAnsi="Times New Roman" w:cs="Times New Roman"/>
          <w:sz w:val="24"/>
          <w:szCs w:val="24"/>
          <w:lang w:val="en-GB"/>
        </w:rPr>
        <w:t xml:space="preserve"> 50 cm DBH (n species = 13) and for those with a strategy somewhere in the middle 40cm DBH (n species = 1) was selected (Table S3). When investigating adult distributions, using different minimum diameter sizes dependent on a species' biology is more appropriate than setting a common minimum limit for all species.  This approach explicitly takes into account differences in maximum size, which is important for making meaningful comparisons in a species' distribution. Each adult dipterocarp was assigned an elevation (asl m) transposed from the DTM.   </w:t>
      </w:r>
    </w:p>
    <w:p w:rsidR="00975849" w:rsidRPr="00EC1733" w:rsidRDefault="00975849" w:rsidP="00975849">
      <w:pPr>
        <w:pStyle w:val="NoSpacing"/>
        <w:spacing w:line="480" w:lineRule="auto"/>
        <w:jc w:val="both"/>
        <w:rPr>
          <w:rFonts w:ascii="Times New Roman" w:hAnsi="Times New Roman" w:cs="Times New Roman"/>
          <w:sz w:val="24"/>
          <w:szCs w:val="24"/>
          <w:lang w:val="en-GB"/>
        </w:rPr>
      </w:pPr>
    </w:p>
    <w:p w:rsidR="00975849" w:rsidRPr="00EC1733" w:rsidRDefault="00975849" w:rsidP="00975849">
      <w:pPr>
        <w:pStyle w:val="NoSpacing"/>
        <w:spacing w:line="480" w:lineRule="auto"/>
        <w:jc w:val="both"/>
        <w:rPr>
          <w:rFonts w:ascii="Times New Roman" w:hAnsi="Times New Roman" w:cs="Times New Roman"/>
          <w:sz w:val="24"/>
          <w:szCs w:val="24"/>
          <w:lang w:val="en-GB"/>
        </w:rPr>
      </w:pPr>
      <w:r w:rsidRPr="00EC1733">
        <w:rPr>
          <w:rFonts w:ascii="Times New Roman" w:hAnsi="Times New Roman" w:cs="Times New Roman"/>
          <w:b/>
          <w:sz w:val="24"/>
          <w:szCs w:val="24"/>
          <w:lang w:val="en-GB"/>
        </w:rPr>
        <w:t xml:space="preserve">Four ha plots. </w:t>
      </w:r>
      <w:r w:rsidRPr="00EC1733">
        <w:rPr>
          <w:rFonts w:ascii="Times New Roman" w:hAnsi="Times New Roman" w:cs="Times New Roman"/>
          <w:sz w:val="24"/>
          <w:szCs w:val="24"/>
          <w:lang w:val="en-GB"/>
        </w:rPr>
        <w:t xml:space="preserve">Within SFR, nine 4 ha forest plots were established from 2000 to 2001. Of these, six plots (24 ha) were within lowland dipterocarp forest, and 4 ½ (18 ha) were outside </w:t>
      </w:r>
      <w:r w:rsidRPr="00EC1733">
        <w:rPr>
          <w:rFonts w:ascii="Times New Roman" w:hAnsi="Times New Roman" w:cs="Times New Roman"/>
          <w:sz w:val="24"/>
          <w:szCs w:val="24"/>
          <w:lang w:val="en-GB"/>
        </w:rPr>
        <w:lastRenderedPageBreak/>
        <w:t xml:space="preserve">the </w:t>
      </w:r>
      <w:proofErr w:type="gramStart"/>
      <w:r w:rsidRPr="00EC1733">
        <w:rPr>
          <w:rFonts w:ascii="Times New Roman" w:hAnsi="Times New Roman" w:cs="Times New Roman"/>
          <w:sz w:val="24"/>
          <w:szCs w:val="24"/>
          <w:lang w:val="en-GB"/>
        </w:rPr>
        <w:t>160 ha</w:t>
      </w:r>
      <w:proofErr w:type="gramEnd"/>
      <w:r w:rsidRPr="00EC1733">
        <w:rPr>
          <w:rFonts w:ascii="Times New Roman" w:hAnsi="Times New Roman" w:cs="Times New Roman"/>
          <w:sz w:val="24"/>
          <w:szCs w:val="24"/>
          <w:lang w:val="en-GB"/>
        </w:rPr>
        <w:t xml:space="preserve"> forest plot. All individuals &gt; 5 cm DBH are tagged and have measured DBHs. The most recent census of the plots was from 2013 to 2015. Individual positions are known to occur within a 10 x 10 m grid which divided each </w:t>
      </w:r>
      <w:proofErr w:type="gramStart"/>
      <w:r w:rsidRPr="00EC1733">
        <w:rPr>
          <w:rFonts w:ascii="Times New Roman" w:hAnsi="Times New Roman" w:cs="Times New Roman"/>
          <w:sz w:val="24"/>
          <w:szCs w:val="24"/>
          <w:lang w:val="en-GB"/>
        </w:rPr>
        <w:t>4 ha</w:t>
      </w:r>
      <w:proofErr w:type="gramEnd"/>
      <w:r w:rsidRPr="00EC1733">
        <w:rPr>
          <w:rFonts w:ascii="Times New Roman" w:hAnsi="Times New Roman" w:cs="Times New Roman"/>
          <w:sz w:val="24"/>
          <w:szCs w:val="24"/>
          <w:lang w:val="en-GB"/>
        </w:rPr>
        <w:t xml:space="preserve"> plot. A differential GPS was used to geo-locate the corners (Geneq SXBlue II), and the layout was used to calculate the approximate position of each tree. We calculate and assigned the mean elevation (asl m) from the DTM for each 100m</w:t>
      </w:r>
      <w:r w:rsidRPr="00EC1733">
        <w:rPr>
          <w:rFonts w:ascii="Times New Roman" w:hAnsi="Times New Roman" w:cs="Times New Roman"/>
          <w:sz w:val="24"/>
          <w:szCs w:val="24"/>
          <w:vertAlign w:val="superscript"/>
          <w:lang w:val="en-GB"/>
        </w:rPr>
        <w:t>2</w:t>
      </w:r>
      <w:r w:rsidRPr="00EC1733">
        <w:rPr>
          <w:rFonts w:ascii="Times New Roman" w:hAnsi="Times New Roman" w:cs="Times New Roman"/>
          <w:sz w:val="24"/>
          <w:szCs w:val="24"/>
          <w:lang w:val="en-GB"/>
        </w:rPr>
        <w:t xml:space="preserve"> grid tile.  </w:t>
      </w:r>
    </w:p>
    <w:p w:rsidR="00975849" w:rsidRPr="00EC1733" w:rsidRDefault="00975849" w:rsidP="00975849">
      <w:pPr>
        <w:pStyle w:val="NoSpacing"/>
        <w:spacing w:line="480" w:lineRule="auto"/>
        <w:jc w:val="both"/>
        <w:rPr>
          <w:rFonts w:ascii="Times New Roman" w:hAnsi="Times New Roman" w:cs="Times New Roman"/>
          <w:sz w:val="24"/>
          <w:szCs w:val="24"/>
          <w:lang w:val="en-GB"/>
        </w:rPr>
      </w:pPr>
    </w:p>
    <w:p w:rsidR="00975849" w:rsidRPr="00EC1733" w:rsidRDefault="00975849" w:rsidP="00975849">
      <w:pPr>
        <w:pStyle w:val="NoSpacing"/>
        <w:spacing w:line="480" w:lineRule="auto"/>
        <w:jc w:val="both"/>
        <w:rPr>
          <w:rFonts w:ascii="Times New Roman" w:hAnsi="Times New Roman" w:cs="Times New Roman"/>
          <w:sz w:val="24"/>
          <w:szCs w:val="24"/>
          <w:lang w:val="en-GB"/>
        </w:rPr>
      </w:pPr>
      <w:r w:rsidRPr="00EC1733">
        <w:rPr>
          <w:rFonts w:ascii="Times New Roman" w:hAnsi="Times New Roman" w:cs="Times New Roman"/>
          <w:b/>
          <w:sz w:val="24"/>
          <w:szCs w:val="24"/>
          <w:lang w:val="en-GB"/>
        </w:rPr>
        <w:t xml:space="preserve">Seedling mortality data analysis. </w:t>
      </w:r>
      <w:r w:rsidRPr="00EC1733">
        <w:rPr>
          <w:rFonts w:ascii="Times New Roman" w:hAnsi="Times New Roman" w:cs="Times New Roman"/>
          <w:sz w:val="24"/>
          <w:szCs w:val="24"/>
          <w:lang w:val="en-GB"/>
        </w:rPr>
        <w:t xml:space="preserve">To test the hypothesis that species respond differently to water inundation we used a generalized linear mixed effects model assuming a binomial error distribution from the lme4 package </w:t>
      </w:r>
      <w:r w:rsidRPr="00EC1733">
        <w:rPr>
          <w:rFonts w:ascii="Times New Roman" w:hAnsi="Times New Roman" w:cs="Times New Roman"/>
          <w:sz w:val="24"/>
          <w:szCs w:val="24"/>
          <w:lang w:val="en-GB"/>
        </w:rPr>
        <w:fldChar w:fldCharType="begin" w:fldLock="1"/>
      </w:r>
      <w:r w:rsidR="00923F1B">
        <w:rPr>
          <w:rFonts w:ascii="Times New Roman" w:hAnsi="Times New Roman" w:cs="Times New Roman"/>
          <w:sz w:val="24"/>
          <w:szCs w:val="24"/>
          <w:lang w:val="en-GB"/>
        </w:rPr>
        <w:instrText>ADDIN CSL_CITATION {"citationItems":[{"id":"ITEM-1","itemData":{"DOI":"10.18637/jss.v067.i01","ISBN":"1548-7660","ISSN":"1548-7660","PMID":"15991970","abstract":"Fit linear and generalized linear mixed-effects models.\\r\\nThe models and their components are represented using S4 classes and\\r\\nmethods. The core computational algorithms are implemented using the 'Eigen' C++ library for numerical linear algebra and 'RcppEigen' ``glue''.","author":[{"dropping-particle":"","family":"Bates","given":"Douglas","non-dropping-particle":"","parse-names":false,"suffix":""},{"dropping-particle":"","family":"Maechler Martin","given":"","non-dropping-particle":"","parse-names":false,"suffix":""},{"dropping-particle":"","family":"Walker","given":"Steven","non-dropping-particle":"","parse-names":false,"suffix":""}],"container-title":"CRAN Repository","id":"ITEM-1","issued":{"date-parts":[["2016"]]},"page":"1-113","title":"Package 'lme4': Linear Mixed-Effects Models using 'Eigen' and S4","type":"article-journal"},"uris":["http://www.mendeley.com/documents/?uuid=68bff62d-89b2-4f58-95da-310d23d2f17b"]}],"mendeley":{"formattedCitation":"(Bates, Maechler Martin, &amp; Walker, 2016)","plainTextFormattedCitation":"(Bates, Maechler Martin, &amp; Walker, 2016)","previouslyFormattedCitation":"(Bates &lt;i&gt;et al.&lt;/i&gt;, 2016)"},"properties":{"noteIndex":0},"schema":"https://github.com/citation-style-language/schema/raw/master/csl-citation.json"}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00923F1B" w:rsidRPr="00923F1B">
        <w:rPr>
          <w:rFonts w:ascii="Times New Roman" w:hAnsi="Times New Roman" w:cs="Times New Roman"/>
          <w:noProof/>
          <w:sz w:val="24"/>
          <w:szCs w:val="24"/>
          <w:lang w:val="en-GB"/>
        </w:rPr>
        <w:t>(Bates, Maechler Martin, &amp; Walker, 2016)</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xml:space="preserve"> in R v3.3.1</w:t>
      </w:r>
      <w:r w:rsidRPr="00EC1733">
        <w:rPr>
          <w:rFonts w:ascii="Times New Roman" w:hAnsi="Times New Roman" w:cs="Times New Roman"/>
          <w:sz w:val="24"/>
          <w:szCs w:val="24"/>
          <w:lang w:val="en-GB"/>
        </w:rPr>
        <w:fldChar w:fldCharType="begin" w:fldLock="1"/>
      </w:r>
      <w:r w:rsidRPr="00EC1733">
        <w:rPr>
          <w:rFonts w:ascii="Times New Roman" w:hAnsi="Times New Roman" w:cs="Times New Roman"/>
          <w:sz w:val="24"/>
          <w:szCs w:val="24"/>
          <w:lang w:val="en-GB"/>
        </w:rPr>
        <w:instrText>ADDIN CSL_CITATION {"citationItems":[{"id":"ITEM-1","itemData":{"author":[{"dropping-particle":"","family":"R Core Team","given":"","non-dropping-particle":"","parse-names":false,"suffix":""}],"id":"ITEM-1","issued":{"date-parts":[["2016"]]},"number":"3.3.1","publisher":"R Foundation for Statistical Computing","publisher-place":"Vienna, Austria","title":"R: A Language and Environment for Statistical Computing","type":"book"},"uris":["http://www.mendeley.com/documents/?uuid=7636eee2-c423-4746-a804-ca53b877664c"]}],"mendeley":{"formattedCitation":"(R Core Team, 2016)","plainTextFormattedCitation":"(R Core Team, 2016)","previouslyFormattedCitation":"(R Core Team, 2016)"},"properties":{"noteIndex":0},"schema":"https://github.com/citation-style-language/schema/raw/master/csl-citation.json"}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Pr="00EC1733">
        <w:rPr>
          <w:rFonts w:ascii="Times New Roman" w:hAnsi="Times New Roman" w:cs="Times New Roman"/>
          <w:noProof/>
          <w:sz w:val="24"/>
          <w:szCs w:val="24"/>
          <w:lang w:val="en-GB"/>
        </w:rPr>
        <w:t>(R Core Team, 2016)</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xml:space="preserve">. The flooded explanatory variable had two levels: individuals that typically experienced water inundation during the wet period from November to February (wet), and the control indicating individuals that were on micro-topographical locations that experienced no water inundation (dry). The interaction between flooded and species was key to addressing our hypothesis. In the final model, we controlled for census interval, micro-topography, and the natural logarithm of the diameter of the seedlings as fixed effects. We included two random effects: plot, which was allowed to vary with census interval, and mother controlling for maternal heritage. Other variables considered for inclusion in the model were the site (two alluvial sites), block, pH, soil texture, light, and maximum flash flood levels, and up to all second-order interactions. We removed all variables from the final model that did not reduce the AIC by &gt; 4 points. The model was evaluated using a modified version of the binnedplot function </w:t>
      </w:r>
      <w:r w:rsidRPr="00EC1733">
        <w:rPr>
          <w:rFonts w:ascii="Times New Roman" w:hAnsi="Times New Roman" w:cs="Times New Roman"/>
          <w:sz w:val="24"/>
          <w:szCs w:val="24"/>
          <w:lang w:val="en-GB"/>
        </w:rPr>
        <w:fldChar w:fldCharType="begin" w:fldLock="1"/>
      </w:r>
      <w:r w:rsidR="00923F1B">
        <w:rPr>
          <w:rFonts w:ascii="Times New Roman" w:hAnsi="Times New Roman" w:cs="Times New Roman"/>
          <w:sz w:val="24"/>
          <w:szCs w:val="24"/>
          <w:lang w:val="en-GB"/>
        </w:rPr>
        <w:instrText>ADDIN CSL_CITATION {"citationItems":[{"id":"ITEM-1","itemData":{"author":[{"dropping-particle":"","family":"Gelman","given":"Andrew","non-dropping-particle":"","parse-names":false,"suffix":""},{"dropping-particle":"","family":"Su","given":"Yu-Sung","non-dropping-particle":"","parse-names":false,"suffix":""},{"dropping-particle":"","family":"Yajima","given":"Masanao","non-dropping-particle":"","parse-names":false,"suffix":""},{"dropping-particle":"","family":"Hill","given":"Jennifer","non-dropping-particle":"","parse-names":false,"suffix":""},{"dropping-particle":"","family":"Pittau","given":"Maria","non-dropping-particle":"","parse-names":false,"suffix":""},{"dropping-particle":"","family":"Kerman","given":"J ouni","non-dropping-particle":"","parse-names":false,"suffix":""},{"dropping-particle":"","family":"Zheng","given":"Tian","non-dropping-particle":"","parse-names":false,"suffix":""},{"dropping-particle":"","family":"Vincent","given":"Dorie","non-dropping-particle":"","parse-names":false,"suffix":""}],"container-title":"CRAN Repository","id":"ITEM-1","issued":{"date-parts":[["2016"]]},"page":"1-53","title":"Data Analysis Using Regression and Multilevel/Hierarchical Models","type":"article-journal"},"uris":["http://www.mendeley.com/documents/?uuid=59c469ca-074d-4873-9acb-e10b411e14fd"]}],"mendeley":{"formattedCitation":"(Gelman et al., 2016)","plainTextFormattedCitation":"(Gelman et al., 2016)","previouslyFormattedCitation":"(Gelman &lt;i&gt;et al.&lt;/i&gt;, 2016)"},"properties":{"noteIndex":0},"schema":"https://github.com/citation-style-language/schema/raw/master/csl-citation.json"}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Pr="00923F1B">
        <w:rPr>
          <w:rFonts w:ascii="Times New Roman" w:hAnsi="Times New Roman" w:cs="Times New Roman"/>
          <w:noProof/>
          <w:sz w:val="24"/>
          <w:szCs w:val="24"/>
          <w:lang w:val="en-GB"/>
        </w:rPr>
        <w:t>(Gelman et al., 2016)</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xml:space="preserve"> from the arm package in R v3.3.1. to check for normality and independence of binned residuals and ensure random effects followed a Gaussian distribution. The focal effect of this model was the difference between the inundated and non-inundated plants, as this could provide inference on a species' inundation sensitivity. We defined a species seedling's sensitivity to flooding as the absolute risk increase (ARI; also known as the absolute </w:t>
      </w:r>
      <w:r w:rsidRPr="00EC1733">
        <w:rPr>
          <w:rFonts w:ascii="Times New Roman" w:hAnsi="Times New Roman" w:cs="Times New Roman"/>
          <w:sz w:val="24"/>
          <w:szCs w:val="24"/>
          <w:lang w:val="en-GB"/>
        </w:rPr>
        <w:lastRenderedPageBreak/>
        <w:t>risk reduction). The ARI calculation is the difference between the probability of mortality in the treated group (water inundated individuals) and the probability of mortality in the control group (not inundated)</w:t>
      </w:r>
      <w:r w:rsidRPr="00EC1733">
        <w:rPr>
          <w:rFonts w:ascii="Times New Roman" w:hAnsi="Times New Roman" w:cs="Times New Roman"/>
          <w:sz w:val="24"/>
          <w:szCs w:val="24"/>
          <w:lang w:val="en-GB"/>
        </w:rPr>
        <w:fldChar w:fldCharType="begin" w:fldLock="1"/>
      </w:r>
      <w:r w:rsidRPr="00EC1733">
        <w:rPr>
          <w:rFonts w:ascii="Times New Roman" w:hAnsi="Times New Roman" w:cs="Times New Roman"/>
          <w:sz w:val="24"/>
          <w:szCs w:val="24"/>
          <w:lang w:val="en-GB"/>
        </w:rPr>
        <w:instrText>ADDIN CSL_CITATION {"citationItems":[{"id":"ITEM-1","itemData":{"DOI":"10.1046/j.1524-4733.2002.55150.x","ISBN":"1098-3015 (Print)","ISSN":"10983015","PMID":"12201860","author":[{"dropping-particle":"","family":"Schechtman","given":"Edna","non-dropping-particle":"","parse-names":false,"suffix":""}],"container-title":"Value in Health","id":"ITEM-1","issue":"5","issued":{"date-parts":[["2002"]]},"page":"431-436","publisher":"International Society for Pharmacoeconomics and Outcomes Research (ISPOR).","title":"Odds ratio, relative risk, absolute risk reduction, and the number needed to treat - Which of these should we use?","type":"article-journal","volume":"5"},"uris":["http://www.mendeley.com/documents/?uuid=3d320104-9d8f-42fd-a381-ef0c2bdcc279"]}],"mendeley":{"formattedCitation":"(Schechtman, 2002)","plainTextFormattedCitation":"(Schechtman, 2002)","previouslyFormattedCitation":"(Schechtman, 2002)"},"properties":{"noteIndex":0},"schema":"https://github.com/citation-style-language/schema/raw/master/csl-citation.json"}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Pr="00EC1733">
        <w:rPr>
          <w:rFonts w:ascii="Times New Roman" w:hAnsi="Times New Roman" w:cs="Times New Roman"/>
          <w:noProof/>
          <w:sz w:val="24"/>
          <w:szCs w:val="24"/>
          <w:lang w:val="en-GB"/>
        </w:rPr>
        <w:t>(Schechtman, 2002)</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As the size of the ARI is the effect size of water inundation on mortality, we henceforth refer to this as the "inundation sensitivity."</w:t>
      </w:r>
    </w:p>
    <w:p w:rsidR="00975849" w:rsidRPr="00EC1733" w:rsidRDefault="00975849" w:rsidP="00975849">
      <w:pPr>
        <w:pStyle w:val="NoSpacing"/>
        <w:spacing w:line="480" w:lineRule="auto"/>
        <w:jc w:val="both"/>
        <w:rPr>
          <w:rFonts w:ascii="Times New Roman" w:hAnsi="Times New Roman" w:cs="Times New Roman"/>
          <w:sz w:val="24"/>
          <w:szCs w:val="24"/>
          <w:lang w:val="en-GB"/>
        </w:rPr>
      </w:pPr>
    </w:p>
    <w:p w:rsidR="00975849" w:rsidRPr="00EC1733" w:rsidRDefault="00975849" w:rsidP="00975849">
      <w:pPr>
        <w:pStyle w:val="NoSpacing"/>
        <w:spacing w:line="480" w:lineRule="auto"/>
        <w:jc w:val="both"/>
        <w:rPr>
          <w:rFonts w:ascii="Times New Roman" w:hAnsi="Times New Roman" w:cs="Times New Roman"/>
          <w:sz w:val="24"/>
          <w:szCs w:val="24"/>
          <w:lang w:val="en-GB"/>
        </w:rPr>
      </w:pPr>
      <w:r w:rsidRPr="00EC1733">
        <w:rPr>
          <w:rFonts w:ascii="Times New Roman" w:hAnsi="Times New Roman" w:cs="Times New Roman"/>
          <w:b/>
          <w:sz w:val="24"/>
          <w:szCs w:val="24"/>
          <w:lang w:val="en-GB"/>
        </w:rPr>
        <w:t xml:space="preserve">Habitat association within 160 ha plot. </w:t>
      </w:r>
      <w:r w:rsidRPr="00EC1733">
        <w:rPr>
          <w:rFonts w:ascii="Times New Roman" w:hAnsi="Times New Roman" w:cs="Times New Roman"/>
          <w:sz w:val="24"/>
          <w:szCs w:val="24"/>
          <w:lang w:val="en-GB"/>
        </w:rPr>
        <w:t xml:space="preserve">Species relationships with elevation were analysed using the Integrated Nested Laplace Approximation (INLA) Bayesian framework with Stochastic Partial Differential Equation (SPDE) fitted to spatial point-referenced data. INLA executes direct numerical calculation of posterior densities and is a computationally effective substitute to MCMC </w:t>
      </w:r>
      <w:r w:rsidRPr="00EC1733">
        <w:rPr>
          <w:rFonts w:ascii="Times New Roman" w:hAnsi="Times New Roman" w:cs="Times New Roman"/>
          <w:sz w:val="24"/>
          <w:szCs w:val="24"/>
          <w:lang w:val="en-GB"/>
        </w:rPr>
        <w:fldChar w:fldCharType="begin" w:fldLock="1"/>
      </w:r>
      <w:r w:rsidR="00923F1B">
        <w:rPr>
          <w:rFonts w:ascii="Times New Roman" w:hAnsi="Times New Roman" w:cs="Times New Roman"/>
          <w:sz w:val="24"/>
          <w:szCs w:val="24"/>
          <w:lang w:val="en-GB"/>
        </w:rPr>
        <w:instrText>ADDIN CSL_CITATION {"citationItems":[{"id":"ITEM-1","itemData":{"DOI":"10.1111/j.1467-9868.2008.00700.x","ISBN":"1369-7412","ISSN":"13697412","abstract":"Structured additive regression models are perhaps the most commonly used class of models in statistical applications. It includes, among others, (generalized) linear models, (gener- alized) additive models, smoothing spline models, state space models, semiparametric regres- sion, spatial and spatiotemporal models, log-Gaussian Cox processes and geostatistical and geoadditive models.We consider approximate Bayesian inference in a popular subset of struc- tured additive regression models, latent Gaussian models, where the latent field is Gaussian, controlled by a few hyperparameters and with non-Gaussian response variables.The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 erality, which makes it possible to performBayesian analysis in an automatic, streamlined way, and to compute model comparison criteria and various predictive measures so that models can be compared and the model under study can be challenged.","author":[{"dropping-particle":"","family":"Rue","given":"Håvard","non-dropping-particle":"","parse-names":false,"suffix":""},{"dropping-particle":"","family":"Martino","given":"Sara","non-dropping-particle":"","parse-names":false,"suffix":""},{"dropping-particle":"","family":"Chopin","given":"Nicolas","non-dropping-particle":"","parse-names":false,"suffix":""}],"container-title":"Journal of the Royal Statistical Society. Series B: Statistical Methodology","id":"ITEM-1","issue":"2","issued":{"date-parts":[["2009"]]},"page":"319-392","title":"Approximate Bayesian inference for latent Gaussian models by using integrated nested Laplace approximations","type":"article-journal","volume":"71"},"uris":["http://www.mendeley.com/documents/?uuid=66a897e7-c50c-4fa5-b33c-30aceb5b07a3"]},{"id":"ITEM-2","itemData":{"DOI":"10.1111/j.1467-9868.2011.00777.x","ISBN":"1467-9868","ISSN":"13697412","abstract":"Continuously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R^2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R^2,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author":[{"dropping-particle":"","family":"Lindgren","given":"Finn","non-dropping-particle":"","parse-names":false,"suffix":""},{"dropping-particle":"","family":"Rue","given":"Håvard","non-dropping-particle":"","parse-names":false,"suffix":""},{"dropping-particle":"","family":"Lindström","given":"Johan","non-dropping-particle":"","parse-names":false,"suffix":""}],"container-title":"Journal of the Royal Statistical Society, Series B","id":"ITEM-2","issued":{"date-parts":[["2011"]]},"page":"423-498","title":"An explicit link between Gaussian fields and Gaussian Markov random fields: the stochastic partial differential equation approach","type":"article-journal","volume":"73"},"uris":["http://www.mendeley.com/documents/?uuid=bda77c40-e511-43f3-9fda-1d96fd5f7748"]}],"mendeley":{"formattedCitation":"(Lindgren, Rue, &amp; Lindström, 2011; Rue, Martino, &amp; Chopin, 2009)","plainTextFormattedCitation":"(Lindgren, Rue, &amp; Lindström, 2011; Rue, Martino, &amp; Chopin, 2009)","previouslyFormattedCitation":"(Rue &lt;i&gt;et al.&lt;/i&gt;, 2009; Lindgren &lt;i&gt;et al.&lt;/i&gt;, 2011)"},"properties":{"noteIndex":0},"schema":"https://github.com/citation-style-language/schema/raw/master/csl-citation.json"}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00923F1B" w:rsidRPr="00923F1B">
        <w:rPr>
          <w:rFonts w:ascii="Times New Roman" w:hAnsi="Times New Roman" w:cs="Times New Roman"/>
          <w:noProof/>
          <w:sz w:val="24"/>
          <w:szCs w:val="24"/>
          <w:lang w:val="en-GB"/>
        </w:rPr>
        <w:t>(Lindgren, Rue, &amp; Lindström, 2011; Rue, Martino, &amp; Chopin, 2009)</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xml:space="preserve">. These tools allowed us to model the probability of a species’ presence or absence at each of the 5587 locations of adult dipterocarp stems in the </w:t>
      </w:r>
      <w:proofErr w:type="gramStart"/>
      <w:r w:rsidRPr="00EC1733">
        <w:rPr>
          <w:rFonts w:ascii="Times New Roman" w:hAnsi="Times New Roman" w:cs="Times New Roman"/>
          <w:sz w:val="24"/>
          <w:szCs w:val="24"/>
          <w:lang w:val="en-GB"/>
        </w:rPr>
        <w:t>160 ha</w:t>
      </w:r>
      <w:proofErr w:type="gramEnd"/>
      <w:r w:rsidRPr="00EC1733">
        <w:rPr>
          <w:rFonts w:ascii="Times New Roman" w:hAnsi="Times New Roman" w:cs="Times New Roman"/>
          <w:sz w:val="24"/>
          <w:szCs w:val="24"/>
          <w:lang w:val="en-GB"/>
        </w:rPr>
        <w:t xml:space="preserve"> forest plot while accounting for spatial autocorrelation between individuals of the same species. More specifically, the model used to describe the spatial autocorrelation was the Matern correlation function, which depends on a scale parameter and a smoothness parameter. INLA estimated these parameters from flat priors. We constructed a model using species and elevation as the explanatory variables, fitted with the elevation quadratic term, testing five combinations of interactions. For mode</w:t>
      </w:r>
      <w:r>
        <w:rPr>
          <w:rFonts w:ascii="Times New Roman" w:hAnsi="Times New Roman" w:cs="Times New Roman"/>
          <w:sz w:val="24"/>
          <w:szCs w:val="24"/>
          <w:lang w:val="en-GB"/>
        </w:rPr>
        <w:t>l</w:t>
      </w:r>
      <w:r w:rsidRPr="00EC1733">
        <w:rPr>
          <w:rFonts w:ascii="Times New Roman" w:hAnsi="Times New Roman" w:cs="Times New Roman"/>
          <w:sz w:val="24"/>
          <w:szCs w:val="24"/>
          <w:lang w:val="en-GB"/>
        </w:rPr>
        <w:t xml:space="preserve"> selection, we used the conditional predictive ordinate (CPO), which computes the density of the posterior predictive distribution at an observation used to select the models which measure the fit through predictive density </w:t>
      </w:r>
      <m:oMath>
        <m:r>
          <w:rPr>
            <w:rFonts w:ascii="Cambria Math" w:hAnsi="Cambria Math" w:cs="Times New Roman"/>
            <w:sz w:val="24"/>
            <w:szCs w:val="24"/>
            <w:lang w:val="en-GB"/>
          </w:rPr>
          <m:t>π(</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y</m:t>
            </m:r>
          </m:e>
          <m:sub>
            <m:r>
              <w:rPr>
                <w:rFonts w:ascii="Cambria Math" w:hAnsi="Cambria Math" w:cs="Times New Roman"/>
                <w:sz w:val="24"/>
                <w:szCs w:val="24"/>
                <w:lang w:val="en-GB"/>
              </w:rPr>
              <m:t>i</m:t>
            </m:r>
          </m:sub>
          <m:sup>
            <m:r>
              <w:rPr>
                <w:rFonts w:ascii="Cambria Math" w:hAnsi="Cambria Math" w:cs="Times New Roman"/>
                <w:sz w:val="24"/>
                <w:szCs w:val="24"/>
                <w:lang w:val="en-GB"/>
              </w:rPr>
              <m:t>obs</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i-1</m:t>
            </m:r>
          </m:sub>
        </m:sSub>
        <m:r>
          <w:rPr>
            <w:rFonts w:ascii="Cambria Math" w:hAnsi="Cambria Math" w:cs="Times New Roman"/>
            <w:sz w:val="24"/>
            <w:szCs w:val="24"/>
            <w:lang w:val="en-GB"/>
          </w:rPr>
          <m:t>)</m:t>
        </m:r>
      </m:oMath>
      <w:r w:rsidRPr="00EC1733">
        <w:rPr>
          <w:rFonts w:ascii="Times New Roman" w:eastAsiaTheme="minorEastAsia" w:hAnsi="Times New Roman" w:cs="Times New Roman"/>
          <w:sz w:val="24"/>
          <w:szCs w:val="24"/>
          <w:lang w:val="en-GB"/>
        </w:rPr>
        <w:t xml:space="preserve">, essentially a Bayesian leave-one-out cross-validatory predictive check. We checked for possible failures and recomputed these values following </w:t>
      </w:r>
      <w:r w:rsidRPr="00EC1733">
        <w:rPr>
          <w:rFonts w:ascii="Times New Roman" w:eastAsiaTheme="minorEastAsia" w:hAnsi="Times New Roman" w:cs="Times New Roman"/>
          <w:noProof/>
          <w:sz w:val="24"/>
          <w:szCs w:val="24"/>
          <w:lang w:val="en-GB"/>
        </w:rPr>
        <w:t>Blangiardo and Cameletti (2015)</w:t>
      </w:r>
      <w:r w:rsidRPr="00EC1733">
        <w:rPr>
          <w:rFonts w:ascii="Times New Roman" w:eastAsiaTheme="minorEastAsia" w:hAnsi="Times New Roman" w:cs="Times New Roman"/>
          <w:sz w:val="24"/>
          <w:szCs w:val="24"/>
          <w:lang w:val="en-GB"/>
        </w:rPr>
        <w:t xml:space="preserve">. We compared models by calculating </w:t>
      </w:r>
      <m:oMath>
        <m:r>
          <w:rPr>
            <w:rFonts w:ascii="Cambria Math" w:eastAsiaTheme="minorEastAsia" w:hAnsi="Cambria Math" w:cs="Times New Roman"/>
            <w:sz w:val="24"/>
            <w:szCs w:val="24"/>
            <w:lang w:val="en-GB"/>
          </w:rPr>
          <m:t>-2</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r>
              <m:rPr>
                <m:sty m:val="p"/>
              </m:rPr>
              <w:rPr>
                <w:rFonts w:ascii="Cambria Math" w:eastAsiaTheme="minorEastAsia" w:hAnsi="Cambria Math" w:cs="Times New Roman"/>
                <w:sz w:val="24"/>
                <w:szCs w:val="24"/>
                <w:lang w:val="en-GB"/>
              </w:rPr>
              <m:t>log⁡</m:t>
            </m:r>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CPO</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e>
        </m:nary>
      </m:oMath>
      <w:r w:rsidRPr="00EC1733">
        <w:rPr>
          <w:rFonts w:ascii="Times New Roman" w:eastAsiaTheme="minorEastAsia" w:hAnsi="Times New Roman" w:cs="Times New Roman"/>
          <w:sz w:val="24"/>
          <w:szCs w:val="24"/>
          <w:lang w:val="en-GB"/>
        </w:rPr>
        <w:t>. We selected three models based on a hypothesis that approximated the shape of the probability of a species occurrence along an elevation gradient, presenting the results of the model with the lowest CPO. The final model for elevation was:</w:t>
      </w:r>
    </w:p>
    <w:p w:rsidR="00975849" w:rsidRPr="00EC1733" w:rsidRDefault="00975849" w:rsidP="00975849">
      <w:pPr>
        <w:pStyle w:val="NoSpacing"/>
        <w:spacing w:line="480" w:lineRule="auto"/>
        <w:jc w:val="both"/>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 </m:t>
          </m:r>
          <m:r>
            <m:rPr>
              <m:sty m:val="p"/>
            </m:rPr>
            <w:rPr>
              <w:rFonts w:ascii="Cambria Math" w:hAnsi="Cambria Math" w:cs="Times New Roman"/>
              <w:sz w:val="24"/>
              <w:szCs w:val="24"/>
              <w:lang w:val="en-GB"/>
            </w:rPr>
            <m:t>Binomial</m:t>
          </m:r>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π</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oMath>
      </m:oMathPara>
    </w:p>
    <w:p w:rsidR="00975849" w:rsidRPr="00EC1733" w:rsidRDefault="00975849" w:rsidP="00975849">
      <w:pPr>
        <w:pStyle w:val="NoSpacing"/>
        <w:spacing w:line="480" w:lineRule="auto"/>
        <w:jc w:val="both"/>
        <w:rPr>
          <w:rFonts w:ascii="Times New Roman" w:eastAsiaTheme="minorEastAsia" w:hAnsi="Times New Roman" w:cs="Times New Roman"/>
          <w:sz w:val="24"/>
          <w:szCs w:val="24"/>
          <w:lang w:val="en-GB"/>
        </w:rPr>
      </w:pPr>
      <m:oMathPara>
        <m:oMath>
          <m:r>
            <w:rPr>
              <w:rFonts w:ascii="Cambria Math" w:eastAsiaTheme="minorEastAsia" w:hAnsi="Cambria Math" w:cs="Times New Roman"/>
              <w:sz w:val="24"/>
              <w:szCs w:val="24"/>
              <w:lang w:val="en-GB"/>
            </w:rPr>
            <w:lastRenderedPageBreak/>
            <m:t>logit</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π</m:t>
                  </m:r>
                </m:e>
                <m:sub>
                  <m:r>
                    <w:rPr>
                      <w:rFonts w:ascii="Cambria Math" w:eastAsiaTheme="minorEastAsia" w:hAnsi="Cambria Math" w:cs="Times New Roman"/>
                      <w:sz w:val="24"/>
                      <w:szCs w:val="24"/>
                      <w:lang w:val="en-GB"/>
                    </w:rPr>
                    <m:t>i</m:t>
                  </m:r>
                </m:sub>
              </m:sSub>
            </m:e>
          </m:d>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β</m:t>
              </m:r>
            </m:e>
            <m:sub>
              <m:r>
                <w:rPr>
                  <w:rFonts w:ascii="Cambria Math" w:eastAsiaTheme="minorEastAsia" w:hAnsi="Cambria Math" w:cs="Times New Roman"/>
                  <w:sz w:val="24"/>
                  <w:szCs w:val="24"/>
                  <w:lang w:val="en-GB"/>
                </w:rPr>
                <m:t>1</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elev</m:t>
              </m:r>
            </m:sub>
          </m:sSub>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I(β</m:t>
                  </m:r>
                </m:e>
                <m:sub>
                  <m:r>
                    <w:rPr>
                      <w:rFonts w:ascii="Cambria Math" w:eastAsiaTheme="minorEastAsia" w:hAnsi="Cambria Math" w:cs="Times New Roman"/>
                      <w:sz w:val="24"/>
                      <w:szCs w:val="24"/>
                      <w:lang w:val="en-GB"/>
                    </w:rPr>
                    <m:t>1</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elev</m:t>
                  </m:r>
                </m:sub>
              </m:sSub>
              <m:r>
                <w:rPr>
                  <w:rFonts w:ascii="Cambria Math" w:eastAsiaTheme="minorEastAsia" w:hAnsi="Cambria Math" w:cs="Times New Roman"/>
                  <w:sz w:val="24"/>
                  <w:szCs w:val="24"/>
                  <w:lang w:val="en-GB"/>
                </w:rPr>
                <m:t>)</m:t>
              </m:r>
            </m:e>
            <m:sup>
              <m:r>
                <w:rPr>
                  <w:rFonts w:ascii="Cambria Math" w:eastAsiaTheme="minorEastAsia" w:hAnsi="Cambria Math" w:cs="Times New Roman"/>
                  <w:sz w:val="24"/>
                  <w:szCs w:val="24"/>
                  <w:lang w:val="en-GB"/>
                </w:rPr>
                <m:t>2</m:t>
              </m:r>
            </m:sup>
          </m:sSup>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β</m:t>
              </m:r>
            </m:e>
            <m:sub>
              <m:r>
                <w:rPr>
                  <w:rFonts w:ascii="Cambria Math" w:eastAsiaTheme="minorEastAsia" w:hAnsi="Cambria Math" w:cs="Times New Roman"/>
                  <w:sz w:val="24"/>
                  <w:szCs w:val="24"/>
                  <w:lang w:val="en-GB"/>
                </w:rPr>
                <m:t>2</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sp</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β</m:t>
              </m:r>
            </m:e>
            <m:sub>
              <m:r>
                <w:rPr>
                  <w:rFonts w:ascii="Cambria Math" w:eastAsiaTheme="minorEastAsia" w:hAnsi="Cambria Math" w:cs="Times New Roman"/>
                  <w:sz w:val="24"/>
                  <w:szCs w:val="24"/>
                  <w:lang w:val="en-GB"/>
                </w:rPr>
                <m:t>2</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sp</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β</m:t>
              </m:r>
            </m:e>
            <m:sub>
              <m:r>
                <w:rPr>
                  <w:rFonts w:ascii="Cambria Math" w:eastAsiaTheme="minorEastAsia" w:hAnsi="Cambria Math" w:cs="Times New Roman"/>
                  <w:sz w:val="24"/>
                  <w:szCs w:val="24"/>
                  <w:lang w:val="en-GB"/>
                </w:rPr>
                <m:t>1</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elev</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ξ(spde)</m:t>
              </m:r>
            </m:e>
            <m:sub>
              <m:r>
                <w:rPr>
                  <w:rFonts w:ascii="Cambria Math" w:eastAsiaTheme="minorEastAsia" w:hAnsi="Cambria Math" w:cs="Times New Roman"/>
                  <w:sz w:val="24"/>
                  <w:szCs w:val="24"/>
                  <w:lang w:val="en-GB"/>
                </w:rPr>
                <m:t>i</m:t>
              </m:r>
            </m:sub>
          </m:sSub>
        </m:oMath>
      </m:oMathPara>
    </w:p>
    <w:p w:rsidR="00975849" w:rsidRPr="00EC1733" w:rsidRDefault="00975849" w:rsidP="00975849">
      <w:pPr>
        <w:pStyle w:val="NoSpacing"/>
        <w:spacing w:line="480" w:lineRule="auto"/>
        <w:jc w:val="both"/>
        <w:rPr>
          <w:rFonts w:ascii="Times New Roman" w:hAnsi="Times New Roman" w:cs="Times New Roman"/>
          <w:sz w:val="24"/>
          <w:szCs w:val="24"/>
          <w:lang w:val="en-GB"/>
        </w:rPr>
      </w:pPr>
      <m:oMathPara>
        <m:oMath>
          <m:r>
            <m:rPr>
              <m:sty m:val="p"/>
            </m:rPr>
            <w:rPr>
              <w:rFonts w:ascii="Cambria Math" w:hAnsi="Cambria Math" w:cs="Times New Roman"/>
              <w:sz w:val="24"/>
              <w:szCs w:val="24"/>
              <w:lang w:val="en-GB"/>
            </w:rPr>
            <m:t>GF ξ</m:t>
          </m:r>
          <m:d>
            <m:dPr>
              <m:ctrlPr>
                <w:rPr>
                  <w:rFonts w:ascii="Cambria Math" w:hAnsi="Cambria Math" w:cs="Times New Roman"/>
                  <w:sz w:val="24"/>
                  <w:szCs w:val="24"/>
                  <w:lang w:val="en-GB"/>
                </w:rPr>
              </m:ctrlPr>
            </m:dPr>
            <m:e>
              <m:r>
                <w:rPr>
                  <w:rFonts w:ascii="Cambria Math" w:hAnsi="Cambria Math" w:cs="Times New Roman"/>
                  <w:sz w:val="24"/>
                  <w:szCs w:val="24"/>
                  <w:lang w:val="en-GB"/>
                </w:rPr>
                <m:t>spde</m:t>
              </m:r>
            </m:e>
          </m:d>
          <m:r>
            <w:rPr>
              <w:rFonts w:ascii="Cambria Math" w:hAnsi="Cambria Math" w:cs="Times New Roman"/>
              <w:sz w:val="24"/>
              <w:szCs w:val="24"/>
              <w:lang w:val="en-GB"/>
            </w:rPr>
            <m:t>~MVNormal(0,</m:t>
          </m:r>
          <m:r>
            <m:rPr>
              <m:sty m:val="p"/>
            </m:rPr>
            <w:rPr>
              <w:rFonts w:ascii="Cambria Math" w:hAnsi="Cambria Math" w:cs="Times New Roman"/>
              <w:sz w:val="24"/>
              <w:szCs w:val="24"/>
              <w:lang w:val="en-GB"/>
            </w:rPr>
            <m:t>Σ</m:t>
          </m:r>
          <m:r>
            <w:rPr>
              <w:rFonts w:ascii="Cambria Math" w:hAnsi="Cambria Math" w:cs="Times New Roman"/>
              <w:sz w:val="24"/>
              <w:szCs w:val="24"/>
              <w:lang w:val="en-GB"/>
            </w:rPr>
            <m:t>)</m:t>
          </m:r>
        </m:oMath>
      </m:oMathPara>
    </w:p>
    <w:p w:rsidR="00975849" w:rsidRPr="00EC1733" w:rsidRDefault="00975849" w:rsidP="00975849">
      <w:pPr>
        <w:pStyle w:val="NoSpacing"/>
        <w:spacing w:line="480" w:lineRule="auto"/>
        <w:jc w:val="both"/>
        <w:rPr>
          <w:rFonts w:ascii="Times New Roman" w:hAnsi="Times New Roman" w:cs="Times New Roman"/>
          <w:sz w:val="24"/>
          <w:szCs w:val="24"/>
          <w:lang w:val="en-GB"/>
        </w:rPr>
      </w:pPr>
    </w:p>
    <w:p w:rsidR="00975849" w:rsidRPr="00EC1733" w:rsidRDefault="00975849" w:rsidP="00975849">
      <w:pPr>
        <w:pStyle w:val="NoSpacing"/>
        <w:spacing w:line="480" w:lineRule="auto"/>
        <w:jc w:val="both"/>
        <w:outlineLvl w:val="0"/>
        <w:rPr>
          <w:rFonts w:ascii="Times New Roman" w:hAnsi="Times New Roman" w:cs="Times New Roman"/>
          <w:sz w:val="24"/>
          <w:szCs w:val="24"/>
          <w:lang w:val="en-GB"/>
        </w:rPr>
      </w:pPr>
      <w:r w:rsidRPr="00EC1733">
        <w:rPr>
          <w:rFonts w:ascii="Times New Roman" w:hAnsi="Times New Roman" w:cs="Times New Roman"/>
          <w:sz w:val="24"/>
          <w:szCs w:val="24"/>
          <w:lang w:val="en-GB"/>
        </w:rPr>
        <w:t>Credible intervals (95%) were calculated by sampling from the posterior distribution 5000 times.</w:t>
      </w:r>
    </w:p>
    <w:p w:rsidR="00975849" w:rsidRPr="00EC1733" w:rsidRDefault="00975849" w:rsidP="00975849">
      <w:pPr>
        <w:pStyle w:val="NoSpacing"/>
        <w:spacing w:line="480" w:lineRule="auto"/>
        <w:ind w:firstLine="720"/>
        <w:jc w:val="both"/>
        <w:rPr>
          <w:rFonts w:ascii="Times New Roman" w:hAnsi="Times New Roman" w:cs="Times New Roman"/>
          <w:sz w:val="24"/>
          <w:szCs w:val="24"/>
          <w:lang w:val="en-GB"/>
        </w:rPr>
      </w:pPr>
      <w:r w:rsidRPr="00EC1733">
        <w:rPr>
          <w:rFonts w:ascii="Times New Roman" w:hAnsi="Times New Roman" w:cs="Times New Roman"/>
          <w:sz w:val="24"/>
          <w:szCs w:val="24"/>
          <w:lang w:val="en-GB"/>
        </w:rPr>
        <w:t xml:space="preserve">For each species the derivative of the quadratic equation’s parameters was taken and set to zero </w:t>
      </w:r>
      <m:oMath>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dy</m:t>
                </m:r>
              </m:num>
              <m:den>
                <m:r>
                  <w:rPr>
                    <w:rFonts w:ascii="Cambria Math" w:hAnsi="Cambria Math" w:cs="Times New Roman"/>
                    <w:sz w:val="24"/>
                    <w:szCs w:val="24"/>
                    <w:lang w:val="en-GB"/>
                  </w:rPr>
                  <m:t>dx</m:t>
                </m:r>
              </m:den>
            </m:f>
            <m:r>
              <w:rPr>
                <w:rFonts w:ascii="Cambria Math" w:hAnsi="Cambria Math" w:cs="Times New Roman"/>
                <w:sz w:val="24"/>
                <w:szCs w:val="24"/>
                <w:lang w:val="en-GB"/>
              </w:rPr>
              <m:t>=0</m:t>
            </m:r>
          </m:e>
        </m:d>
      </m:oMath>
      <w:r w:rsidRPr="00EC1733">
        <w:rPr>
          <w:rFonts w:ascii="Times New Roman" w:hAnsi="Times New Roman" w:cs="Times New Roman"/>
          <w:sz w:val="24"/>
          <w:szCs w:val="24"/>
          <w:lang w:val="en-GB"/>
        </w:rPr>
        <w:t>. This formula calculates the most probable elevational position at which each species occurs. Simplifying a species' adult distribution to its most probable elevational position gives us a single number to use in the linear model and works as a good proxy for the overall distribution.</w:t>
      </w:r>
    </w:p>
    <w:p w:rsidR="00975849" w:rsidRPr="00EC1733" w:rsidRDefault="00975849" w:rsidP="00975849">
      <w:pPr>
        <w:pStyle w:val="NoSpacing"/>
        <w:spacing w:line="480" w:lineRule="auto"/>
        <w:jc w:val="both"/>
        <w:rPr>
          <w:rFonts w:ascii="Times New Roman" w:hAnsi="Times New Roman" w:cs="Times New Roman"/>
          <w:sz w:val="24"/>
          <w:szCs w:val="24"/>
          <w:lang w:val="en-GB"/>
        </w:rPr>
      </w:pPr>
    </w:p>
    <w:p w:rsidR="00975849" w:rsidRPr="00EC1733" w:rsidRDefault="00975849" w:rsidP="00975849">
      <w:pPr>
        <w:pStyle w:val="NoSpacing"/>
        <w:spacing w:line="480" w:lineRule="auto"/>
        <w:jc w:val="both"/>
        <w:rPr>
          <w:rFonts w:ascii="Times New Roman" w:hAnsi="Times New Roman" w:cs="Times New Roman"/>
          <w:sz w:val="24"/>
          <w:szCs w:val="24"/>
          <w:lang w:val="en-GB"/>
        </w:rPr>
      </w:pPr>
      <w:r w:rsidRPr="00EC1733">
        <w:rPr>
          <w:rFonts w:ascii="Times New Roman" w:hAnsi="Times New Roman" w:cs="Times New Roman"/>
          <w:b/>
          <w:sz w:val="24"/>
          <w:szCs w:val="24"/>
          <w:lang w:val="en-GB"/>
        </w:rPr>
        <w:t xml:space="preserve">Seedling sensitivity wood density. </w:t>
      </w:r>
      <w:r w:rsidRPr="00EC1733">
        <w:rPr>
          <w:rFonts w:ascii="Times New Roman" w:hAnsi="Times New Roman" w:cs="Times New Roman"/>
          <w:sz w:val="24"/>
          <w:szCs w:val="24"/>
          <w:lang w:val="en-GB"/>
        </w:rPr>
        <w:t xml:space="preserve">We tested the hypothesis that wood density would explain variation in flooding sensitivity, with the expectation that higher wood densities are more resilient than species with lighter wood. A linear model with inundation sensitivity as the response variable and wood density split into high and low portions (than the mean). We found this model to have unequally distributed residuals, with an order of magnitude of more variation in the low wood density group. Hence, we log transforming the response variable. </w:t>
      </w:r>
    </w:p>
    <w:p w:rsidR="00975849" w:rsidRPr="00EC1733" w:rsidRDefault="00975849" w:rsidP="00975849">
      <w:pPr>
        <w:pStyle w:val="NoSpacing"/>
        <w:spacing w:line="480" w:lineRule="auto"/>
        <w:ind w:firstLine="720"/>
        <w:jc w:val="both"/>
        <w:rPr>
          <w:rFonts w:ascii="Times New Roman" w:hAnsi="Times New Roman" w:cs="Times New Roman"/>
          <w:sz w:val="24"/>
          <w:szCs w:val="24"/>
          <w:lang w:val="en-GB"/>
        </w:rPr>
      </w:pPr>
      <w:r w:rsidRPr="00EC1733">
        <w:rPr>
          <w:rFonts w:ascii="Times New Roman" w:hAnsi="Times New Roman" w:cs="Times New Roman"/>
          <w:sz w:val="24"/>
          <w:szCs w:val="24"/>
          <w:lang w:val="en-GB"/>
        </w:rPr>
        <w:t xml:space="preserve">We constructed a weighted regression model with the response of elevational distribution.  The explanatory variables were wood density and water inundation sensitivity. Model weights we set as the frequency of individuals within the </w:t>
      </w:r>
      <w:proofErr w:type="gramStart"/>
      <w:r w:rsidRPr="00EC1733">
        <w:rPr>
          <w:rFonts w:ascii="Times New Roman" w:hAnsi="Times New Roman" w:cs="Times New Roman"/>
          <w:sz w:val="24"/>
          <w:szCs w:val="24"/>
          <w:lang w:val="en-GB"/>
        </w:rPr>
        <w:t>160 ha</w:t>
      </w:r>
      <w:proofErr w:type="gramEnd"/>
      <w:r w:rsidRPr="00EC1733">
        <w:rPr>
          <w:rFonts w:ascii="Times New Roman" w:hAnsi="Times New Roman" w:cs="Times New Roman"/>
          <w:sz w:val="24"/>
          <w:szCs w:val="24"/>
          <w:lang w:val="en-GB"/>
        </w:rPr>
        <w:t xml:space="preserve"> forest plot area ≥ 50 cm DBH. We ran a global model with the interaction between these two variables. We tested all combinations of this global model and presented the model with the lowest AIC. An ANOVA type II test was used to calculate the variance explained by each variable (Fig. 3a &amp; b). Weighted models sometimes create instability within an analysis, as some high abundant species may have an unduly large effect on the result. To certify that this was not the case, we </w:t>
      </w:r>
      <w:r w:rsidRPr="00EC1733">
        <w:rPr>
          <w:rFonts w:ascii="Times New Roman" w:hAnsi="Times New Roman" w:cs="Times New Roman"/>
          <w:sz w:val="24"/>
          <w:szCs w:val="24"/>
          <w:lang w:val="en-GB"/>
        </w:rPr>
        <w:lastRenderedPageBreak/>
        <w:t xml:space="preserve">ran the model with each species removed and found all models were similar to the results presented. </w:t>
      </w:r>
    </w:p>
    <w:p w:rsidR="00975849" w:rsidRPr="00EC1733" w:rsidRDefault="00975849" w:rsidP="00975849">
      <w:pPr>
        <w:pStyle w:val="NoSpacing"/>
        <w:spacing w:line="480" w:lineRule="auto"/>
        <w:jc w:val="both"/>
        <w:rPr>
          <w:rFonts w:ascii="Times New Roman" w:hAnsi="Times New Roman" w:cs="Times New Roman"/>
          <w:b/>
          <w:sz w:val="24"/>
          <w:szCs w:val="24"/>
          <w:lang w:val="en-GB"/>
        </w:rPr>
      </w:pPr>
    </w:p>
    <w:p w:rsidR="00975849" w:rsidRPr="00EC1733" w:rsidRDefault="00975849" w:rsidP="00975849">
      <w:pPr>
        <w:pStyle w:val="NoSpacing"/>
        <w:spacing w:line="480" w:lineRule="auto"/>
        <w:jc w:val="both"/>
        <w:rPr>
          <w:rFonts w:ascii="Times New Roman" w:hAnsi="Times New Roman" w:cs="Times New Roman"/>
          <w:sz w:val="24"/>
          <w:szCs w:val="24"/>
          <w:lang w:val="en-GB"/>
        </w:rPr>
      </w:pPr>
      <w:r w:rsidRPr="00EC1733">
        <w:rPr>
          <w:rFonts w:ascii="Times New Roman" w:hAnsi="Times New Roman" w:cs="Times New Roman"/>
          <w:b/>
          <w:sz w:val="24"/>
          <w:szCs w:val="24"/>
          <w:lang w:val="en-GB"/>
        </w:rPr>
        <w:t xml:space="preserve">Verifying the statistical model. </w:t>
      </w:r>
      <w:r w:rsidRPr="00EC1733">
        <w:rPr>
          <w:rFonts w:ascii="Times New Roman" w:hAnsi="Times New Roman" w:cs="Times New Roman"/>
          <w:sz w:val="24"/>
          <w:szCs w:val="24"/>
          <w:lang w:val="en-GB"/>
        </w:rPr>
        <w:t xml:space="preserve">We tested if our statistical model was able to predict the mean elevations of species in the 4 ha plots species distribution outside the </w:t>
      </w:r>
      <w:proofErr w:type="gramStart"/>
      <w:r w:rsidRPr="00EC1733">
        <w:rPr>
          <w:rFonts w:ascii="Times New Roman" w:hAnsi="Times New Roman" w:cs="Times New Roman"/>
          <w:sz w:val="24"/>
          <w:szCs w:val="24"/>
          <w:lang w:val="en-GB"/>
        </w:rPr>
        <w:t>160 ha</w:t>
      </w:r>
      <w:proofErr w:type="gramEnd"/>
      <w:r w:rsidRPr="00EC1733">
        <w:rPr>
          <w:rFonts w:ascii="Times New Roman" w:hAnsi="Times New Roman" w:cs="Times New Roman"/>
          <w:sz w:val="24"/>
          <w:szCs w:val="24"/>
          <w:lang w:val="en-GB"/>
        </w:rPr>
        <w:t xml:space="preserve"> plot area. We used the mean elevation as low absolute numbers of individuals for some species made modelling this data with a spatial effect impossible. A linear model with elevation (m asl, based on the wood density and flooding sensitivity of a species) as the explanatory variable, responding to the mean elevation a species was found at in the 4 ha plots (calculated by accounting for spatial autocorrelation). We weight this model by abundances. We calculated an additional r</w:t>
      </w:r>
      <w:r w:rsidRPr="00EC1733">
        <w:rPr>
          <w:rFonts w:ascii="Times New Roman" w:hAnsi="Times New Roman" w:cs="Times New Roman"/>
          <w:sz w:val="24"/>
          <w:szCs w:val="24"/>
          <w:vertAlign w:val="superscript"/>
          <w:lang w:val="en-GB"/>
        </w:rPr>
        <w:t xml:space="preserve">2 </w:t>
      </w:r>
      <w:r w:rsidRPr="00EC1733">
        <w:rPr>
          <w:rFonts w:ascii="Times New Roman" w:hAnsi="Times New Roman" w:cs="Times New Roman"/>
          <w:sz w:val="24"/>
          <w:szCs w:val="24"/>
          <w:lang w:val="en-GB"/>
        </w:rPr>
        <w:t>value for all the elevations of individuals against the species' predicted values.</w:t>
      </w:r>
    </w:p>
    <w:p w:rsidR="00975849" w:rsidRPr="00EC1733" w:rsidRDefault="00975849" w:rsidP="00975849">
      <w:pPr>
        <w:pStyle w:val="NoSpacing"/>
        <w:spacing w:line="480" w:lineRule="auto"/>
        <w:jc w:val="both"/>
        <w:rPr>
          <w:rFonts w:ascii="Times New Roman" w:hAnsi="Times New Roman" w:cs="Times New Roman"/>
          <w:sz w:val="24"/>
          <w:szCs w:val="24"/>
          <w:lang w:val="en-GB"/>
        </w:rPr>
      </w:pPr>
    </w:p>
    <w:p w:rsidR="00975849" w:rsidRPr="00EC1733" w:rsidRDefault="00975849" w:rsidP="00975849">
      <w:pPr>
        <w:pStyle w:val="NoSpacing"/>
        <w:spacing w:line="480" w:lineRule="auto"/>
        <w:jc w:val="both"/>
        <w:rPr>
          <w:rFonts w:ascii="Times New Roman" w:hAnsi="Times New Roman" w:cs="Times New Roman"/>
          <w:sz w:val="24"/>
          <w:szCs w:val="24"/>
          <w:lang w:val="en-GB"/>
        </w:rPr>
      </w:pPr>
      <w:r w:rsidRPr="00EC1733">
        <w:rPr>
          <w:rFonts w:ascii="Times New Roman" w:hAnsi="Times New Roman" w:cs="Times New Roman"/>
          <w:b/>
          <w:sz w:val="24"/>
          <w:szCs w:val="24"/>
          <w:lang w:val="en-GB"/>
        </w:rPr>
        <w:t xml:space="preserve">Wood density’s elevational distribution. </w:t>
      </w:r>
      <w:r w:rsidRPr="00EC1733">
        <w:rPr>
          <w:rFonts w:ascii="Times New Roman" w:hAnsi="Times New Roman" w:cs="Times New Roman"/>
          <w:sz w:val="24"/>
          <w:szCs w:val="24"/>
          <w:lang w:val="en-GB"/>
        </w:rPr>
        <w:t>We tested the hypothesis that the wood density distribution across the elevation gradient was not linearly consistent. High wood density may be distributed across the elevation gradient at low and high elevations, whereas low wood density species were distributed predominantly in lower elevations. We partition the full data set from all plots (178 ha), into quarter hectare units (2500 m</w:t>
      </w:r>
      <w:r w:rsidRPr="00EC1733">
        <w:rPr>
          <w:rFonts w:ascii="Times New Roman" w:hAnsi="Times New Roman" w:cs="Times New Roman"/>
          <w:sz w:val="24"/>
          <w:szCs w:val="24"/>
          <w:vertAlign w:val="superscript"/>
          <w:lang w:val="en-GB"/>
        </w:rPr>
        <w:t>2</w:t>
      </w:r>
      <w:r w:rsidRPr="00EC1733">
        <w:rPr>
          <w:rFonts w:ascii="Times New Roman" w:hAnsi="Times New Roman" w:cs="Times New Roman"/>
          <w:sz w:val="24"/>
          <w:szCs w:val="24"/>
          <w:lang w:val="en-GB"/>
        </w:rPr>
        <w:t>). The mean elevation and mean wood density within each unit was calculated (n = 720; 648 from 160 ha plot, and 72 from the 4 ½ four ha plots). We used a quantile regression, with wood density as the predictor and elevation as the response. Quantile regression allows us to calculate the conditional quantile function for a response variable, thus enabling us to investigate a more complex relationship. The model calculated five quantiles, shown in Fig. 3d (0.025, 0.1, 0.5, 0.9, 0.975). To calculate the confidence around the coefficients, we bootstrap the data (n = 5000).</w:t>
      </w:r>
    </w:p>
    <w:p w:rsidR="00975849" w:rsidRPr="00EC1733" w:rsidRDefault="00975849" w:rsidP="00975849">
      <w:pPr>
        <w:pStyle w:val="NoSpacing"/>
        <w:spacing w:line="480" w:lineRule="auto"/>
        <w:jc w:val="both"/>
        <w:rPr>
          <w:rFonts w:ascii="Times New Roman" w:hAnsi="Times New Roman" w:cs="Times New Roman"/>
          <w:sz w:val="24"/>
          <w:szCs w:val="24"/>
          <w:lang w:val="en-GB"/>
        </w:rPr>
      </w:pPr>
      <w:r w:rsidRPr="00EC1733">
        <w:rPr>
          <w:rFonts w:ascii="Times New Roman" w:hAnsi="Times New Roman" w:cs="Times New Roman"/>
          <w:sz w:val="24"/>
          <w:szCs w:val="24"/>
          <w:lang w:val="en-GB"/>
        </w:rPr>
        <w:t xml:space="preserve"> </w:t>
      </w:r>
    </w:p>
    <w:p w:rsidR="00923F1B" w:rsidRPr="00923F1B" w:rsidRDefault="00975849"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EC1733">
        <w:rPr>
          <w:rFonts w:ascii="Times New Roman" w:hAnsi="Times New Roman" w:cs="Times New Roman"/>
          <w:b/>
          <w:sz w:val="24"/>
          <w:szCs w:val="24"/>
        </w:rPr>
        <w:t>Community similarity analysis.</w:t>
      </w:r>
      <w:r w:rsidRPr="00EC1733">
        <w:rPr>
          <w:rFonts w:ascii="Times New Roman" w:hAnsi="Times New Roman" w:cs="Times New Roman"/>
          <w:sz w:val="24"/>
          <w:szCs w:val="24"/>
        </w:rPr>
        <w:t xml:space="preserve"> To analyses dipterocarps community composition across elevation gradients, we partitioned the maps into 12 elevation bands so that there were </w:t>
      </w:r>
      <w:r w:rsidRPr="00EC1733">
        <w:rPr>
          <w:rFonts w:ascii="Times New Roman" w:hAnsi="Times New Roman" w:cs="Times New Roman"/>
          <w:sz w:val="24"/>
          <w:szCs w:val="24"/>
        </w:rPr>
        <w:lastRenderedPageBreak/>
        <w:t xml:space="preserve">approximately equal densities of dipterocarps within each band </w:t>
      </w:r>
      <w:r w:rsidRPr="00EC1733">
        <w:rPr>
          <w:rFonts w:ascii="Times New Roman" w:hAnsi="Times New Roman" w:cs="Times New Roman"/>
          <w:sz w:val="24"/>
          <w:szCs w:val="24"/>
        </w:rPr>
        <w:fldChar w:fldCharType="begin" w:fldLock="1"/>
      </w:r>
      <w:r w:rsidRPr="00EC1733">
        <w:rPr>
          <w:rFonts w:ascii="Times New Roman" w:hAnsi="Times New Roman" w:cs="Times New Roman"/>
          <w:sz w:val="24"/>
          <w:szCs w:val="24"/>
        </w:rPr>
        <w:instrText>ADDIN CSL_CITATION {"citationItems":[{"id":"ITEM-1","itemData":{"author":[{"dropping-particle":"","family":"Harrell","given":"Frank E","non-dropping-particle":"","parse-names":false,"suffix":""}],"container-title":"CRAN Repository","id":"ITEM-1","issued":{"date-parts":[["2016"]]},"page":"1-405","title":"Harrell Miscellaneous","type":"article-journal"},"uris":["http://www.mendeley.com/documents/?uuid=37497873-8c98-4c83-a04d-55684ffe6a43"]}],"mendeley":{"formattedCitation":"(Harrell, 2016)","plainTextFormattedCitation":"(Harrell, 2016)","previouslyFormattedCitation":"(Harrell, 2016)"},"properties":{"noteIndex":0},"schema":"https://github.com/citation-style-language/schema/raw/master/csl-citation.json"}</w:instrText>
      </w:r>
      <w:r w:rsidRPr="00EC1733">
        <w:rPr>
          <w:rFonts w:ascii="Times New Roman" w:hAnsi="Times New Roman" w:cs="Times New Roman"/>
          <w:sz w:val="24"/>
          <w:szCs w:val="24"/>
        </w:rPr>
        <w:fldChar w:fldCharType="separate"/>
      </w:r>
      <w:r w:rsidRPr="00EC1733">
        <w:rPr>
          <w:rFonts w:ascii="Times New Roman" w:hAnsi="Times New Roman" w:cs="Times New Roman"/>
          <w:noProof/>
          <w:sz w:val="24"/>
          <w:szCs w:val="24"/>
        </w:rPr>
        <w:t>(Harrell, 2016)</w:t>
      </w:r>
      <w:r w:rsidRPr="00EC1733">
        <w:rPr>
          <w:rFonts w:ascii="Times New Roman" w:hAnsi="Times New Roman" w:cs="Times New Roman"/>
          <w:sz w:val="24"/>
          <w:szCs w:val="24"/>
        </w:rPr>
        <w:fldChar w:fldCharType="end"/>
      </w:r>
      <w:r w:rsidRPr="00EC1733">
        <w:rPr>
          <w:rFonts w:ascii="Times New Roman" w:hAnsi="Times New Roman" w:cs="Times New Roman"/>
          <w:sz w:val="24"/>
          <w:szCs w:val="24"/>
        </w:rPr>
        <w:t xml:space="preserve"> (mean number of trees in each band was 465.25 ± 80.9 SD). Moreover, using the same elevation bands, we conducted a non-metric multi-dimensional scaling analysis</w:t>
      </w:r>
      <w:r w:rsidRPr="00EC1733">
        <w:rPr>
          <w:rFonts w:ascii="Times New Roman" w:hAnsi="Times New Roman" w:cs="Times New Roman"/>
          <w:sz w:val="24"/>
          <w:szCs w:val="24"/>
        </w:rPr>
        <w:fldChar w:fldCharType="begin" w:fldLock="1"/>
      </w:r>
      <w:r w:rsidR="00923F1B">
        <w:rPr>
          <w:rFonts w:ascii="Times New Roman" w:hAnsi="Times New Roman" w:cs="Times New Roman"/>
          <w:sz w:val="24"/>
          <w:szCs w:val="24"/>
        </w:rPr>
        <w:instrText>ADDIN CSL_CITATION {"citationItems":[{"id":"ITEM-1","itemData":{"author":[{"dropping-particle":"","family":"Oksanen","given":"Jari","non-dropping-particle":"","parse-names":false,"suffix":""},{"dropping-particle":"","family":"Guillaume Blanchet","given":"F.","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B.","non-dropping-particle":"","parse-names":false,"suffix":""},{"dropping-particle":"","family":"Simpson","given":"Gavin L.","non-dropping-particle":"","parse-names":false,"suffix":""},{"dropping-particle":"","family":"Solymos","given":"Peter","non-dropping-particle":"","parse-names":false,"suffix":""},{"dropping-particle":"","family":"Henry","given":"M.","non-dropping-particle":"","parse-names":false,"suffix":""},{"dropping-particle":"","family":"Stevens","given":"H.","non-dropping-particle":"","parse-names":false,"suffix":""},{"dropping-particle":"","family":"Szoecs","given":"Eduard","non-dropping-particle":"","parse-names":false,"suffix":""},{"dropping-particle":"","family":"Wagner","given":"Helene","non-dropping-particle":"","parse-names":false,"suffix":""}],"container-title":"CRAN Repository","id":"ITEM-1","issued":{"date-parts":[["2016"]]},"page":"1-292","title":"Community ecology package: ordination, diversity and dissimilarities","type":"article-journal"},"uris":["http://www.mendeley.com/documents/?uuid=76fbe535-386c-45f3-b969-4d0e6fb5af8c"]}],"mendeley":{"formattedCitation":"(Oksanen et al., 2016)","manualFormatting":" (Oksanen et al., 2016)","plainTextFormattedCitation":"(Oksanen et al., 2016)","previouslyFormattedCitation":"(Oksanen &lt;i&gt;et al.&lt;/i&gt;, 2016)"},"properties":{"noteIndex":0},"schema":"https://github.com/citation-style-language/schema/raw/master/csl-citation.json"}</w:instrText>
      </w:r>
      <w:r w:rsidRPr="00EC1733">
        <w:rPr>
          <w:rFonts w:ascii="Times New Roman" w:hAnsi="Times New Roman" w:cs="Times New Roman"/>
          <w:sz w:val="24"/>
          <w:szCs w:val="24"/>
        </w:rPr>
        <w:fldChar w:fldCharType="separate"/>
      </w:r>
      <w:r w:rsidRPr="00EC1733">
        <w:rPr>
          <w:rFonts w:ascii="Times New Roman" w:hAnsi="Times New Roman" w:cs="Times New Roman"/>
          <w:noProof/>
          <w:sz w:val="24"/>
          <w:szCs w:val="24"/>
        </w:rPr>
        <w:t xml:space="preserve"> (Oksanen </w:t>
      </w:r>
      <w:r w:rsidRPr="00EC1733">
        <w:rPr>
          <w:rFonts w:ascii="Times New Roman" w:hAnsi="Times New Roman" w:cs="Times New Roman"/>
          <w:i/>
          <w:noProof/>
          <w:sz w:val="24"/>
          <w:szCs w:val="24"/>
        </w:rPr>
        <w:t>et al.</w:t>
      </w:r>
      <w:r w:rsidRPr="00EC1733">
        <w:rPr>
          <w:rFonts w:ascii="Times New Roman" w:hAnsi="Times New Roman" w:cs="Times New Roman"/>
          <w:noProof/>
          <w:sz w:val="24"/>
          <w:szCs w:val="24"/>
        </w:rPr>
        <w:t>, 2016)</w:t>
      </w:r>
      <w:r w:rsidRPr="00EC1733">
        <w:rPr>
          <w:rFonts w:ascii="Times New Roman" w:hAnsi="Times New Roman" w:cs="Times New Roman"/>
          <w:sz w:val="24"/>
          <w:szCs w:val="24"/>
        </w:rPr>
        <w:fldChar w:fldCharType="end"/>
      </w:r>
      <w:r w:rsidRPr="00EC1733">
        <w:rPr>
          <w:rFonts w:ascii="Times New Roman" w:hAnsi="Times New Roman" w:cs="Times New Roman"/>
          <w:sz w:val="24"/>
          <w:szCs w:val="24"/>
        </w:rPr>
        <w:t xml:space="preserve"> of the communities and extracted the first axes' values to map of </w:t>
      </w:r>
      <w:r w:rsidR="00923F1B">
        <w:rPr>
          <w:rFonts w:ascii="Times New Roman" w:hAnsi="Times New Roman" w:cs="Times New Roman"/>
          <w:sz w:val="24"/>
          <w:szCs w:val="24"/>
        </w:rPr>
        <w:fldChar w:fldCharType="begin" w:fldLock="1"/>
      </w:r>
      <w:r w:rsidR="00923F1B">
        <w:rPr>
          <w:rFonts w:ascii="Times New Roman" w:hAnsi="Times New Roman" w:cs="Times New Roman"/>
          <w:sz w:val="24"/>
          <w:szCs w:val="24"/>
        </w:rPr>
        <w:instrText xml:space="preserve">ADDIN Mendeley Bibliography CSL_BIBLIOGRAPHY </w:instrText>
      </w:r>
      <w:r w:rsidR="00923F1B">
        <w:rPr>
          <w:rFonts w:ascii="Times New Roman" w:hAnsi="Times New Roman" w:cs="Times New Roman"/>
          <w:sz w:val="24"/>
          <w:szCs w:val="24"/>
        </w:rPr>
        <w:fldChar w:fldCharType="separate"/>
      </w:r>
      <w:r w:rsidR="00923F1B" w:rsidRPr="00923F1B">
        <w:rPr>
          <w:rFonts w:ascii="Times New Roman" w:hAnsi="Times New Roman" w:cs="Times New Roman"/>
          <w:noProof/>
          <w:sz w:val="24"/>
          <w:lang w:val="en-US"/>
        </w:rPr>
        <w:t xml:space="preserve">Allen, S. E. (1989). </w:t>
      </w:r>
      <w:r w:rsidR="00923F1B" w:rsidRPr="00923F1B">
        <w:rPr>
          <w:rFonts w:ascii="Times New Roman" w:hAnsi="Times New Roman" w:cs="Times New Roman"/>
          <w:i/>
          <w:iCs/>
          <w:noProof/>
          <w:sz w:val="24"/>
          <w:lang w:val="en-US"/>
        </w:rPr>
        <w:t>Chemical analysis of ecological materials</w:t>
      </w:r>
      <w:r w:rsidR="00923F1B" w:rsidRPr="00923F1B">
        <w:rPr>
          <w:rFonts w:ascii="Times New Roman" w:hAnsi="Times New Roman" w:cs="Times New Roman"/>
          <w:noProof/>
          <w:sz w:val="24"/>
          <w:lang w:val="en-US"/>
        </w:rPr>
        <w:t xml:space="preserve"> (2nd ed.). Oxford: Blackwell Scientific Publications.</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Ashton, P. S. (1988). Dipterocarp biology as a window to the understanding of tropical forest structure. </w:t>
      </w:r>
      <w:r w:rsidRPr="00923F1B">
        <w:rPr>
          <w:rFonts w:ascii="Times New Roman" w:hAnsi="Times New Roman" w:cs="Times New Roman"/>
          <w:i/>
          <w:iCs/>
          <w:noProof/>
          <w:sz w:val="24"/>
          <w:lang w:val="en-US"/>
        </w:rPr>
        <w:t>Annual Review of Ecology and Systematics</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19</w:t>
      </w:r>
      <w:r w:rsidRPr="00923F1B">
        <w:rPr>
          <w:rFonts w:ascii="Times New Roman" w:hAnsi="Times New Roman" w:cs="Times New Roman"/>
          <w:noProof/>
          <w:sz w:val="24"/>
          <w:lang w:val="en-US"/>
        </w:rPr>
        <w:t>(1988), 347–370.</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Ashton, P. S., Givnish, T. J., &amp; Appanah, S. (1988). Staggered flowering in the Dipterocarpaceae: new insights into floral induction and the evolution of mast fruiting in the aseasonal tropics. </w:t>
      </w:r>
      <w:r w:rsidRPr="00923F1B">
        <w:rPr>
          <w:rFonts w:ascii="Times New Roman" w:hAnsi="Times New Roman" w:cs="Times New Roman"/>
          <w:i/>
          <w:iCs/>
          <w:noProof/>
          <w:sz w:val="24"/>
          <w:lang w:val="en-US"/>
        </w:rPr>
        <w:t>The American Society of Naturalists</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132</w:t>
      </w:r>
      <w:r w:rsidRPr="00923F1B">
        <w:rPr>
          <w:rFonts w:ascii="Times New Roman" w:hAnsi="Times New Roman" w:cs="Times New Roman"/>
          <w:noProof/>
          <w:sz w:val="24"/>
          <w:lang w:val="en-US"/>
        </w:rPr>
        <w:t>(1), 44–66.</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Baltzer, J. L., Thomas, S. C., Nilus, R., &amp; Burslem, D. F. R. P. (2005). Edaphic specialization in tropical trees: physiological correlates and responses to reciprocal transplantation. </w:t>
      </w:r>
      <w:r w:rsidRPr="00923F1B">
        <w:rPr>
          <w:rFonts w:ascii="Times New Roman" w:hAnsi="Times New Roman" w:cs="Times New Roman"/>
          <w:i/>
          <w:iCs/>
          <w:noProof/>
          <w:sz w:val="24"/>
          <w:lang w:val="en-US"/>
        </w:rPr>
        <w:t>Ecology</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86</w:t>
      </w:r>
      <w:r w:rsidRPr="00923F1B">
        <w:rPr>
          <w:rFonts w:ascii="Times New Roman" w:hAnsi="Times New Roman" w:cs="Times New Roman"/>
          <w:noProof/>
          <w:sz w:val="24"/>
          <w:lang w:val="en-US"/>
        </w:rPr>
        <w:t>(11), 3063–3077. https://doi.org/10.1890/04-0598</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Bates, D., Maechler Martin, &amp; Walker, S. (2016). Package “lme4”: Linear Mixed-Effects Models using “Eigen” and S4. </w:t>
      </w:r>
      <w:r w:rsidRPr="00923F1B">
        <w:rPr>
          <w:rFonts w:ascii="Times New Roman" w:hAnsi="Times New Roman" w:cs="Times New Roman"/>
          <w:i/>
          <w:iCs/>
          <w:noProof/>
          <w:sz w:val="24"/>
          <w:lang w:val="en-US"/>
        </w:rPr>
        <w:t>CRAN Repository</w:t>
      </w:r>
      <w:r w:rsidRPr="00923F1B">
        <w:rPr>
          <w:rFonts w:ascii="Times New Roman" w:hAnsi="Times New Roman" w:cs="Times New Roman"/>
          <w:noProof/>
          <w:sz w:val="24"/>
          <w:lang w:val="en-US"/>
        </w:rPr>
        <w:t>, 1–113. https://doi.org/10.18637/jss.v067.i01</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Born, J., Pluess, A. R., Burslem, D. F. R. P., Nilus, R., Maycock, C. R., &amp; Ghazoul, J. (2014). Differing life history characteristics support coexistence of tree soil generalist and specialist species in tropical rain forests. </w:t>
      </w:r>
      <w:r w:rsidRPr="00923F1B">
        <w:rPr>
          <w:rFonts w:ascii="Times New Roman" w:hAnsi="Times New Roman" w:cs="Times New Roman"/>
          <w:i/>
          <w:iCs/>
          <w:noProof/>
          <w:sz w:val="24"/>
          <w:lang w:val="en-US"/>
        </w:rPr>
        <w:t>Biotropica</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46</w:t>
      </w:r>
      <w:r w:rsidRPr="00923F1B">
        <w:rPr>
          <w:rFonts w:ascii="Times New Roman" w:hAnsi="Times New Roman" w:cs="Times New Roman"/>
          <w:noProof/>
          <w:sz w:val="24"/>
          <w:lang w:val="en-US"/>
        </w:rPr>
        <w:t>(1), 58–68. https://doi.org/10.1111/btp.12083</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Curran, L. M., Caniago, I., Paoli, G. D., Astianti, D., Kusneti, M., Leighton, M., … Haeruman, H. (1999). Impact of El Niño and logging on canopy tree recruitment in borneo. </w:t>
      </w:r>
      <w:r w:rsidRPr="00923F1B">
        <w:rPr>
          <w:rFonts w:ascii="Times New Roman" w:hAnsi="Times New Roman" w:cs="Times New Roman"/>
          <w:i/>
          <w:iCs/>
          <w:noProof/>
          <w:sz w:val="24"/>
          <w:lang w:val="en-US"/>
        </w:rPr>
        <w:t>Science</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286</w:t>
      </w:r>
      <w:r w:rsidRPr="00923F1B">
        <w:rPr>
          <w:rFonts w:ascii="Times New Roman" w:hAnsi="Times New Roman" w:cs="Times New Roman"/>
          <w:noProof/>
          <w:sz w:val="24"/>
          <w:lang w:val="en-US"/>
        </w:rPr>
        <w:t>(5447), 2184–2188. https://doi.org/10.1126/science.286.5447.2184</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lastRenderedPageBreak/>
        <w:t xml:space="preserve">Dent, D. H., Bagchi, R., Robinson, D., Majalap-Lee, N., &amp; Burslem, D. F. R. P. (2006). Nutrient fluxes via litterfall and leaf litter decomposition vary across a gradient of soil nutrient supply in a lowland tropical rain forest. </w:t>
      </w:r>
      <w:r w:rsidRPr="00923F1B">
        <w:rPr>
          <w:rFonts w:ascii="Times New Roman" w:hAnsi="Times New Roman" w:cs="Times New Roman"/>
          <w:i/>
          <w:iCs/>
          <w:noProof/>
          <w:sz w:val="24"/>
          <w:lang w:val="en-US"/>
        </w:rPr>
        <w:t>Plant and Soil</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288</w:t>
      </w:r>
      <w:r w:rsidRPr="00923F1B">
        <w:rPr>
          <w:rFonts w:ascii="Times New Roman" w:hAnsi="Times New Roman" w:cs="Times New Roman"/>
          <w:noProof/>
          <w:sz w:val="24"/>
          <w:lang w:val="en-US"/>
        </w:rPr>
        <w:t>(1–2), 197–215. https://doi.org/10.1007/s11104-006-9108-1</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DeWalt, S. J., Ickes, K., Nilus, R., Harms, K. E., &amp; Burslem, D. F. R. P. (2006). Liana habitat associations and community structure in a Bornean lowland tropical forest. </w:t>
      </w:r>
      <w:r w:rsidRPr="00923F1B">
        <w:rPr>
          <w:rFonts w:ascii="Times New Roman" w:hAnsi="Times New Roman" w:cs="Times New Roman"/>
          <w:i/>
          <w:iCs/>
          <w:noProof/>
          <w:sz w:val="24"/>
          <w:lang w:val="en-US"/>
        </w:rPr>
        <w:t>Plant Ecology</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186</w:t>
      </w:r>
      <w:r w:rsidRPr="00923F1B">
        <w:rPr>
          <w:rFonts w:ascii="Times New Roman" w:hAnsi="Times New Roman" w:cs="Times New Roman"/>
          <w:noProof/>
          <w:sz w:val="24"/>
          <w:lang w:val="en-US"/>
        </w:rPr>
        <w:t>(2), 203–216. https://doi.org/10.1007/s11258-006-9123-6</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Gelman, A., Su, Y.-S., Yajima, M., Hill, J., Pittau, M., Kerman, J. ouni, … Vincent, D. (2016). Data Analysis Using Regression and Multilevel/Hierarchical Models. </w:t>
      </w:r>
      <w:r w:rsidRPr="00923F1B">
        <w:rPr>
          <w:rFonts w:ascii="Times New Roman" w:hAnsi="Times New Roman" w:cs="Times New Roman"/>
          <w:i/>
          <w:iCs/>
          <w:noProof/>
          <w:sz w:val="24"/>
          <w:lang w:val="en-US"/>
        </w:rPr>
        <w:t>CRAN Repository</w:t>
      </w:r>
      <w:r w:rsidRPr="00923F1B">
        <w:rPr>
          <w:rFonts w:ascii="Times New Roman" w:hAnsi="Times New Roman" w:cs="Times New Roman"/>
          <w:noProof/>
          <w:sz w:val="24"/>
          <w:lang w:val="en-US"/>
        </w:rPr>
        <w:t>, 1–53.</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Green, P. T., Harms, K. E., &amp; Connell, J. H. (2014). Nonrandom, diversifying processes are disproportionately strong in the smallest size classes of a tropical forest. </w:t>
      </w:r>
      <w:r w:rsidRPr="00923F1B">
        <w:rPr>
          <w:rFonts w:ascii="Times New Roman" w:hAnsi="Times New Roman" w:cs="Times New Roman"/>
          <w:i/>
          <w:iCs/>
          <w:noProof/>
          <w:sz w:val="24"/>
          <w:lang w:val="en-US"/>
        </w:rPr>
        <w:t>PNAS</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111</w:t>
      </w:r>
      <w:r w:rsidRPr="00923F1B">
        <w:rPr>
          <w:rFonts w:ascii="Times New Roman" w:hAnsi="Times New Roman" w:cs="Times New Roman"/>
          <w:noProof/>
          <w:sz w:val="24"/>
          <w:lang w:val="en-US"/>
        </w:rPr>
        <w:t>(52), 18649–18654. https://doi.org/10.1073/pnas.1321892112</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Harrell, F. E. (2016). Harrell Miscellaneous. </w:t>
      </w:r>
      <w:r w:rsidRPr="00923F1B">
        <w:rPr>
          <w:rFonts w:ascii="Times New Roman" w:hAnsi="Times New Roman" w:cs="Times New Roman"/>
          <w:i/>
          <w:iCs/>
          <w:noProof/>
          <w:sz w:val="24"/>
          <w:lang w:val="en-US"/>
        </w:rPr>
        <w:t>CRAN Repository</w:t>
      </w:r>
      <w:r w:rsidRPr="00923F1B">
        <w:rPr>
          <w:rFonts w:ascii="Times New Roman" w:hAnsi="Times New Roman" w:cs="Times New Roman"/>
          <w:noProof/>
          <w:sz w:val="24"/>
          <w:lang w:val="en-US"/>
        </w:rPr>
        <w:t>, 1–405.</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Hirai, H., Matsumura, H., Hirotani, H., Sakurai, K., Ogino, K., &amp; Lee, H. S. (1997). Soils and the distribution of Dryobalanops aromatica and D. lanceolata in mixed dipterocarp forest - a case study at Lambir Hills National Park, Sarawak, Malaysia. </w:t>
      </w:r>
      <w:r w:rsidRPr="00923F1B">
        <w:rPr>
          <w:rFonts w:ascii="Times New Roman" w:hAnsi="Times New Roman" w:cs="Times New Roman"/>
          <w:i/>
          <w:iCs/>
          <w:noProof/>
          <w:sz w:val="24"/>
          <w:lang w:val="en-US"/>
        </w:rPr>
        <w:t>Tropics</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7</w:t>
      </w:r>
      <w:r w:rsidRPr="00923F1B">
        <w:rPr>
          <w:rFonts w:ascii="Times New Roman" w:hAnsi="Times New Roman" w:cs="Times New Roman"/>
          <w:noProof/>
          <w:sz w:val="24"/>
          <w:lang w:val="en-US"/>
        </w:rPr>
        <w:t>(July), 21–33. https://doi.org/10.3759/tropics.7.21</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Itoh, A., Yamakura, T., Ohkubo, T., Kanzaki, M., Palmiotto, P. A., LaFrankie, J. V., … Lee, H. S. (2003). Importance of topography and soil texture in the spatial distribution of two sympatric dipterocarp trees in a Bornean rainforest. </w:t>
      </w:r>
      <w:r w:rsidRPr="00923F1B">
        <w:rPr>
          <w:rFonts w:ascii="Times New Roman" w:hAnsi="Times New Roman" w:cs="Times New Roman"/>
          <w:i/>
          <w:iCs/>
          <w:noProof/>
          <w:sz w:val="24"/>
          <w:lang w:val="en-US"/>
        </w:rPr>
        <w:t>Ecological Research</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18</w:t>
      </w:r>
      <w:r w:rsidRPr="00923F1B">
        <w:rPr>
          <w:rFonts w:ascii="Times New Roman" w:hAnsi="Times New Roman" w:cs="Times New Roman"/>
          <w:noProof/>
          <w:sz w:val="24"/>
          <w:lang w:val="en-US"/>
        </w:rPr>
        <w:t>(3), 307–320. https://doi.org/10.1046/j.1440-1703.2003.00556.x</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Lemmon, P. E. (1956). A spherical densiometer for estimating forest overstory density. </w:t>
      </w:r>
      <w:r w:rsidRPr="00923F1B">
        <w:rPr>
          <w:rFonts w:ascii="Times New Roman" w:hAnsi="Times New Roman" w:cs="Times New Roman"/>
          <w:i/>
          <w:iCs/>
          <w:noProof/>
          <w:sz w:val="24"/>
          <w:lang w:val="en-US"/>
        </w:rPr>
        <w:t>Forest Science</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2</w:t>
      </w:r>
      <w:r w:rsidRPr="00923F1B">
        <w:rPr>
          <w:rFonts w:ascii="Times New Roman" w:hAnsi="Times New Roman" w:cs="Times New Roman"/>
          <w:noProof/>
          <w:sz w:val="24"/>
          <w:lang w:val="en-US"/>
        </w:rPr>
        <w:t>, 314–320.</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lastRenderedPageBreak/>
        <w:t xml:space="preserve">Lindgren, F., Rue, H., &amp; Lindström, J. (2011). An explicit link between Gaussian fields and Gaussian Markov random fields: the stochastic partial differential equation approach. </w:t>
      </w:r>
      <w:r w:rsidRPr="00923F1B">
        <w:rPr>
          <w:rFonts w:ascii="Times New Roman" w:hAnsi="Times New Roman" w:cs="Times New Roman"/>
          <w:i/>
          <w:iCs/>
          <w:noProof/>
          <w:sz w:val="24"/>
          <w:lang w:val="en-US"/>
        </w:rPr>
        <w:t>Journal of the Royal Statistical Society, Series B</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73</w:t>
      </w:r>
      <w:r w:rsidRPr="00923F1B">
        <w:rPr>
          <w:rFonts w:ascii="Times New Roman" w:hAnsi="Times New Roman" w:cs="Times New Roman"/>
          <w:noProof/>
          <w:sz w:val="24"/>
          <w:lang w:val="en-US"/>
        </w:rPr>
        <w:t>, 423–498. https://doi.org/10.1111/j.1467-9868.2011.00777.x</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Majalap-Lee, N &amp; Hin, C. N. (1992). </w:t>
      </w:r>
      <w:r w:rsidRPr="00923F1B">
        <w:rPr>
          <w:rFonts w:ascii="Times New Roman" w:hAnsi="Times New Roman" w:cs="Times New Roman"/>
          <w:i/>
          <w:iCs/>
          <w:noProof/>
          <w:sz w:val="24"/>
          <w:lang w:val="en-US"/>
        </w:rPr>
        <w:t>Laboratory Manual for Chemcial Analysis</w:t>
      </w:r>
      <w:r w:rsidRPr="00923F1B">
        <w:rPr>
          <w:rFonts w:ascii="Times New Roman" w:hAnsi="Times New Roman" w:cs="Times New Roman"/>
          <w:noProof/>
          <w:sz w:val="24"/>
          <w:lang w:val="en-US"/>
        </w:rPr>
        <w:t>. Sandakan: Forestry Research Centre, Sandakan, Malaysia.</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Margrove, J. A., Burslem, D. F. R. P., Ghazoul, J., Khoo, E., Kettle, C. J., &amp; Maycock, C. R. (2015). Impacts of an extreme precipitation event on dipterocarp mortality and habitat filtering in a Bornean tropical rain forest. </w:t>
      </w:r>
      <w:r w:rsidRPr="00923F1B">
        <w:rPr>
          <w:rFonts w:ascii="Times New Roman" w:hAnsi="Times New Roman" w:cs="Times New Roman"/>
          <w:i/>
          <w:iCs/>
          <w:noProof/>
          <w:sz w:val="24"/>
          <w:lang w:val="en-US"/>
        </w:rPr>
        <w:t>Biotropica</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47</w:t>
      </w:r>
      <w:r w:rsidRPr="00923F1B">
        <w:rPr>
          <w:rFonts w:ascii="Times New Roman" w:hAnsi="Times New Roman" w:cs="Times New Roman"/>
          <w:noProof/>
          <w:sz w:val="24"/>
          <w:lang w:val="en-US"/>
        </w:rPr>
        <w:t>(1), 66–76. https://doi.org/10.1111/btp.12189</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Maycock, C. R., Thewlis, R. N., Ghazoul, J., Nilus, R., &amp; Burslem, D. F. R. P. (2005). Reproduction of dipterocarps during low intensity masting events in a Bornean rain forest. </w:t>
      </w:r>
      <w:r w:rsidRPr="00923F1B">
        <w:rPr>
          <w:rFonts w:ascii="Times New Roman" w:hAnsi="Times New Roman" w:cs="Times New Roman"/>
          <w:i/>
          <w:iCs/>
          <w:noProof/>
          <w:sz w:val="24"/>
          <w:lang w:val="en-US"/>
        </w:rPr>
        <w:t>Journal of Vegetation Science</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16</w:t>
      </w:r>
      <w:r w:rsidRPr="00923F1B">
        <w:rPr>
          <w:rFonts w:ascii="Times New Roman" w:hAnsi="Times New Roman" w:cs="Times New Roman"/>
          <w:noProof/>
          <w:sz w:val="24"/>
          <w:lang w:val="en-US"/>
        </w:rPr>
        <w:t>(6), 635–646. https://doi.org/10.1111/j.1654-1103.2005.tb02406.x</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Moerman, J. W., Cobb, K. M., Adkins, J. F., Sodemann, H., Clark, B., &amp; Tuen, A. A. (2013). Diurnal to interannual rainfall δ18O variations in northern Borneo driven by regional hydrology. </w:t>
      </w:r>
      <w:r w:rsidRPr="00923F1B">
        <w:rPr>
          <w:rFonts w:ascii="Times New Roman" w:hAnsi="Times New Roman" w:cs="Times New Roman"/>
          <w:i/>
          <w:iCs/>
          <w:noProof/>
          <w:sz w:val="24"/>
          <w:lang w:val="en-US"/>
        </w:rPr>
        <w:t>Earth and Planetary Science Letters</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369</w:t>
      </w:r>
      <w:r w:rsidRPr="00923F1B">
        <w:rPr>
          <w:rFonts w:ascii="Times New Roman" w:hAnsi="Times New Roman" w:cs="Times New Roman"/>
          <w:noProof/>
          <w:sz w:val="24"/>
          <w:lang w:val="en-US"/>
        </w:rPr>
        <w:t>–</w:t>
      </w:r>
      <w:r w:rsidRPr="00923F1B">
        <w:rPr>
          <w:rFonts w:ascii="Times New Roman" w:hAnsi="Times New Roman" w:cs="Times New Roman"/>
          <w:i/>
          <w:iCs/>
          <w:noProof/>
          <w:sz w:val="24"/>
          <w:lang w:val="en-US"/>
        </w:rPr>
        <w:t>370</w:t>
      </w:r>
      <w:r w:rsidRPr="00923F1B">
        <w:rPr>
          <w:rFonts w:ascii="Times New Roman" w:hAnsi="Times New Roman" w:cs="Times New Roman"/>
          <w:noProof/>
          <w:sz w:val="24"/>
          <w:lang w:val="en-US"/>
        </w:rPr>
        <w:t>, 108–119. https://doi.org/10.1016/j.epsl.2013.03.014</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O’Brien, M. J., Philipson, C. D., Tay, J., &amp; Hector, A. (2013). The influence of variable rainfall frequency on germination and early growth of shade-tolerant dipterocarp seedlings in Borneo. </w:t>
      </w:r>
      <w:r w:rsidRPr="00923F1B">
        <w:rPr>
          <w:rFonts w:ascii="Times New Roman" w:hAnsi="Times New Roman" w:cs="Times New Roman"/>
          <w:i/>
          <w:iCs/>
          <w:noProof/>
          <w:sz w:val="24"/>
          <w:lang w:val="en-US"/>
        </w:rPr>
        <w:t>PLoS ONE</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8</w:t>
      </w:r>
      <w:r w:rsidRPr="00923F1B">
        <w:rPr>
          <w:rFonts w:ascii="Times New Roman" w:hAnsi="Times New Roman" w:cs="Times New Roman"/>
          <w:noProof/>
          <w:sz w:val="24"/>
          <w:lang w:val="en-US"/>
        </w:rPr>
        <w:t>(7), 1–9. https://doi.org/10.1371/journal.pone.0070287</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Oksanen, J., Guillaume Blanchet, F., Friendly, M., Kindt, R., Legendre, P., McGlinn, D., … Wagner, H. (2016). Community ecology package: ordination, diversity and </w:t>
      </w:r>
      <w:r w:rsidRPr="00923F1B">
        <w:rPr>
          <w:rFonts w:ascii="Times New Roman" w:hAnsi="Times New Roman" w:cs="Times New Roman"/>
          <w:noProof/>
          <w:sz w:val="24"/>
          <w:lang w:val="en-US"/>
        </w:rPr>
        <w:lastRenderedPageBreak/>
        <w:t xml:space="preserve">dissimilarities. </w:t>
      </w:r>
      <w:r w:rsidRPr="00923F1B">
        <w:rPr>
          <w:rFonts w:ascii="Times New Roman" w:hAnsi="Times New Roman" w:cs="Times New Roman"/>
          <w:i/>
          <w:iCs/>
          <w:noProof/>
          <w:sz w:val="24"/>
          <w:lang w:val="en-US"/>
        </w:rPr>
        <w:t>CRAN Repository</w:t>
      </w:r>
      <w:r w:rsidRPr="00923F1B">
        <w:rPr>
          <w:rFonts w:ascii="Times New Roman" w:hAnsi="Times New Roman" w:cs="Times New Roman"/>
          <w:noProof/>
          <w:sz w:val="24"/>
          <w:lang w:val="en-US"/>
        </w:rPr>
        <w:t>, 1–292.</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Philipson, C. D., Dent, D. H., O’Brien, M. J., Chamagne, J., Dzulkifli, D., Nilus, R., … Hector, A. (2014). A trait-based trade-off between growth and mortality: evidence from 15 tropical tree species using size-specific relative growth rates. </w:t>
      </w:r>
      <w:r w:rsidRPr="00923F1B">
        <w:rPr>
          <w:rFonts w:ascii="Times New Roman" w:hAnsi="Times New Roman" w:cs="Times New Roman"/>
          <w:i/>
          <w:iCs/>
          <w:noProof/>
          <w:sz w:val="24"/>
          <w:lang w:val="en-US"/>
        </w:rPr>
        <w:t>Ecology and Evolution</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4</w:t>
      </w:r>
      <w:r w:rsidRPr="00923F1B">
        <w:rPr>
          <w:rFonts w:ascii="Times New Roman" w:hAnsi="Times New Roman" w:cs="Times New Roman"/>
          <w:noProof/>
          <w:sz w:val="24"/>
          <w:lang w:val="en-US"/>
        </w:rPr>
        <w:t>(18), 3675–3688. https://doi.org/10.1002/ece3.1186</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R Core Team. (2016). </w:t>
      </w:r>
      <w:r w:rsidRPr="00923F1B">
        <w:rPr>
          <w:rFonts w:ascii="Times New Roman" w:hAnsi="Times New Roman" w:cs="Times New Roman"/>
          <w:i/>
          <w:iCs/>
          <w:noProof/>
          <w:sz w:val="24"/>
          <w:lang w:val="en-US"/>
        </w:rPr>
        <w:t>R: A Language and Environment for Statistical Computing</w:t>
      </w:r>
      <w:r w:rsidRPr="00923F1B">
        <w:rPr>
          <w:rFonts w:ascii="Times New Roman" w:hAnsi="Times New Roman" w:cs="Times New Roman"/>
          <w:noProof/>
          <w:sz w:val="24"/>
          <w:lang w:val="en-US"/>
        </w:rPr>
        <w:t>. Vienna, Austria: R Foundation for Statistical Computing.</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Rue, H., Martino, S., &amp; Chopin, N. (2009). Approximate Bayesian inference for latent Gaussian models by using integrated nested Laplace approximations. </w:t>
      </w:r>
      <w:r w:rsidRPr="00923F1B">
        <w:rPr>
          <w:rFonts w:ascii="Times New Roman" w:hAnsi="Times New Roman" w:cs="Times New Roman"/>
          <w:i/>
          <w:iCs/>
          <w:noProof/>
          <w:sz w:val="24"/>
          <w:lang w:val="en-US"/>
        </w:rPr>
        <w:t>Journal of the Royal Statistical Society. Series B: Statistical Methodology</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71</w:t>
      </w:r>
      <w:r w:rsidRPr="00923F1B">
        <w:rPr>
          <w:rFonts w:ascii="Times New Roman" w:hAnsi="Times New Roman" w:cs="Times New Roman"/>
          <w:noProof/>
          <w:sz w:val="24"/>
          <w:lang w:val="en-US"/>
        </w:rPr>
        <w:t>(2), 319–392. https://doi.org/10.1111/j.1467-9868.2008.00700.x</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Schechtman, E. (2002). Odds ratio, relative risk, absolute risk reduction, and the number needed to treat - Which of these should we use? </w:t>
      </w:r>
      <w:r w:rsidRPr="00923F1B">
        <w:rPr>
          <w:rFonts w:ascii="Times New Roman" w:hAnsi="Times New Roman" w:cs="Times New Roman"/>
          <w:i/>
          <w:iCs/>
          <w:noProof/>
          <w:sz w:val="24"/>
          <w:lang w:val="en-US"/>
        </w:rPr>
        <w:t>Value in Health</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5</w:t>
      </w:r>
      <w:r w:rsidRPr="00923F1B">
        <w:rPr>
          <w:rFonts w:ascii="Times New Roman" w:hAnsi="Times New Roman" w:cs="Times New Roman"/>
          <w:noProof/>
          <w:sz w:val="24"/>
          <w:lang w:val="en-US"/>
        </w:rPr>
        <w:t>(5), 431–436. https://doi.org/10.1046/j.1524-4733.2002.55150.x</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lang w:val="en-US"/>
        </w:rPr>
      </w:pPr>
      <w:r w:rsidRPr="00923F1B">
        <w:rPr>
          <w:rFonts w:ascii="Times New Roman" w:hAnsi="Times New Roman" w:cs="Times New Roman"/>
          <w:noProof/>
          <w:sz w:val="24"/>
          <w:lang w:val="en-US"/>
        </w:rPr>
        <w:t xml:space="preserve">Slik, J. W. F., Poulsen, A. D., Ashton, P. S., Cannon, C. H., Eichhorn, K. A. O., Kartawinata, K., … Wilkie, P. (2003). A floristic analysis of the lowland dipterocarp forests of Borneo. </w:t>
      </w:r>
      <w:r w:rsidRPr="00923F1B">
        <w:rPr>
          <w:rFonts w:ascii="Times New Roman" w:hAnsi="Times New Roman" w:cs="Times New Roman"/>
          <w:i/>
          <w:iCs/>
          <w:noProof/>
          <w:sz w:val="24"/>
          <w:lang w:val="en-US"/>
        </w:rPr>
        <w:t>Journal of Biogeography</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30</w:t>
      </w:r>
      <w:r w:rsidRPr="00923F1B">
        <w:rPr>
          <w:rFonts w:ascii="Times New Roman" w:hAnsi="Times New Roman" w:cs="Times New Roman"/>
          <w:noProof/>
          <w:sz w:val="24"/>
          <w:lang w:val="en-US"/>
        </w:rPr>
        <w:t>(10), 1517–1531. https://doi.org/10.1046/j.1365-2699.2003.00967.x</w:t>
      </w:r>
    </w:p>
    <w:p w:rsidR="00923F1B" w:rsidRPr="00923F1B" w:rsidRDefault="00923F1B" w:rsidP="00923F1B">
      <w:pPr>
        <w:widowControl w:val="0"/>
        <w:autoSpaceDE w:val="0"/>
        <w:autoSpaceDN w:val="0"/>
        <w:adjustRightInd w:val="0"/>
        <w:spacing w:line="480" w:lineRule="auto"/>
        <w:ind w:left="480" w:hanging="480"/>
        <w:rPr>
          <w:rFonts w:ascii="Times New Roman" w:hAnsi="Times New Roman" w:cs="Times New Roman"/>
          <w:noProof/>
          <w:sz w:val="24"/>
        </w:rPr>
      </w:pPr>
      <w:r w:rsidRPr="00923F1B">
        <w:rPr>
          <w:rFonts w:ascii="Times New Roman" w:hAnsi="Times New Roman" w:cs="Times New Roman"/>
          <w:noProof/>
          <w:sz w:val="24"/>
          <w:lang w:val="en-US"/>
        </w:rPr>
        <w:t xml:space="preserve">Sukri, R. S., Wahab, R. A., Salim, K. A., &amp; Burslem, D. F. R. P. (2012). Habitat associations and community structure of dipterocarps in response to environment and soil conditions in Brunei Darussalam, Northwest Borneo. </w:t>
      </w:r>
      <w:r w:rsidRPr="00923F1B">
        <w:rPr>
          <w:rFonts w:ascii="Times New Roman" w:hAnsi="Times New Roman" w:cs="Times New Roman"/>
          <w:i/>
          <w:iCs/>
          <w:noProof/>
          <w:sz w:val="24"/>
          <w:lang w:val="en-US"/>
        </w:rPr>
        <w:t>Biotropica</w:t>
      </w:r>
      <w:r w:rsidRPr="00923F1B">
        <w:rPr>
          <w:rFonts w:ascii="Times New Roman" w:hAnsi="Times New Roman" w:cs="Times New Roman"/>
          <w:noProof/>
          <w:sz w:val="24"/>
          <w:lang w:val="en-US"/>
        </w:rPr>
        <w:t xml:space="preserve">, </w:t>
      </w:r>
      <w:r w:rsidRPr="00923F1B">
        <w:rPr>
          <w:rFonts w:ascii="Times New Roman" w:hAnsi="Times New Roman" w:cs="Times New Roman"/>
          <w:i/>
          <w:iCs/>
          <w:noProof/>
          <w:sz w:val="24"/>
          <w:lang w:val="en-US"/>
        </w:rPr>
        <w:t>44</w:t>
      </w:r>
      <w:r w:rsidRPr="00923F1B">
        <w:rPr>
          <w:rFonts w:ascii="Times New Roman" w:hAnsi="Times New Roman" w:cs="Times New Roman"/>
          <w:noProof/>
          <w:sz w:val="24"/>
          <w:lang w:val="en-US"/>
        </w:rPr>
        <w:t>(5), 595–605. https://doi.org/10.1111/j.1744-7429.2011.00837.x</w:t>
      </w:r>
    </w:p>
    <w:p w:rsidR="00975849" w:rsidRPr="00EC1733" w:rsidRDefault="00923F1B" w:rsidP="00975849">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end"/>
      </w:r>
      <w:bookmarkStart w:id="0" w:name="_GoBack"/>
      <w:bookmarkEnd w:id="0"/>
      <w:r w:rsidR="00975849" w:rsidRPr="00EC1733">
        <w:rPr>
          <w:rFonts w:ascii="Times New Roman" w:hAnsi="Times New Roman" w:cs="Times New Roman"/>
          <w:sz w:val="24"/>
          <w:szCs w:val="24"/>
        </w:rPr>
        <w:t xml:space="preserve">how the community similarity changes with elevation (Fig. 1c). Non-metric multi-dimensional scaling collapses information from multiple dimensions into few dimensions similar to </w:t>
      </w:r>
      <w:r w:rsidR="00975849">
        <w:rPr>
          <w:rFonts w:ascii="Times New Roman" w:hAnsi="Times New Roman" w:cs="Times New Roman"/>
          <w:sz w:val="24"/>
          <w:szCs w:val="24"/>
        </w:rPr>
        <w:t xml:space="preserve">a </w:t>
      </w:r>
      <w:r w:rsidR="00975849" w:rsidRPr="00EC1733">
        <w:rPr>
          <w:rFonts w:ascii="Times New Roman" w:hAnsi="Times New Roman" w:cs="Times New Roman"/>
          <w:sz w:val="24"/>
          <w:szCs w:val="24"/>
        </w:rPr>
        <w:lastRenderedPageBreak/>
        <w:t>Principal Component Analysis, however, uses rank order rather than Euclidian distances. Although this method does not account for spatial autocorrelation, it does provide some inference as to how communities partition along the elevation gradients.</w:t>
      </w:r>
    </w:p>
    <w:p w:rsidR="00975849" w:rsidRPr="00EC1733" w:rsidRDefault="00975849" w:rsidP="00975849">
      <w:pPr>
        <w:pStyle w:val="NoSpacing"/>
        <w:spacing w:line="480" w:lineRule="auto"/>
        <w:ind w:firstLine="708"/>
        <w:jc w:val="both"/>
        <w:rPr>
          <w:rFonts w:ascii="Times New Roman" w:hAnsi="Times New Roman" w:cs="Times New Roman"/>
          <w:sz w:val="24"/>
          <w:szCs w:val="24"/>
          <w:lang w:val="en-GB"/>
        </w:rPr>
      </w:pPr>
      <w:r w:rsidRPr="00EC1733">
        <w:rPr>
          <w:rFonts w:ascii="Times New Roman" w:hAnsi="Times New Roman" w:cs="Times New Roman"/>
          <w:sz w:val="24"/>
          <w:szCs w:val="24"/>
          <w:lang w:val="en-GB"/>
        </w:rPr>
        <w:t>All linear and ANOVA model residuals had an expectation of zero, equality of variance, independence and followed a Gaussian distribut</w:t>
      </w:r>
      <w:r>
        <w:rPr>
          <w:rFonts w:ascii="Times New Roman" w:hAnsi="Times New Roman" w:cs="Times New Roman"/>
          <w:sz w:val="24"/>
          <w:szCs w:val="24"/>
          <w:lang w:val="en-GB"/>
        </w:rPr>
        <w:t>ion</w:t>
      </w:r>
      <w:r w:rsidRPr="00EC1733">
        <w:rPr>
          <w:rFonts w:ascii="Times New Roman" w:hAnsi="Times New Roman" w:cs="Times New Roman"/>
          <w:sz w:val="24"/>
          <w:szCs w:val="24"/>
          <w:lang w:val="en-GB"/>
        </w:rPr>
        <w:t xml:space="preserve"> – unless specified prior. We conducted all analyses in R v3.3.1</w:t>
      </w:r>
      <w:r w:rsidRPr="00EC1733">
        <w:rPr>
          <w:rFonts w:ascii="Times New Roman" w:hAnsi="Times New Roman" w:cs="Times New Roman"/>
          <w:sz w:val="24"/>
          <w:szCs w:val="24"/>
          <w:lang w:val="en-GB"/>
        </w:rPr>
        <w:fldChar w:fldCharType="begin" w:fldLock="1"/>
      </w:r>
      <w:r w:rsidRPr="00EC1733">
        <w:rPr>
          <w:rFonts w:ascii="Times New Roman" w:hAnsi="Times New Roman" w:cs="Times New Roman"/>
          <w:sz w:val="24"/>
          <w:szCs w:val="24"/>
          <w:lang w:val="en-GB"/>
        </w:rPr>
        <w:instrText>ADDIN CSL_CITATION {"citationItems":[{"id":"ITEM-1","itemData":{"author":[{"dropping-particle":"","family":"R Core Team","given":"","non-dropping-particle":"","parse-names":false,"suffix":""}],"id":"ITEM-1","issued":{"date-parts":[["2016"]]},"number":"3.3.1","publisher":"R Foundation for Statistical Computing","publisher-place":"Vienna, Austria","title":"R: A Language and Environment for Statistical Computing","type":"book"},"uris":["http://www.mendeley.com/documents/?uuid=7636eee2-c423-4746-a804-ca53b877664c"]}],"mendeley":{"formattedCitation":"(R Core Team, 2016)","plainTextFormattedCitation":"(R Core Team, 2016)","previouslyFormattedCitation":"(R Core Team, 2016)"},"properties":{"noteIndex":0},"schema":"https://github.com/citation-style-language/schema/raw/master/csl-citation.json"}</w:instrText>
      </w:r>
      <w:r w:rsidRPr="00EC1733">
        <w:rPr>
          <w:rFonts w:ascii="Times New Roman" w:hAnsi="Times New Roman" w:cs="Times New Roman"/>
          <w:sz w:val="24"/>
          <w:szCs w:val="24"/>
          <w:lang w:val="en-GB"/>
        </w:rPr>
        <w:fldChar w:fldCharType="separate"/>
      </w:r>
      <w:r w:rsidRPr="00EC1733">
        <w:rPr>
          <w:rFonts w:ascii="Times New Roman" w:hAnsi="Times New Roman" w:cs="Times New Roman"/>
          <w:noProof/>
          <w:sz w:val="24"/>
          <w:szCs w:val="24"/>
          <w:lang w:val="en-GB"/>
        </w:rPr>
        <w:t>(R Core Team, 2016)</w:t>
      </w:r>
      <w:r w:rsidRPr="00EC1733">
        <w:rPr>
          <w:rFonts w:ascii="Times New Roman" w:hAnsi="Times New Roman" w:cs="Times New Roman"/>
          <w:sz w:val="24"/>
          <w:szCs w:val="24"/>
          <w:lang w:val="en-GB"/>
        </w:rPr>
        <w:fldChar w:fldCharType="end"/>
      </w:r>
      <w:r w:rsidRPr="00EC1733">
        <w:rPr>
          <w:rFonts w:ascii="Times New Roman" w:hAnsi="Times New Roman" w:cs="Times New Roman"/>
          <w:sz w:val="24"/>
          <w:szCs w:val="24"/>
          <w:lang w:val="en-GB"/>
        </w:rPr>
        <w:t>. To examine our analysis, pull from GitHub repository</w:t>
      </w:r>
      <w:r w:rsidRPr="00EC1733">
        <w:rPr>
          <w:rStyle w:val="Hyperlink"/>
          <w:rFonts w:ascii="Times New Roman" w:hAnsi="Times New Roman" w:cs="Times New Roman"/>
          <w:sz w:val="24"/>
          <w:szCs w:val="24"/>
          <w:lang w:val="en-GB"/>
        </w:rPr>
        <w:t>:</w:t>
      </w:r>
      <w:r w:rsidRPr="00EC1733">
        <w:rPr>
          <w:rFonts w:ascii="Times New Roman" w:hAnsi="Times New Roman" w:cs="Times New Roman"/>
          <w:sz w:val="24"/>
          <w:szCs w:val="24"/>
          <w:lang w:val="en-GB"/>
        </w:rPr>
        <w:t xml:space="preserve"> </w:t>
      </w:r>
      <w:r w:rsidRPr="00EC1733">
        <w:rPr>
          <w:rStyle w:val="Hyperlink"/>
          <w:rFonts w:ascii="Times New Roman" w:hAnsi="Times New Roman" w:cs="Times New Roman"/>
          <w:sz w:val="24"/>
          <w:szCs w:val="24"/>
          <w:lang w:val="en-GB"/>
        </w:rPr>
        <w:t>https://github.com/t03jam8/ForestFloodingSensitivityAnalysis</w:t>
      </w:r>
      <w:r w:rsidRPr="00EC1733">
        <w:rPr>
          <w:rFonts w:ascii="Times New Roman" w:hAnsi="Times New Roman" w:cs="Times New Roman"/>
          <w:sz w:val="24"/>
          <w:szCs w:val="24"/>
          <w:lang w:val="en-GB"/>
        </w:rPr>
        <w:t>.</w:t>
      </w:r>
    </w:p>
    <w:p w:rsidR="00A20BFF" w:rsidRDefault="00A20BFF"/>
    <w:sectPr w:rsidR="00A20BFF" w:rsidSect="0062229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849"/>
    <w:rsid w:val="0062229F"/>
    <w:rsid w:val="00923F1B"/>
    <w:rsid w:val="00975849"/>
    <w:rsid w:val="00A20B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C103C1-216B-8F43-8759-E4ED836B1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5849"/>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5849"/>
    <w:rPr>
      <w:color w:val="0563C1" w:themeColor="hyperlink"/>
      <w:u w:val="single"/>
    </w:rPr>
  </w:style>
  <w:style w:type="paragraph" w:styleId="NoSpacing">
    <w:name w:val="No Spacing"/>
    <w:uiPriority w:val="1"/>
    <w:qFormat/>
    <w:rsid w:val="00975849"/>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29B15-BE60-0A47-BE3C-88D3F995E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15846</Words>
  <Characters>90325</Characters>
  <Application>Microsoft Office Word</Application>
  <DocSecurity>0</DocSecurity>
  <Lines>752</Lines>
  <Paragraphs>211</Paragraphs>
  <ScaleCrop>false</ScaleCrop>
  <Company/>
  <LinksUpToDate>false</LinksUpToDate>
  <CharactersWithSpaces>105960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margrove</dc:creator>
  <cp:keywords/>
  <dc:description/>
  <cp:lastModifiedBy>james margrove</cp:lastModifiedBy>
  <cp:revision>2</cp:revision>
  <dcterms:created xsi:type="dcterms:W3CDTF">2019-01-28T14:43:00Z</dcterms:created>
  <dcterms:modified xsi:type="dcterms:W3CDTF">2019-01-28T14:44:00Z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http://www.zotero.org/styles/new-phytologist</vt:lpwstr>
  </property>
  <property fmtid="{D5CDD505-2E9C-101B-9397-08002B2CF9AE}" pid="21" name="Mendeley Recent Style Name 9_1">
    <vt:lpwstr>New Phytologist</vt:lpwstr>
  </property>
  <property fmtid="{D5CDD505-2E9C-101B-9397-08002B2CF9AE}" pid="22" name="Mendeley Document_1">
    <vt:lpwstr>True</vt:lpwstr>
  </property>
  <property fmtid="{D5CDD505-2E9C-101B-9397-08002B2CF9AE}" pid="23" name="Mendeley Unique User Id_1">
    <vt:lpwstr>7ab94c22-cfa6-3ced-a2b7-0970fc039529</vt:lpwstr>
  </property>
  <property fmtid="{D5CDD505-2E9C-101B-9397-08002B2CF9AE}" pid="24" name="Mendeley Citation Style_1">
    <vt:lpwstr>http://www.zotero.org/styles/apa</vt:lpwstr>
  </property>
</Properties>
</file>