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8E3F6" w14:textId="77777777" w:rsidR="005F56B2" w:rsidRPr="004E02DE" w:rsidRDefault="005F56B2" w:rsidP="005F56B2">
      <w:pPr>
        <w:pStyle w:val="Body"/>
        <w:spacing w:line="480" w:lineRule="auto"/>
        <w:ind w:firstLine="708"/>
        <w:jc w:val="both"/>
        <w:rPr>
          <w:sz w:val="24"/>
          <w:szCs w:val="24"/>
          <w:lang w:val="en-GB"/>
        </w:rPr>
      </w:pPr>
      <w:r w:rsidRPr="004E02DE">
        <w:rPr>
          <w:sz w:val="24"/>
          <w:szCs w:val="24"/>
          <w:lang w:val="en-GB"/>
        </w:rPr>
        <w:t xml:space="preserve">The sixteen species’ elevational distribution were modelled with a unique intercept for each species and quadratic relationship with the environmental gradient. The peak of the probability distribution varied among species (Fig. 2a), with different species occurring at different elevations. Species formed a continuum of elevation associations (Fig. 2a), from </w:t>
      </w:r>
      <w:r w:rsidRPr="004E02DE">
        <w:rPr>
          <w:i/>
          <w:iCs/>
          <w:sz w:val="24"/>
          <w:szCs w:val="24"/>
          <w:lang w:val="en-GB"/>
        </w:rPr>
        <w:t>Shorea beccariana</w:t>
      </w:r>
      <w:r w:rsidRPr="004E02DE">
        <w:rPr>
          <w:sz w:val="24"/>
          <w:szCs w:val="24"/>
          <w:lang w:val="en-GB"/>
        </w:rPr>
        <w:t xml:space="preserve">, with a probability of occurrence peaking at an elevation of 114.6 m </w:t>
      </w:r>
      <w:proofErr w:type="spellStart"/>
      <w:r w:rsidRPr="004E02DE">
        <w:rPr>
          <w:sz w:val="24"/>
          <w:szCs w:val="24"/>
          <w:lang w:val="en-GB"/>
        </w:rPr>
        <w:t>asl</w:t>
      </w:r>
      <w:proofErr w:type="spellEnd"/>
      <w:r w:rsidRPr="004E02DE">
        <w:rPr>
          <w:sz w:val="24"/>
          <w:szCs w:val="24"/>
          <w:lang w:val="en-GB"/>
        </w:rPr>
        <w:t xml:space="preserve"> (95% Credible Interval </w:t>
      </w:r>
      <w:proofErr w:type="spellStart"/>
      <w:r w:rsidRPr="004E02DE">
        <w:rPr>
          <w:sz w:val="24"/>
          <w:szCs w:val="24"/>
          <w:lang w:val="en-GB"/>
        </w:rPr>
        <w:t>Crl</w:t>
      </w:r>
      <w:proofErr w:type="spellEnd"/>
      <w:r w:rsidRPr="004E02DE">
        <w:rPr>
          <w:sz w:val="24"/>
          <w:szCs w:val="24"/>
          <w:lang w:val="en-GB"/>
        </w:rPr>
        <w:t xml:space="preserve"> = 111.3 – 120.3, Table S2), to </w:t>
      </w:r>
      <w:r w:rsidRPr="004E02DE">
        <w:rPr>
          <w:i/>
          <w:iCs/>
          <w:sz w:val="24"/>
          <w:szCs w:val="24"/>
          <w:lang w:val="en-GB"/>
        </w:rPr>
        <w:t xml:space="preserve">S. seminis, </w:t>
      </w:r>
      <w:r w:rsidRPr="004E02DE">
        <w:rPr>
          <w:sz w:val="24"/>
          <w:szCs w:val="24"/>
          <w:lang w:val="en-GB"/>
        </w:rPr>
        <w:t xml:space="preserve">which peaked at 48.5 m (95% </w:t>
      </w:r>
      <w:proofErr w:type="spellStart"/>
      <w:r w:rsidRPr="004E02DE">
        <w:rPr>
          <w:sz w:val="24"/>
          <w:szCs w:val="24"/>
          <w:lang w:val="en-GB"/>
        </w:rPr>
        <w:t>Crl</w:t>
      </w:r>
      <w:proofErr w:type="spellEnd"/>
      <w:r w:rsidRPr="004E02DE">
        <w:rPr>
          <w:sz w:val="24"/>
          <w:szCs w:val="24"/>
          <w:lang w:val="en-GB"/>
        </w:rPr>
        <w:t xml:space="preserve"> = 55.8 – 65.4, Table S2).</w:t>
      </w:r>
    </w:p>
    <w:p w14:paraId="676E20DE" w14:textId="77777777" w:rsidR="005F56B2" w:rsidRPr="004E02DE" w:rsidRDefault="005F56B2" w:rsidP="005F56B2">
      <w:pPr>
        <w:pBdr>
          <w:top w:val="none" w:sz="0" w:space="0" w:color="auto"/>
          <w:left w:val="none" w:sz="0" w:space="0" w:color="auto"/>
          <w:bottom w:val="none" w:sz="0" w:space="0" w:color="auto"/>
          <w:right w:val="none" w:sz="0" w:space="0" w:color="auto"/>
          <w:between w:val="none" w:sz="0" w:space="0" w:color="auto"/>
          <w:bar w:val="none" w:sz="0" w:color="auto"/>
        </w:pBdr>
        <w:spacing w:after="200" w:line="480" w:lineRule="auto"/>
        <w:ind w:firstLine="708"/>
        <w:jc w:val="both"/>
        <w:rPr>
          <w:rFonts w:ascii="Calibri" w:eastAsia="Times New Roman" w:hAnsi="Calibri" w:cs="Calibri"/>
          <w:bdr w:val="none" w:sz="0" w:space="0" w:color="auto"/>
          <w:lang w:val="en-GB"/>
        </w:rPr>
      </w:pPr>
      <w:r w:rsidRPr="004E02DE">
        <w:rPr>
          <w:rFonts w:ascii="Calibri" w:eastAsia="Times New Roman" w:hAnsi="Calibri" w:cs="Calibri"/>
          <w:color w:val="000000"/>
          <w:bdr w:val="none" w:sz="0" w:space="0" w:color="auto"/>
          <w:lang w:val="en-GB"/>
        </w:rPr>
        <w:t>For 42 tree species we found that the adult tree wood density is non-random (Fig 2b). Overall mean species’ wood density values in ¼ ha areas increase with elevation gradients (GLS, β = 107.69, 95% CI = 92.20 – 130.49, Fig 2b). This confirms the traditional view that higher elevations have typically have higher wood density. However, the reality is more complex. We found a quantile regression reveals a triangular relationship between wood density and elevation: at low elevations both high and low wood density species occur (β</w:t>
      </w:r>
      <w:r w:rsidRPr="004E02DE">
        <w:rPr>
          <w:rFonts w:ascii="Calibri" w:eastAsia="Times New Roman" w:hAnsi="Calibri" w:cs="Calibri"/>
          <w:color w:val="000000"/>
          <w:bdr w:val="none" w:sz="0" w:space="0" w:color="auto"/>
          <w:vertAlign w:val="subscript"/>
          <w:lang w:val="en-GB"/>
        </w:rPr>
        <w:t xml:space="preserve">Q=0.025 </w:t>
      </w:r>
      <w:r w:rsidRPr="004E02DE">
        <w:rPr>
          <w:rFonts w:ascii="Calibri" w:eastAsia="Times New Roman" w:hAnsi="Calibri" w:cs="Calibri"/>
          <w:color w:val="000000"/>
          <w:bdr w:val="none" w:sz="0" w:space="0" w:color="auto"/>
          <w:lang w:val="en-GB"/>
        </w:rPr>
        <w:t>= 4.57, 95% CI = -1.697 – 16.17, Fig. 2c); at higher elevation higher wood densities are more dominant (β</w:t>
      </w:r>
      <w:r w:rsidRPr="004E02DE">
        <w:rPr>
          <w:rFonts w:ascii="Calibri" w:eastAsia="Times New Roman" w:hAnsi="Calibri" w:cs="Calibri"/>
          <w:color w:val="000000"/>
          <w:bdr w:val="none" w:sz="0" w:space="0" w:color="auto"/>
          <w:vertAlign w:val="subscript"/>
          <w:lang w:val="en-GB"/>
        </w:rPr>
        <w:t xml:space="preserve">Q=0.975 </w:t>
      </w:r>
      <w:r w:rsidRPr="004E02DE">
        <w:rPr>
          <w:rFonts w:ascii="Calibri" w:eastAsia="Times New Roman" w:hAnsi="Calibri" w:cs="Calibri"/>
          <w:color w:val="000000"/>
          <w:bdr w:val="none" w:sz="0" w:space="0" w:color="auto"/>
          <w:lang w:val="en-GB"/>
        </w:rPr>
        <w:t>= 159.81, 95% CI = 88.60 – 247.48, Fig. 2c). We therefore suggest that adult wood density variables</w:t>
      </w:r>
      <w:r>
        <w:rPr>
          <w:rFonts w:ascii="Calibri" w:eastAsia="Times New Roman" w:hAnsi="Calibri" w:cs="Calibri"/>
          <w:color w:val="000000"/>
          <w:bdr w:val="none" w:sz="0" w:space="0" w:color="auto"/>
          <w:lang w:val="en-GB"/>
        </w:rPr>
        <w:t xml:space="preserve"> may</w:t>
      </w:r>
      <w:r w:rsidRPr="004E02DE">
        <w:rPr>
          <w:rFonts w:ascii="Calibri" w:eastAsia="Times New Roman" w:hAnsi="Calibri" w:cs="Calibri"/>
          <w:color w:val="000000"/>
          <w:bdr w:val="none" w:sz="0" w:space="0" w:color="auto"/>
          <w:lang w:val="en-GB"/>
        </w:rPr>
        <w:t xml:space="preserve"> have a role</w:t>
      </w:r>
      <w:r>
        <w:rPr>
          <w:rFonts w:ascii="Calibri" w:eastAsia="Times New Roman" w:hAnsi="Calibri" w:cs="Calibri"/>
          <w:color w:val="000000"/>
          <w:bdr w:val="none" w:sz="0" w:space="0" w:color="auto"/>
          <w:lang w:val="en-GB"/>
        </w:rPr>
        <w:t xml:space="preserve"> in predicting</w:t>
      </w:r>
      <w:r w:rsidRPr="004E02DE">
        <w:rPr>
          <w:rFonts w:ascii="Calibri" w:eastAsia="Times New Roman" w:hAnsi="Calibri" w:cs="Calibri"/>
          <w:color w:val="000000"/>
          <w:bdr w:val="none" w:sz="0" w:space="0" w:color="auto"/>
          <w:lang w:val="en-GB"/>
        </w:rPr>
        <w:t xml:space="preserve"> species distributions.</w:t>
      </w:r>
    </w:p>
    <w:p w14:paraId="06EFCFF3" w14:textId="77777777" w:rsidR="005F56B2" w:rsidRPr="004E02DE" w:rsidRDefault="005F56B2" w:rsidP="005F56B2">
      <w:pPr>
        <w:pBdr>
          <w:top w:val="none" w:sz="0" w:space="0" w:color="auto"/>
          <w:left w:val="none" w:sz="0" w:space="0" w:color="auto"/>
          <w:bottom w:val="none" w:sz="0" w:space="0" w:color="auto"/>
          <w:right w:val="none" w:sz="0" w:space="0" w:color="auto"/>
          <w:between w:val="none" w:sz="0" w:space="0" w:color="auto"/>
          <w:bar w:val="none" w:sz="0" w:color="auto"/>
        </w:pBdr>
        <w:spacing w:after="200" w:line="480" w:lineRule="auto"/>
        <w:ind w:firstLine="708"/>
        <w:jc w:val="both"/>
        <w:rPr>
          <w:rFonts w:ascii="Calibri" w:hAnsi="Calibri" w:cs="Calibri"/>
          <w:lang w:val="en-GB"/>
        </w:rPr>
      </w:pPr>
      <w:r w:rsidRPr="004E02DE">
        <w:rPr>
          <w:rFonts w:ascii="Calibri" w:hAnsi="Calibri" w:cs="Calibri"/>
          <w:lang w:val="en-GB"/>
        </w:rPr>
        <w:t>Species varied in their tolerances to water inundation. A model comparison between having the species interaction with water inundation and one without showed the model containing the interaction to explain significantly more variation (χ</w:t>
      </w:r>
      <w:r w:rsidRPr="004E02DE">
        <w:rPr>
          <w:rFonts w:ascii="Calibri" w:hAnsi="Calibri" w:cs="Calibri"/>
          <w:vertAlign w:val="superscript"/>
          <w:lang w:val="en-GB"/>
        </w:rPr>
        <w:t xml:space="preserve">2 </w:t>
      </w:r>
      <w:r w:rsidRPr="004E02DE">
        <w:rPr>
          <w:rFonts w:ascii="Calibri" w:hAnsi="Calibri" w:cs="Calibri"/>
          <w:lang w:val="en-GB"/>
        </w:rPr>
        <w:t xml:space="preserve">= 34.96, </w:t>
      </w:r>
      <w:proofErr w:type="spellStart"/>
      <w:r w:rsidRPr="004E02DE">
        <w:rPr>
          <w:rFonts w:ascii="Calibri" w:hAnsi="Calibri" w:cs="Calibri"/>
          <w:lang w:val="en-GB"/>
        </w:rPr>
        <w:t>df</w:t>
      </w:r>
      <w:proofErr w:type="spellEnd"/>
      <w:r w:rsidRPr="004E02DE">
        <w:rPr>
          <w:rFonts w:ascii="Calibri" w:hAnsi="Calibri" w:cs="Calibri"/>
          <w:lang w:val="en-GB"/>
        </w:rPr>
        <w:t xml:space="preserve"> = 15, </w:t>
      </w:r>
      <w:r w:rsidRPr="004E02DE">
        <w:rPr>
          <w:rFonts w:ascii="Calibri" w:hAnsi="Calibri" w:cs="Calibri"/>
          <w:i/>
          <w:iCs/>
          <w:lang w:val="en-GB"/>
        </w:rPr>
        <w:t xml:space="preserve">P </w:t>
      </w:r>
      <w:r w:rsidRPr="004E02DE">
        <w:rPr>
          <w:rFonts w:ascii="Calibri" w:hAnsi="Calibri" w:cs="Calibri"/>
          <w:lang w:val="en-GB"/>
        </w:rPr>
        <w:t xml:space="preserve">= 0.002). At one extreme, seedlings of </w:t>
      </w:r>
      <w:r w:rsidRPr="004E02DE">
        <w:rPr>
          <w:rFonts w:ascii="Calibri" w:eastAsia="Calibri" w:hAnsi="Calibri" w:cs="Calibri"/>
          <w:i/>
          <w:iCs/>
          <w:lang w:val="en-GB"/>
        </w:rPr>
        <w:t>Shorea seminis</w:t>
      </w:r>
      <w:r w:rsidRPr="004E02DE">
        <w:rPr>
          <w:rFonts w:ascii="Calibri" w:hAnsi="Calibri" w:cs="Calibri"/>
          <w:lang w:val="en-GB"/>
        </w:rPr>
        <w:t xml:space="preserve"> showed no difference in the probability of mortality between inundated and non-inundated areas (Fig. 2c). </w:t>
      </w:r>
      <w:r w:rsidRPr="004E02DE">
        <w:rPr>
          <w:rFonts w:ascii="Calibri" w:eastAsia="Calibri" w:hAnsi="Calibri" w:cs="Calibri"/>
          <w:i/>
          <w:iCs/>
          <w:lang w:val="en-GB"/>
        </w:rPr>
        <w:t>Shorea beccariana</w:t>
      </w:r>
      <w:r w:rsidRPr="004E02DE">
        <w:rPr>
          <w:rFonts w:ascii="Calibri" w:hAnsi="Calibri" w:cs="Calibri"/>
          <w:lang w:val="en-GB"/>
        </w:rPr>
        <w:t>, representing the other end of the response gradient,</w:t>
      </w:r>
      <w:r w:rsidRPr="004E02DE">
        <w:rPr>
          <w:rFonts w:ascii="Calibri" w:eastAsia="Calibri" w:hAnsi="Calibri" w:cs="Calibri"/>
          <w:i/>
          <w:iCs/>
          <w:lang w:val="en-GB"/>
        </w:rPr>
        <w:t xml:space="preserve"> </w:t>
      </w:r>
      <w:r w:rsidRPr="004E02DE">
        <w:rPr>
          <w:rFonts w:ascii="Calibri" w:hAnsi="Calibri" w:cs="Calibri"/>
          <w:lang w:val="en-GB"/>
        </w:rPr>
        <w:t xml:space="preserve">had an absolute risk increase in mortality of 40.9% when inundated (Fig. 2c). Seedling mortality was not affected by soil pH, </w:t>
      </w:r>
      <w:r w:rsidRPr="004E02DE">
        <w:rPr>
          <w:rFonts w:ascii="Calibri" w:hAnsi="Calibri" w:cs="Calibri"/>
          <w:lang w:val="en-GB"/>
        </w:rPr>
        <w:lastRenderedPageBreak/>
        <w:t xml:space="preserve">soil texture, light, or flash floods (178 mm of rainfall in 6 hours; </w:t>
      </w:r>
      <w:r w:rsidRPr="004E02DE">
        <w:rPr>
          <w:rFonts w:ascii="Calibri" w:eastAsia="Calibri" w:hAnsi="Calibri" w:cs="Calibri"/>
          <w:i/>
          <w:iCs/>
          <w:lang w:val="en-GB"/>
        </w:rPr>
        <w:t>see Methods</w:t>
      </w:r>
      <w:r w:rsidRPr="004E02DE">
        <w:rPr>
          <w:rFonts w:ascii="Calibri" w:hAnsi="Calibri" w:cs="Calibri"/>
          <w:lang w:val="en-GB"/>
        </w:rPr>
        <w:t>), nor did inclusion of any of these predictors remove the relationship between seedling mortality and inundation. We refer to the difference in seedling mortality (</w:t>
      </w:r>
      <w:proofErr w:type="spellStart"/>
      <w:r w:rsidRPr="004E02DE">
        <w:rPr>
          <w:rFonts w:ascii="Calibri" w:eastAsia="Calibri" w:hAnsi="Calibri" w:cs="Calibri"/>
          <w:i/>
          <w:iCs/>
          <w:lang w:val="en-GB"/>
        </w:rPr>
        <w:t>Δp</w:t>
      </w:r>
      <w:proofErr w:type="spellEnd"/>
      <w:r w:rsidRPr="004E02DE">
        <w:rPr>
          <w:rFonts w:ascii="Calibri" w:eastAsia="Calibri" w:hAnsi="Calibri" w:cs="Calibri"/>
          <w:i/>
          <w:iCs/>
          <w:lang w:val="en-GB"/>
        </w:rPr>
        <w:t>(mortality)</w:t>
      </w:r>
      <w:r w:rsidRPr="004E02DE">
        <w:rPr>
          <w:rFonts w:ascii="Calibri" w:hAnsi="Calibri" w:cs="Calibri"/>
          <w:lang w:val="en-GB"/>
        </w:rPr>
        <w:t xml:space="preserve">) with respect to water inundation as “inundation sensitivity”. </w:t>
      </w:r>
    </w:p>
    <w:tbl>
      <w:tblPr>
        <w:tblStyle w:val="TableGrid"/>
        <w:tblW w:w="0" w:type="auto"/>
        <w:tblLook w:val="04A0" w:firstRow="1" w:lastRow="0" w:firstColumn="1" w:lastColumn="0" w:noHBand="0" w:noVBand="1"/>
      </w:tblPr>
      <w:tblGrid>
        <w:gridCol w:w="9010"/>
      </w:tblGrid>
      <w:tr w:rsidR="005F56B2" w:rsidRPr="004E02DE" w14:paraId="360CC68B" w14:textId="77777777" w:rsidTr="009C5E7C">
        <w:tc>
          <w:tcPr>
            <w:tcW w:w="9056" w:type="dxa"/>
          </w:tcPr>
          <w:p w14:paraId="390954F3" w14:textId="77777777" w:rsidR="005F56B2" w:rsidRPr="004E02DE" w:rsidRDefault="005F56B2" w:rsidP="009C5E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sz w:val="24"/>
                <w:szCs w:val="24"/>
                <w:vertAlign w:val="subscript"/>
                <w:lang w:val="en-GB"/>
              </w:rPr>
            </w:pPr>
            <w:r w:rsidRPr="004E02DE">
              <w:rPr>
                <w:noProof/>
                <w:sz w:val="24"/>
                <w:szCs w:val="24"/>
                <w:vertAlign w:val="subscript"/>
                <w:lang w:val="en-GB"/>
              </w:rPr>
              <w:lastRenderedPageBreak/>
              <w:drawing>
                <wp:inline distT="0" distB="0" distL="0" distR="0" wp14:anchorId="41089A17" wp14:editId="020C2D1D">
                  <wp:extent cx="4910666" cy="720729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79809" cy="7308773"/>
                          </a:xfrm>
                          <a:prstGeom prst="rect">
                            <a:avLst/>
                          </a:prstGeom>
                        </pic:spPr>
                      </pic:pic>
                    </a:graphicData>
                  </a:graphic>
                </wp:inline>
              </w:drawing>
            </w:r>
          </w:p>
        </w:tc>
      </w:tr>
      <w:tr w:rsidR="005F56B2" w:rsidRPr="004E02DE" w14:paraId="0E3722BA" w14:textId="77777777" w:rsidTr="009C5E7C">
        <w:tc>
          <w:tcPr>
            <w:tcW w:w="9056" w:type="dxa"/>
          </w:tcPr>
          <w:p w14:paraId="23299B4A" w14:textId="77777777" w:rsidR="005F56B2" w:rsidRPr="004E02DE" w:rsidRDefault="005F56B2" w:rsidP="009C5E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sz w:val="24"/>
                <w:szCs w:val="24"/>
                <w:lang w:val="en-GB"/>
              </w:rPr>
            </w:pPr>
            <w:r w:rsidRPr="004E02DE">
              <w:rPr>
                <w:b/>
                <w:bCs/>
                <w:sz w:val="20"/>
                <w:szCs w:val="24"/>
                <w:lang w:val="en-GB"/>
              </w:rPr>
              <w:t>Figure 2 | Adult elevational distribution at landscape scales of 4 species (a), wood density distribution along elevation gradients (b), quantile regression slop coefficients with bootstrap, and interaction between species and water inundation on the probability of seedling mortality at micro-topographical scales (b). (a)</w:t>
            </w:r>
            <w:r w:rsidRPr="004E02DE">
              <w:rPr>
                <w:sz w:val="20"/>
                <w:szCs w:val="24"/>
                <w:lang w:val="en-GB"/>
              </w:rPr>
              <w:t xml:space="preserve"> The elevation distribution of adult dipterocarps within a 160ha forest plot using the Integrated Nested Laplace </w:t>
            </w:r>
            <w:r w:rsidRPr="004E02DE">
              <w:rPr>
                <w:sz w:val="20"/>
                <w:szCs w:val="24"/>
                <w:lang w:val="en-GB"/>
              </w:rPr>
              <w:lastRenderedPageBreak/>
              <w:t xml:space="preserve">Approximation. The 95% credible intervals (n=5000) were extracted from the posterior distribution. Grey shading of the panel for below (light blue) and above (dark blue) average wood densities. </w:t>
            </w:r>
            <w:r w:rsidRPr="004E02DE">
              <w:rPr>
                <w:b/>
                <w:bCs/>
                <w:sz w:val="20"/>
                <w:szCs w:val="24"/>
                <w:lang w:val="en-GB"/>
              </w:rPr>
              <w:t>(b)</w:t>
            </w:r>
            <w:r w:rsidRPr="004E02DE">
              <w:rPr>
                <w:sz w:val="20"/>
                <w:szCs w:val="24"/>
                <w:lang w:val="en-GB"/>
              </w:rPr>
              <w:t xml:space="preserve"> Species differ in seedling sensitivity to water inundation along micro-topographical gradients within the alluvial zone. Points are ordered by the most likely elevation the adults are found, and grouped by below and above average wood densities for these species. 95% confidence intervals are bootstrapped (n = 5000). </w:t>
            </w:r>
            <w:r w:rsidRPr="004E02DE">
              <w:rPr>
                <w:b/>
                <w:bCs/>
                <w:sz w:val="20"/>
                <w:szCs w:val="24"/>
                <w:lang w:val="en-GB"/>
              </w:rPr>
              <w:t xml:space="preserve">(c) </w:t>
            </w:r>
            <w:r w:rsidRPr="004E02DE">
              <w:rPr>
                <w:sz w:val="20"/>
                <w:szCs w:val="24"/>
                <w:lang w:val="en-GB"/>
              </w:rPr>
              <w:t xml:space="preserve">quantile regression (0.025, 0.1, 0.5, 0.9, 0.975) typical wood density vs. typical elevation (m </w:t>
            </w:r>
            <w:proofErr w:type="spellStart"/>
            <w:r w:rsidRPr="004E02DE">
              <w:rPr>
                <w:sz w:val="20"/>
                <w:szCs w:val="24"/>
                <w:lang w:val="en-GB"/>
              </w:rPr>
              <w:t>asl</w:t>
            </w:r>
            <w:proofErr w:type="spellEnd"/>
            <w:r w:rsidRPr="004E02DE">
              <w:rPr>
                <w:sz w:val="20"/>
                <w:szCs w:val="24"/>
                <w:lang w:val="en-GB"/>
              </w:rPr>
              <w:t>) of ¼ ha plots (n = 675).</w:t>
            </w:r>
          </w:p>
        </w:tc>
      </w:tr>
    </w:tbl>
    <w:p w14:paraId="743BFFED" w14:textId="77777777" w:rsidR="005F56B2" w:rsidRPr="004E02DE" w:rsidRDefault="005F56B2" w:rsidP="005F56B2">
      <w:pPr>
        <w:pStyle w:val="Body"/>
        <w:spacing w:line="480" w:lineRule="auto"/>
        <w:jc w:val="both"/>
        <w:rPr>
          <w:sz w:val="24"/>
          <w:szCs w:val="24"/>
          <w:lang w:val="en-GB"/>
        </w:rPr>
      </w:pPr>
    </w:p>
    <w:p w14:paraId="3CD61671" w14:textId="77777777" w:rsidR="005F56B2" w:rsidRPr="004E02DE" w:rsidRDefault="005F56B2" w:rsidP="005F56B2">
      <w:pPr>
        <w:pStyle w:val="Body"/>
        <w:spacing w:line="480" w:lineRule="auto"/>
        <w:jc w:val="both"/>
        <w:rPr>
          <w:sz w:val="24"/>
          <w:szCs w:val="24"/>
          <w:lang w:val="en-GB"/>
        </w:rPr>
      </w:pPr>
      <w:r w:rsidRPr="004E02DE">
        <w:rPr>
          <w:sz w:val="24"/>
          <w:szCs w:val="24"/>
          <w:lang w:val="en-GB"/>
        </w:rPr>
        <w:t>Investigating the inundation sensitivity of the 9 species that were only affected by inundation we find that there is a tight correlation between sensitivity to flooding and elevational distributions (r</w:t>
      </w:r>
      <w:r w:rsidRPr="004E02DE">
        <w:rPr>
          <w:sz w:val="24"/>
          <w:szCs w:val="24"/>
          <w:vertAlign w:val="superscript"/>
          <w:lang w:val="en-GB"/>
        </w:rPr>
        <w:t>2</w:t>
      </w:r>
      <w:r w:rsidRPr="004E02DE">
        <w:rPr>
          <w:sz w:val="24"/>
          <w:szCs w:val="24"/>
          <w:lang w:val="en-GB"/>
        </w:rPr>
        <w:t xml:space="preserve"> = 0.66, </w:t>
      </w:r>
      <w:r w:rsidRPr="004E02DE">
        <w:rPr>
          <w:bCs/>
          <w:sz w:val="24"/>
          <w:szCs w:val="24"/>
          <w:lang w:val="en-GB"/>
        </w:rPr>
        <w:t>β</w:t>
      </w:r>
      <w:r w:rsidRPr="004E02DE">
        <w:rPr>
          <w:sz w:val="24"/>
          <w:szCs w:val="24"/>
          <w:vertAlign w:val="subscript"/>
          <w:lang w:val="en-GB"/>
        </w:rPr>
        <w:t xml:space="preserve">inundation sensitivity </w:t>
      </w:r>
      <w:r w:rsidRPr="004E02DE">
        <w:rPr>
          <w:sz w:val="24"/>
          <w:szCs w:val="24"/>
          <w:lang w:val="en-GB"/>
        </w:rPr>
        <w:t>= 0.00391, 95% CI = 0.00213 – 0.00806, Fig SX). To understand this further we decided to take into account wood density, as this is non-randomly dispersed around the plot…</w:t>
      </w:r>
    </w:p>
    <w:p w14:paraId="7C27C3E4" w14:textId="77777777" w:rsidR="005F56B2" w:rsidRPr="004E02DE" w:rsidRDefault="005F56B2" w:rsidP="005F56B2">
      <w:pPr>
        <w:pStyle w:val="Body"/>
        <w:spacing w:line="480" w:lineRule="auto"/>
        <w:ind w:firstLine="708"/>
        <w:jc w:val="both"/>
        <w:rPr>
          <w:sz w:val="24"/>
          <w:szCs w:val="24"/>
          <w:lang w:val="en-GB"/>
        </w:rPr>
      </w:pPr>
      <w:r w:rsidRPr="004E02DE">
        <w:rPr>
          <w:sz w:val="24"/>
          <w:szCs w:val="24"/>
          <w:lang w:val="en-GB"/>
        </w:rPr>
        <w:t>Inundation sensitivity explained 37.7% of interspecific variation in species elevation distribution (β</w:t>
      </w:r>
      <w:r w:rsidRPr="004E02DE">
        <w:rPr>
          <w:sz w:val="24"/>
          <w:szCs w:val="24"/>
          <w:vertAlign w:val="subscript"/>
          <w:lang w:val="en-GB"/>
        </w:rPr>
        <w:t>inundation sensitivity</w:t>
      </w:r>
      <w:r w:rsidRPr="004E02DE">
        <w:rPr>
          <w:sz w:val="24"/>
          <w:szCs w:val="24"/>
          <w:lang w:val="en-GB"/>
        </w:rPr>
        <w:t xml:space="preserve"> = 146.31, 95% CI = 63.8 – 209.5, Fig. 3a), indicating that tolerant individuals occur where areas with inundation episodes. Our model also predicts a positive relationship between wood density and elevation (β</w:t>
      </w:r>
      <w:r w:rsidRPr="004E02DE">
        <w:rPr>
          <w:sz w:val="24"/>
          <w:szCs w:val="24"/>
          <w:vertAlign w:val="subscript"/>
          <w:lang w:val="en-GB"/>
        </w:rPr>
        <w:t xml:space="preserve">wood density </w:t>
      </w:r>
      <w:r w:rsidRPr="004E02DE">
        <w:rPr>
          <w:sz w:val="24"/>
          <w:szCs w:val="24"/>
          <w:lang w:val="en-GB"/>
        </w:rPr>
        <w:t>=107.0, 95% CI = 1.06 – 214.8, Fig. 3b). As water inundation is controlled for, this suggests that species with high wood density as adults coexist on the alluvial plain partly because of water inundation episodes. We tested these predicted values were a tight fit to median elevational associations outside the large plot, and found that for every 1 m increase in the predicted elevation the actual elevation was raised 0.86 m (95% CI = 0.27 – 1.45). The median elevation of a species was predicted with an r</w:t>
      </w:r>
      <w:r w:rsidRPr="004E02DE">
        <w:rPr>
          <w:sz w:val="24"/>
          <w:szCs w:val="24"/>
          <w:vertAlign w:val="superscript"/>
          <w:lang w:val="en-GB"/>
        </w:rPr>
        <w:t xml:space="preserve">2 </w:t>
      </w:r>
      <w:r w:rsidRPr="004E02DE">
        <w:rPr>
          <w:sz w:val="24"/>
          <w:szCs w:val="24"/>
          <w:lang w:val="en-GB"/>
        </w:rPr>
        <w:t xml:space="preserve">of 0.51 from the model and accounted for 59.2% of variation in the 297 individuals. </w:t>
      </w:r>
    </w:p>
    <w:tbl>
      <w:tblPr>
        <w:tblStyle w:val="TableGrid"/>
        <w:tblW w:w="0" w:type="auto"/>
        <w:tblLook w:val="04A0" w:firstRow="1" w:lastRow="0" w:firstColumn="1" w:lastColumn="0" w:noHBand="0" w:noVBand="1"/>
      </w:tblPr>
      <w:tblGrid>
        <w:gridCol w:w="9010"/>
      </w:tblGrid>
      <w:tr w:rsidR="005F56B2" w:rsidRPr="004E02DE" w14:paraId="4C017E6A" w14:textId="77777777" w:rsidTr="009C5E7C">
        <w:tc>
          <w:tcPr>
            <w:tcW w:w="9056" w:type="dxa"/>
          </w:tcPr>
          <w:p w14:paraId="1C92EFAD" w14:textId="77777777" w:rsidR="005F56B2" w:rsidRPr="004E02DE" w:rsidRDefault="005F56B2" w:rsidP="009C5E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sz w:val="24"/>
                <w:szCs w:val="24"/>
                <w:lang w:val="en-GB"/>
              </w:rPr>
            </w:pPr>
            <w:r w:rsidRPr="004E02DE">
              <w:rPr>
                <w:noProof/>
                <w:sz w:val="24"/>
                <w:szCs w:val="24"/>
                <w:lang w:val="en-GB"/>
              </w:rPr>
              <w:lastRenderedPageBreak/>
              <w:drawing>
                <wp:inline distT="0" distB="0" distL="0" distR="0" wp14:anchorId="282B7353" wp14:editId="25F3FD11">
                  <wp:extent cx="4877016" cy="26323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7935" cy="2638258"/>
                          </a:xfrm>
                          <a:prstGeom prst="rect">
                            <a:avLst/>
                          </a:prstGeom>
                        </pic:spPr>
                      </pic:pic>
                    </a:graphicData>
                  </a:graphic>
                </wp:inline>
              </w:drawing>
            </w:r>
          </w:p>
        </w:tc>
      </w:tr>
      <w:tr w:rsidR="005F56B2" w:rsidRPr="004E02DE" w14:paraId="7FBE97DB" w14:textId="77777777" w:rsidTr="009C5E7C">
        <w:tc>
          <w:tcPr>
            <w:tcW w:w="9056" w:type="dxa"/>
          </w:tcPr>
          <w:p w14:paraId="705B75AE" w14:textId="77777777" w:rsidR="005F56B2" w:rsidRPr="004E02DE" w:rsidRDefault="005F56B2" w:rsidP="009C5E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sz w:val="24"/>
                <w:szCs w:val="24"/>
                <w:lang w:val="en-GB"/>
              </w:rPr>
            </w:pPr>
            <w:r w:rsidRPr="00341339">
              <w:rPr>
                <w:b/>
                <w:bCs/>
                <w:sz w:val="20"/>
                <w:szCs w:val="24"/>
                <w:lang w:val="en-GB"/>
              </w:rPr>
              <w:t xml:space="preserve">Figure 3 | Estimated adult elevation distribution predicted by inundation sensitivity (a) and wood density (b) against the estimated adult elevation distribution (m). </w:t>
            </w:r>
            <w:r w:rsidRPr="00341339">
              <w:rPr>
                <w:sz w:val="20"/>
                <w:szCs w:val="24"/>
                <w:lang w:val="en-GB"/>
              </w:rPr>
              <w:t>Lines and 95% Confidence intervals were predicted from the model. Sixteen species were included in the analysis. Red dashed lines indicate the univariate analysis. Percentage variance for each variable from an ANOVA test.</w:t>
            </w:r>
          </w:p>
        </w:tc>
      </w:tr>
    </w:tbl>
    <w:p w14:paraId="4DD4B24E" w14:textId="77777777" w:rsidR="005F56B2" w:rsidRDefault="005F56B2" w:rsidP="005F56B2">
      <w:pPr>
        <w:pStyle w:val="Body"/>
        <w:spacing w:line="480" w:lineRule="auto"/>
        <w:ind w:firstLine="720"/>
        <w:jc w:val="both"/>
        <w:rPr>
          <w:sz w:val="24"/>
          <w:szCs w:val="24"/>
          <w:bdr w:val="none" w:sz="0" w:space="0" w:color="auto"/>
        </w:rPr>
      </w:pPr>
      <w:r>
        <w:rPr>
          <w:sz w:val="24"/>
          <w:szCs w:val="24"/>
          <w:lang w:val="en-GB"/>
        </w:rPr>
        <w:t>High wood density may provide an advantage within wetter areas</w:t>
      </w:r>
      <w:r w:rsidRPr="004E02DE">
        <w:rPr>
          <w:sz w:val="24"/>
          <w:szCs w:val="24"/>
          <w:lang w:val="en-GB"/>
        </w:rPr>
        <w:t xml:space="preserve">. We tested this relationship </w:t>
      </w:r>
      <w:r>
        <w:rPr>
          <w:sz w:val="24"/>
          <w:szCs w:val="24"/>
          <w:lang w:val="en-GB"/>
        </w:rPr>
        <w:t xml:space="preserve">with a log-log model </w:t>
      </w:r>
      <w:r w:rsidRPr="004E02DE">
        <w:rPr>
          <w:sz w:val="24"/>
          <w:szCs w:val="24"/>
          <w:lang w:val="en-GB"/>
        </w:rPr>
        <w:t>and found adult wood density predicts seedling inundation sensitivity</w:t>
      </w:r>
      <w:r>
        <w:rPr>
          <w:sz w:val="24"/>
          <w:szCs w:val="24"/>
          <w:lang w:val="en-GB"/>
        </w:rPr>
        <w:t>.</w:t>
      </w:r>
      <w:r w:rsidRPr="004E02DE">
        <w:rPr>
          <w:sz w:val="24"/>
          <w:szCs w:val="24"/>
          <w:lang w:val="en-GB"/>
        </w:rPr>
        <w:t xml:space="preserve"> </w:t>
      </w:r>
      <w:r>
        <w:rPr>
          <w:sz w:val="24"/>
          <w:szCs w:val="24"/>
          <w:lang w:val="en-GB"/>
        </w:rPr>
        <w:t xml:space="preserve">Increasing wood density by </w:t>
      </w:r>
      <w:r w:rsidRPr="004E02DE">
        <w:rPr>
          <w:sz w:val="24"/>
          <w:szCs w:val="24"/>
          <w:lang w:val="en-GB"/>
        </w:rPr>
        <w:t xml:space="preserve">1% </w:t>
      </w:r>
      <w:r>
        <w:rPr>
          <w:sz w:val="24"/>
          <w:szCs w:val="24"/>
          <w:lang w:val="en-GB"/>
        </w:rPr>
        <w:t xml:space="preserve">causes inundation </w:t>
      </w:r>
      <w:r w:rsidRPr="004E02DE">
        <w:rPr>
          <w:sz w:val="24"/>
          <w:szCs w:val="24"/>
          <w:lang w:val="en-GB"/>
        </w:rPr>
        <w:t>sensitivity</w:t>
      </w:r>
      <w:r>
        <w:rPr>
          <w:sz w:val="24"/>
          <w:szCs w:val="24"/>
          <w:lang w:val="en-GB"/>
        </w:rPr>
        <w:t xml:space="preserve"> to</w:t>
      </w:r>
      <w:r w:rsidRPr="004E02DE">
        <w:rPr>
          <w:sz w:val="24"/>
          <w:szCs w:val="24"/>
          <w:lang w:val="en-GB"/>
        </w:rPr>
        <w:t xml:space="preserve"> declines by 2.4% (β</w:t>
      </w:r>
      <w:proofErr w:type="gramStart"/>
      <w:r w:rsidRPr="004E02DE">
        <w:rPr>
          <w:sz w:val="24"/>
          <w:szCs w:val="24"/>
          <w:vertAlign w:val="subscript"/>
          <w:lang w:val="en-GB"/>
        </w:rPr>
        <w:t>log(</w:t>
      </w:r>
      <w:proofErr w:type="gramEnd"/>
      <w:r w:rsidRPr="004E02DE">
        <w:rPr>
          <w:sz w:val="24"/>
          <w:szCs w:val="24"/>
          <w:vertAlign w:val="subscript"/>
          <w:lang w:val="en-GB"/>
        </w:rPr>
        <w:t>wood density)</w:t>
      </w:r>
      <w:r w:rsidRPr="004E02DE">
        <w:rPr>
          <w:sz w:val="24"/>
          <w:szCs w:val="24"/>
          <w:lang w:val="en-GB"/>
        </w:rPr>
        <w:t xml:space="preserve"> =2.37, 95% CI = -3.06 – -1.78</w:t>
      </w:r>
      <w:r>
        <w:rPr>
          <w:sz w:val="24"/>
          <w:szCs w:val="24"/>
          <w:lang w:val="en-GB"/>
        </w:rPr>
        <w:t>, n = 16</w:t>
      </w:r>
      <w:r w:rsidRPr="004E02DE">
        <w:rPr>
          <w:sz w:val="24"/>
          <w:szCs w:val="24"/>
          <w:lang w:val="en-GB"/>
        </w:rPr>
        <w:t xml:space="preserve">). However, </w:t>
      </w:r>
      <w:r w:rsidRPr="004E02DE">
        <w:rPr>
          <w:sz w:val="24"/>
          <w:szCs w:val="24"/>
          <w:bdr w:val="none" w:sz="0" w:space="0" w:color="auto"/>
        </w:rPr>
        <w:t xml:space="preserve">using wood density values collected as saplings </w:t>
      </w:r>
      <w:r w:rsidRPr="00B30B46">
        <w:rPr>
          <w:sz w:val="24"/>
          <w:szCs w:val="24"/>
          <w:bdr w:val="none" w:sz="0" w:space="0" w:color="auto"/>
        </w:rPr>
        <w:t xml:space="preserve">wood density does not confer to tolerance to </w:t>
      </w:r>
      <w:r w:rsidRPr="004E02DE">
        <w:rPr>
          <w:sz w:val="24"/>
          <w:szCs w:val="24"/>
          <w:bdr w:val="none" w:sz="0" w:space="0" w:color="auto"/>
        </w:rPr>
        <w:t>inundation (</w:t>
      </w:r>
      <w:r w:rsidRPr="004E02DE">
        <w:rPr>
          <w:sz w:val="24"/>
          <w:szCs w:val="24"/>
          <w:lang w:val="en-GB"/>
        </w:rPr>
        <w:t>β</w:t>
      </w:r>
      <w:r w:rsidRPr="004E02DE">
        <w:rPr>
          <w:sz w:val="24"/>
          <w:szCs w:val="24"/>
          <w:vertAlign w:val="subscript"/>
          <w:lang w:val="en-GB"/>
        </w:rPr>
        <w:t>wood density</w:t>
      </w:r>
      <w:r w:rsidRPr="004E02DE">
        <w:rPr>
          <w:sz w:val="24"/>
          <w:szCs w:val="24"/>
          <w:lang w:val="en-GB"/>
        </w:rPr>
        <w:t xml:space="preserve"> =-0.805, 95% CI = -2.715 – 1.192</w:t>
      </w:r>
      <w:r>
        <w:rPr>
          <w:sz w:val="24"/>
          <w:szCs w:val="24"/>
          <w:lang w:val="en-GB"/>
        </w:rPr>
        <w:t>, n = 16</w:t>
      </w:r>
      <w:r w:rsidRPr="004E02DE">
        <w:rPr>
          <w:sz w:val="24"/>
          <w:szCs w:val="24"/>
          <w:bdr w:val="none" w:sz="0" w:space="0" w:color="auto"/>
        </w:rPr>
        <w:t xml:space="preserve">), </w:t>
      </w:r>
      <w:r>
        <w:rPr>
          <w:sz w:val="24"/>
          <w:szCs w:val="24"/>
          <w:bdr w:val="none" w:sz="0" w:space="0" w:color="auto"/>
        </w:rPr>
        <w:t>nor does seedling wood density provide tolerance</w:t>
      </w:r>
      <w:r w:rsidRPr="004E02DE">
        <w:rPr>
          <w:sz w:val="24"/>
          <w:szCs w:val="24"/>
          <w:bdr w:val="none" w:sz="0" w:space="0" w:color="auto"/>
        </w:rPr>
        <w:t xml:space="preserve"> (</w:t>
      </w:r>
      <w:r w:rsidRPr="004E02DE">
        <w:rPr>
          <w:sz w:val="24"/>
          <w:szCs w:val="24"/>
          <w:lang w:val="en-GB"/>
        </w:rPr>
        <w:t>β</w:t>
      </w:r>
      <w:r w:rsidRPr="004E02DE">
        <w:rPr>
          <w:sz w:val="24"/>
          <w:szCs w:val="24"/>
          <w:vertAlign w:val="subscript"/>
          <w:lang w:val="en-GB"/>
        </w:rPr>
        <w:t>wood density</w:t>
      </w:r>
      <w:r w:rsidRPr="004E02DE">
        <w:rPr>
          <w:sz w:val="24"/>
          <w:szCs w:val="24"/>
          <w:lang w:val="en-GB"/>
        </w:rPr>
        <w:t xml:space="preserve"> = -0.7417, 95% CI = -1.6409 – 0.4471</w:t>
      </w:r>
      <w:r>
        <w:rPr>
          <w:sz w:val="24"/>
          <w:szCs w:val="24"/>
          <w:lang w:val="en-GB"/>
        </w:rPr>
        <w:t>, n = 9</w:t>
      </w:r>
      <w:r w:rsidRPr="004E02DE">
        <w:rPr>
          <w:sz w:val="24"/>
          <w:szCs w:val="24"/>
          <w:bdr w:val="none" w:sz="0" w:space="0" w:color="auto"/>
        </w:rPr>
        <w:t xml:space="preserve">). </w:t>
      </w:r>
      <w:r>
        <w:rPr>
          <w:sz w:val="24"/>
          <w:szCs w:val="24"/>
          <w:bdr w:val="none" w:sz="0" w:space="0" w:color="auto"/>
        </w:rPr>
        <w:t xml:space="preserve">At these three </w:t>
      </w:r>
      <w:proofErr w:type="spellStart"/>
      <w:r>
        <w:rPr>
          <w:sz w:val="24"/>
          <w:szCs w:val="24"/>
          <w:bdr w:val="none" w:sz="0" w:space="0" w:color="auto"/>
        </w:rPr>
        <w:t>ontogenic</w:t>
      </w:r>
      <w:proofErr w:type="spellEnd"/>
      <w:r>
        <w:rPr>
          <w:sz w:val="24"/>
          <w:szCs w:val="24"/>
          <w:bdr w:val="none" w:sz="0" w:space="0" w:color="auto"/>
        </w:rPr>
        <w:t xml:space="preserve"> stages, we found a convergence on adult values. S</w:t>
      </w:r>
      <w:r w:rsidRPr="004E02DE">
        <w:rPr>
          <w:sz w:val="24"/>
          <w:szCs w:val="24"/>
          <w:bdr w:val="none" w:sz="0" w:space="0" w:color="auto"/>
        </w:rPr>
        <w:t>eedling-adult values were the least similar with an (r</w:t>
      </w:r>
      <w:r w:rsidRPr="004E02DE">
        <w:rPr>
          <w:sz w:val="24"/>
          <w:szCs w:val="24"/>
          <w:bdr w:val="none" w:sz="0" w:space="0" w:color="auto"/>
          <w:vertAlign w:val="superscript"/>
        </w:rPr>
        <w:t>2</w:t>
      </w:r>
      <w:r w:rsidRPr="004E02DE">
        <w:rPr>
          <w:sz w:val="24"/>
          <w:szCs w:val="24"/>
          <w:bdr w:val="none" w:sz="0" w:space="0" w:color="auto"/>
        </w:rPr>
        <w:t xml:space="preserve"> = 0.21</w:t>
      </w:r>
      <w:r>
        <w:rPr>
          <w:sz w:val="24"/>
          <w:szCs w:val="24"/>
          <w:bdr w:val="none" w:sz="0" w:space="0" w:color="auto"/>
        </w:rPr>
        <w:t>, Fig. 4a</w:t>
      </w:r>
      <w:r w:rsidRPr="004E02DE">
        <w:rPr>
          <w:sz w:val="24"/>
          <w:szCs w:val="24"/>
          <w:bdr w:val="none" w:sz="0" w:space="0" w:color="auto"/>
        </w:rPr>
        <w:t>), seedlings were more similar to saplings (r</w:t>
      </w:r>
      <w:r w:rsidRPr="004E02DE">
        <w:rPr>
          <w:sz w:val="24"/>
          <w:szCs w:val="24"/>
          <w:bdr w:val="none" w:sz="0" w:space="0" w:color="auto"/>
          <w:vertAlign w:val="superscript"/>
        </w:rPr>
        <w:t>2</w:t>
      </w:r>
      <w:r w:rsidRPr="004E02DE">
        <w:rPr>
          <w:sz w:val="24"/>
          <w:szCs w:val="24"/>
          <w:bdr w:val="none" w:sz="0" w:space="0" w:color="auto"/>
        </w:rPr>
        <w:t xml:space="preserve"> = 0.50</w:t>
      </w:r>
      <w:r>
        <w:rPr>
          <w:sz w:val="24"/>
          <w:szCs w:val="24"/>
          <w:bdr w:val="none" w:sz="0" w:space="0" w:color="auto"/>
        </w:rPr>
        <w:t>, Fig. 4a</w:t>
      </w:r>
      <w:r w:rsidRPr="004E02DE">
        <w:rPr>
          <w:sz w:val="24"/>
          <w:szCs w:val="24"/>
          <w:bdr w:val="none" w:sz="0" w:space="0" w:color="auto"/>
        </w:rPr>
        <w:t>), and sapling were closest to adults (r</w:t>
      </w:r>
      <w:r w:rsidRPr="004E02DE">
        <w:rPr>
          <w:sz w:val="24"/>
          <w:szCs w:val="24"/>
          <w:bdr w:val="none" w:sz="0" w:space="0" w:color="auto"/>
          <w:vertAlign w:val="superscript"/>
        </w:rPr>
        <w:t>2</w:t>
      </w:r>
      <w:r w:rsidRPr="004E02DE">
        <w:rPr>
          <w:sz w:val="24"/>
          <w:szCs w:val="24"/>
          <w:bdr w:val="none" w:sz="0" w:space="0" w:color="auto"/>
        </w:rPr>
        <w:t xml:space="preserve"> = 0.64</w:t>
      </w:r>
      <w:r>
        <w:rPr>
          <w:sz w:val="24"/>
          <w:szCs w:val="24"/>
          <w:bdr w:val="none" w:sz="0" w:space="0" w:color="auto"/>
        </w:rPr>
        <w:t>, Fig. 4a</w:t>
      </w:r>
      <w:r w:rsidRPr="004E02DE">
        <w:rPr>
          <w:sz w:val="24"/>
          <w:szCs w:val="24"/>
          <w:bdr w:val="none" w:sz="0" w:space="0" w:color="auto"/>
        </w:rPr>
        <w:t>). We conducted a nursery experiment on 10 species of dipterocarp</w:t>
      </w:r>
      <w:r>
        <w:rPr>
          <w:sz w:val="24"/>
          <w:szCs w:val="24"/>
          <w:bdr w:val="none" w:sz="0" w:space="0" w:color="auto"/>
        </w:rPr>
        <w:t>s</w:t>
      </w:r>
      <w:r w:rsidRPr="004E02DE">
        <w:rPr>
          <w:sz w:val="24"/>
          <w:szCs w:val="24"/>
          <w:bdr w:val="none" w:sz="0" w:space="0" w:color="auto"/>
        </w:rPr>
        <w:t xml:space="preserve"> (9 overlapping</w:t>
      </w:r>
      <w:r>
        <w:rPr>
          <w:sz w:val="24"/>
          <w:szCs w:val="24"/>
          <w:bdr w:val="none" w:sz="0" w:space="0" w:color="auto"/>
        </w:rPr>
        <w:t xml:space="preserve"> species</w:t>
      </w:r>
      <w:r w:rsidRPr="004E02DE">
        <w:rPr>
          <w:sz w:val="24"/>
          <w:szCs w:val="24"/>
          <w:bdr w:val="none" w:sz="0" w:space="0" w:color="auto"/>
        </w:rPr>
        <w:t>). Here too, we found that seedling wood density values were not correlated to inundation effects (</w:t>
      </w:r>
      <w:r w:rsidRPr="004E02DE">
        <w:rPr>
          <w:sz w:val="24"/>
          <w:szCs w:val="24"/>
          <w:lang w:val="en-GB"/>
        </w:rPr>
        <w:t>β</w:t>
      </w:r>
      <w:r w:rsidRPr="004E02DE">
        <w:rPr>
          <w:sz w:val="24"/>
          <w:szCs w:val="24"/>
          <w:vertAlign w:val="subscript"/>
          <w:lang w:val="en-GB"/>
        </w:rPr>
        <w:t>wood density</w:t>
      </w:r>
      <w:r w:rsidRPr="004E02DE">
        <w:rPr>
          <w:sz w:val="24"/>
          <w:szCs w:val="24"/>
          <w:lang w:val="en-GB"/>
        </w:rPr>
        <w:t xml:space="preserve"> =</w:t>
      </w:r>
      <w:r>
        <w:rPr>
          <w:sz w:val="24"/>
          <w:szCs w:val="24"/>
          <w:lang w:val="en-GB"/>
        </w:rPr>
        <w:t xml:space="preserve"> </w:t>
      </w:r>
      <w:r w:rsidRPr="00B94181">
        <w:rPr>
          <w:sz w:val="24"/>
          <w:szCs w:val="24"/>
          <w:lang w:val="en-GB"/>
        </w:rPr>
        <w:t>-1.0</w:t>
      </w:r>
      <w:r>
        <w:rPr>
          <w:sz w:val="24"/>
          <w:szCs w:val="24"/>
          <w:lang w:val="en-GB"/>
        </w:rPr>
        <w:t>7</w:t>
      </w:r>
      <w:r w:rsidRPr="004E02DE">
        <w:rPr>
          <w:sz w:val="24"/>
          <w:szCs w:val="24"/>
          <w:lang w:val="en-GB"/>
        </w:rPr>
        <w:t xml:space="preserve">, 95% CI = </w:t>
      </w:r>
      <w:r w:rsidRPr="00B94181">
        <w:rPr>
          <w:sz w:val="24"/>
          <w:szCs w:val="24"/>
          <w:lang w:val="en-GB"/>
        </w:rPr>
        <w:t>-2.18</w:t>
      </w:r>
      <w:r>
        <w:rPr>
          <w:sz w:val="24"/>
          <w:szCs w:val="24"/>
          <w:lang w:val="en-GB"/>
        </w:rPr>
        <w:t xml:space="preserve"> – </w:t>
      </w:r>
      <w:r w:rsidRPr="00B94181">
        <w:rPr>
          <w:sz w:val="24"/>
          <w:szCs w:val="24"/>
          <w:lang w:val="en-GB"/>
        </w:rPr>
        <w:t>0.048</w:t>
      </w:r>
      <w:r w:rsidRPr="004E02DE">
        <w:rPr>
          <w:sz w:val="24"/>
          <w:szCs w:val="24"/>
          <w:bdr w:val="none" w:sz="0" w:space="0" w:color="auto"/>
        </w:rPr>
        <w:t xml:space="preserve">). </w:t>
      </w:r>
      <w:r>
        <w:rPr>
          <w:sz w:val="24"/>
          <w:szCs w:val="24"/>
          <w:bdr w:val="none" w:sz="0" w:space="0" w:color="auto"/>
        </w:rPr>
        <w:t xml:space="preserve">As wood </w:t>
      </w:r>
      <w:r>
        <w:rPr>
          <w:sz w:val="24"/>
          <w:szCs w:val="24"/>
          <w:bdr w:val="none" w:sz="0" w:space="0" w:color="auto"/>
        </w:rPr>
        <w:lastRenderedPageBreak/>
        <w:t xml:space="preserve">density clearly does not provide tolerance to inundation, we questioned whether water inundation itself could cause changes in wood density. </w:t>
      </w:r>
    </w:p>
    <w:tbl>
      <w:tblPr>
        <w:tblStyle w:val="TableGrid"/>
        <w:tblW w:w="0" w:type="auto"/>
        <w:tblLook w:val="04A0" w:firstRow="1" w:lastRow="0" w:firstColumn="1" w:lastColumn="0" w:noHBand="0" w:noVBand="1"/>
      </w:tblPr>
      <w:tblGrid>
        <w:gridCol w:w="9010"/>
      </w:tblGrid>
      <w:tr w:rsidR="005F56B2" w14:paraId="0A36A4C3" w14:textId="77777777" w:rsidTr="009C5E7C">
        <w:tc>
          <w:tcPr>
            <w:tcW w:w="9056" w:type="dxa"/>
          </w:tcPr>
          <w:p w14:paraId="73C93D03" w14:textId="77777777" w:rsidR="005F56B2" w:rsidRDefault="005F56B2" w:rsidP="009C5E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sz w:val="24"/>
                <w:szCs w:val="24"/>
                <w:bdr w:val="none" w:sz="0" w:space="0" w:color="auto"/>
              </w:rPr>
            </w:pPr>
            <w:r>
              <w:rPr>
                <w:noProof/>
                <w:sz w:val="24"/>
                <w:szCs w:val="24"/>
                <w:bdr w:val="none" w:sz="0" w:space="0" w:color="auto"/>
              </w:rPr>
              <w:drawing>
                <wp:inline distT="0" distB="0" distL="0" distR="0" wp14:anchorId="1C402B5A" wp14:editId="64CBDBAF">
                  <wp:extent cx="4866476" cy="5048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2900" cy="5055109"/>
                          </a:xfrm>
                          <a:prstGeom prst="rect">
                            <a:avLst/>
                          </a:prstGeom>
                        </pic:spPr>
                      </pic:pic>
                    </a:graphicData>
                  </a:graphic>
                </wp:inline>
              </w:drawing>
            </w:r>
          </w:p>
        </w:tc>
      </w:tr>
      <w:tr w:rsidR="005F56B2" w14:paraId="6C226067" w14:textId="77777777" w:rsidTr="009C5E7C">
        <w:tc>
          <w:tcPr>
            <w:tcW w:w="9056" w:type="dxa"/>
          </w:tcPr>
          <w:p w14:paraId="6D5B8C4D" w14:textId="77777777" w:rsidR="005F56B2" w:rsidRPr="00101E4D" w:rsidRDefault="005F56B2" w:rsidP="009C5E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both"/>
              <w:rPr>
                <w:sz w:val="24"/>
                <w:szCs w:val="24"/>
                <w:bdr w:val="none" w:sz="0" w:space="0" w:color="auto"/>
              </w:rPr>
            </w:pPr>
            <w:r w:rsidRPr="000353B1">
              <w:rPr>
                <w:b/>
                <w:sz w:val="20"/>
                <w:szCs w:val="24"/>
                <w:bdr w:val="none" w:sz="0" w:space="0" w:color="auto"/>
              </w:rPr>
              <w:t xml:space="preserve">Figure 4 | </w:t>
            </w:r>
            <w:proofErr w:type="spellStart"/>
            <w:r w:rsidRPr="000353B1">
              <w:rPr>
                <w:b/>
                <w:sz w:val="20"/>
                <w:szCs w:val="24"/>
                <w:bdr w:val="none" w:sz="0" w:space="0" w:color="auto"/>
              </w:rPr>
              <w:t>ontogenic</w:t>
            </w:r>
            <w:proofErr w:type="spellEnd"/>
            <w:r w:rsidRPr="000353B1">
              <w:rPr>
                <w:b/>
                <w:sz w:val="20"/>
                <w:szCs w:val="24"/>
                <w:bdr w:val="none" w:sz="0" w:space="0" w:color="auto"/>
              </w:rPr>
              <w:t xml:space="preserve"> convergence on adult values, changes in wood density through inundation and biomass.</w:t>
            </w:r>
            <w:r w:rsidRPr="000353B1">
              <w:rPr>
                <w:sz w:val="20"/>
                <w:szCs w:val="24"/>
                <w:bdr w:val="none" w:sz="0" w:space="0" w:color="auto"/>
              </w:rPr>
              <w:t xml:space="preserve"> </w:t>
            </w:r>
            <w:r w:rsidRPr="000353B1">
              <w:rPr>
                <w:b/>
                <w:sz w:val="20"/>
                <w:szCs w:val="24"/>
                <w:bdr w:val="none" w:sz="0" w:space="0" w:color="auto"/>
              </w:rPr>
              <w:t xml:space="preserve">(a) </w:t>
            </w:r>
            <w:r w:rsidRPr="000353B1">
              <w:rPr>
                <w:sz w:val="20"/>
                <w:szCs w:val="24"/>
                <w:bdr w:val="none" w:sz="0" w:space="0" w:color="auto"/>
              </w:rPr>
              <w:t>r-squared values for wood density on the three life history stages.</w:t>
            </w:r>
            <w:r w:rsidRPr="000353B1">
              <w:rPr>
                <w:b/>
                <w:sz w:val="20"/>
                <w:szCs w:val="24"/>
                <w:bdr w:val="none" w:sz="0" w:space="0" w:color="auto"/>
              </w:rPr>
              <w:t xml:space="preserve"> (b) </w:t>
            </w:r>
            <w:r w:rsidRPr="000353B1">
              <w:rPr>
                <w:sz w:val="20"/>
                <w:szCs w:val="24"/>
                <w:bdr w:val="none" w:sz="0" w:space="0" w:color="auto"/>
              </w:rPr>
              <w:t xml:space="preserve">the change in wood density predicted by inundation frequency. </w:t>
            </w:r>
            <w:r w:rsidRPr="000353B1">
              <w:rPr>
                <w:b/>
                <w:sz w:val="20"/>
                <w:szCs w:val="24"/>
                <w:bdr w:val="none" w:sz="0" w:space="0" w:color="auto"/>
              </w:rPr>
              <w:t>(c)</w:t>
            </w:r>
            <w:r w:rsidRPr="000353B1">
              <w:rPr>
                <w:sz w:val="20"/>
                <w:szCs w:val="24"/>
                <w:bdr w:val="none" w:sz="0" w:space="0" w:color="auto"/>
              </w:rPr>
              <w:t xml:space="preserve"> quadratic relationship between inundation frequency and the fit between inundated seedlings and adults. </w:t>
            </w:r>
            <w:r w:rsidRPr="000353B1">
              <w:rPr>
                <w:b/>
                <w:sz w:val="20"/>
                <w:szCs w:val="24"/>
                <w:bdr w:val="none" w:sz="0" w:space="0" w:color="auto"/>
              </w:rPr>
              <w:t>(d)</w:t>
            </w:r>
            <w:r w:rsidRPr="000353B1">
              <w:rPr>
                <w:sz w:val="20"/>
                <w:szCs w:val="24"/>
                <w:bdr w:val="none" w:sz="0" w:space="0" w:color="auto"/>
              </w:rPr>
              <w:t xml:space="preserve"> </w:t>
            </w:r>
            <w:proofErr w:type="spellStart"/>
            <w:r w:rsidRPr="000353B1">
              <w:rPr>
                <w:sz w:val="20"/>
                <w:szCs w:val="24"/>
                <w:bdr w:val="none" w:sz="0" w:space="0" w:color="auto"/>
              </w:rPr>
              <w:t>allometic</w:t>
            </w:r>
            <w:proofErr w:type="spellEnd"/>
            <w:r w:rsidRPr="000353B1">
              <w:rPr>
                <w:sz w:val="20"/>
                <w:szCs w:val="24"/>
                <w:bdr w:val="none" w:sz="0" w:space="0" w:color="auto"/>
              </w:rPr>
              <w:t xml:space="preserve"> scaling showing the carbon intake per unit biomass, predicting the change in wood density. Points are partial residuals where. Bootstrapped confidence intervals </w:t>
            </w:r>
            <w:r w:rsidRPr="000353B1">
              <w:rPr>
                <w:b/>
                <w:sz w:val="20"/>
                <w:szCs w:val="24"/>
                <w:bdr w:val="none" w:sz="0" w:space="0" w:color="auto"/>
              </w:rPr>
              <w:t>(b, d)</w:t>
            </w:r>
            <w:r w:rsidRPr="000353B1">
              <w:rPr>
                <w:sz w:val="20"/>
                <w:szCs w:val="24"/>
                <w:bdr w:val="none" w:sz="0" w:space="0" w:color="auto"/>
              </w:rPr>
              <w:t xml:space="preserve">, whereas </w:t>
            </w:r>
            <w:r w:rsidRPr="000353B1">
              <w:rPr>
                <w:b/>
                <w:sz w:val="20"/>
                <w:szCs w:val="24"/>
                <w:bdr w:val="none" w:sz="0" w:space="0" w:color="auto"/>
              </w:rPr>
              <w:t xml:space="preserve">(c) </w:t>
            </w:r>
            <w:r w:rsidRPr="000353B1">
              <w:rPr>
                <w:sz w:val="20"/>
                <w:szCs w:val="24"/>
                <w:bdr w:val="none" w:sz="0" w:space="0" w:color="auto"/>
              </w:rPr>
              <w:t xml:space="preserve">is predicted form the model. </w:t>
            </w:r>
          </w:p>
        </w:tc>
      </w:tr>
    </w:tbl>
    <w:p w14:paraId="7DD94820" w14:textId="77777777" w:rsidR="005F56B2" w:rsidRPr="004E02DE" w:rsidRDefault="005F56B2" w:rsidP="005F56B2">
      <w:pPr>
        <w:pStyle w:val="Body"/>
        <w:spacing w:line="480" w:lineRule="auto"/>
        <w:jc w:val="both"/>
        <w:rPr>
          <w:sz w:val="24"/>
          <w:szCs w:val="24"/>
          <w:bdr w:val="none" w:sz="0" w:space="0" w:color="auto"/>
        </w:rPr>
      </w:pPr>
    </w:p>
    <w:p w14:paraId="13B0E572" w14:textId="77777777" w:rsidR="005F56B2" w:rsidRPr="004E02DE" w:rsidRDefault="005F56B2" w:rsidP="005F56B2">
      <w:pPr>
        <w:pStyle w:val="Body"/>
        <w:spacing w:line="480" w:lineRule="auto"/>
        <w:ind w:firstLine="720"/>
        <w:jc w:val="both"/>
        <w:rPr>
          <w:sz w:val="24"/>
          <w:szCs w:val="24"/>
          <w:lang w:val="en-GB"/>
        </w:rPr>
      </w:pPr>
      <w:r>
        <w:rPr>
          <w:sz w:val="24"/>
          <w:szCs w:val="24"/>
          <w:bdr w:val="none" w:sz="0" w:space="0" w:color="auto"/>
        </w:rPr>
        <w:lastRenderedPageBreak/>
        <w:t>Increasing the f</w:t>
      </w:r>
      <w:r w:rsidRPr="004E02DE">
        <w:rPr>
          <w:sz w:val="24"/>
          <w:szCs w:val="24"/>
          <w:bdr w:val="none" w:sz="0" w:space="0" w:color="auto"/>
        </w:rPr>
        <w:t>requen</w:t>
      </w:r>
      <w:r>
        <w:rPr>
          <w:sz w:val="24"/>
          <w:szCs w:val="24"/>
          <w:bdr w:val="none" w:sz="0" w:space="0" w:color="auto"/>
        </w:rPr>
        <w:t>cy of water</w:t>
      </w:r>
      <w:r w:rsidRPr="004E02DE">
        <w:rPr>
          <w:sz w:val="24"/>
          <w:szCs w:val="24"/>
          <w:bdr w:val="none" w:sz="0" w:space="0" w:color="auto"/>
        </w:rPr>
        <w:t xml:space="preserve"> inundation </w:t>
      </w:r>
      <w:r>
        <w:rPr>
          <w:sz w:val="24"/>
          <w:szCs w:val="24"/>
          <w:bdr w:val="none" w:sz="0" w:space="0" w:color="auto"/>
        </w:rPr>
        <w:t>typically increased</w:t>
      </w:r>
      <w:r w:rsidRPr="004E02DE">
        <w:rPr>
          <w:sz w:val="24"/>
          <w:szCs w:val="24"/>
          <w:bdr w:val="none" w:sz="0" w:space="0" w:color="auto"/>
        </w:rPr>
        <w:t xml:space="preserve"> wood density values </w:t>
      </w:r>
      <w:r>
        <w:rPr>
          <w:sz w:val="24"/>
          <w:szCs w:val="24"/>
          <w:bdr w:val="none" w:sz="0" w:space="0" w:color="auto"/>
        </w:rPr>
        <w:t>by 0.1 g cm</w:t>
      </w:r>
      <w:r w:rsidRPr="00AE5B08">
        <w:rPr>
          <w:sz w:val="24"/>
          <w:szCs w:val="24"/>
          <w:bdr w:val="none" w:sz="0" w:space="0" w:color="auto"/>
          <w:vertAlign w:val="superscript"/>
        </w:rPr>
        <w:t>-3</w:t>
      </w:r>
      <w:r>
        <w:rPr>
          <w:sz w:val="24"/>
          <w:szCs w:val="24"/>
          <w:bdr w:val="none" w:sz="0" w:space="0" w:color="auto"/>
        </w:rPr>
        <w:t xml:space="preserve">, equating to an average increase 22.2 % </w:t>
      </w:r>
      <w:r w:rsidRPr="004E02DE">
        <w:rPr>
          <w:sz w:val="24"/>
          <w:szCs w:val="24"/>
          <w:bdr w:val="none" w:sz="0" w:space="0" w:color="auto"/>
        </w:rPr>
        <w:t>(</w:t>
      </w:r>
      <w:r w:rsidRPr="004E02DE">
        <w:rPr>
          <w:sz w:val="24"/>
          <w:szCs w:val="24"/>
          <w:lang w:val="en-GB"/>
        </w:rPr>
        <w:t>β</w:t>
      </w:r>
      <w:proofErr w:type="gramStart"/>
      <w:r>
        <w:rPr>
          <w:sz w:val="24"/>
          <w:szCs w:val="24"/>
          <w:vertAlign w:val="subscript"/>
          <w:lang w:val="en-GB"/>
        </w:rPr>
        <w:t>log(</w:t>
      </w:r>
      <w:proofErr w:type="gramEnd"/>
      <w:r w:rsidRPr="004E02DE">
        <w:rPr>
          <w:sz w:val="24"/>
          <w:szCs w:val="24"/>
          <w:vertAlign w:val="subscript"/>
          <w:lang w:val="en-GB"/>
        </w:rPr>
        <w:t xml:space="preserve">treatment </w:t>
      </w:r>
      <w:r>
        <w:rPr>
          <w:sz w:val="24"/>
          <w:szCs w:val="24"/>
          <w:vertAlign w:val="subscript"/>
          <w:lang w:val="en-GB"/>
        </w:rPr>
        <w:t xml:space="preserve">+ 1) </w:t>
      </w:r>
      <w:r w:rsidRPr="004E02DE">
        <w:rPr>
          <w:sz w:val="24"/>
          <w:szCs w:val="24"/>
          <w:lang w:val="en-GB"/>
        </w:rPr>
        <w:t xml:space="preserve">= </w:t>
      </w:r>
      <w:r w:rsidRPr="004D7BA4">
        <w:rPr>
          <w:sz w:val="24"/>
          <w:szCs w:val="24"/>
          <w:lang w:val="en-GB"/>
        </w:rPr>
        <w:t>0.032</w:t>
      </w:r>
      <w:r w:rsidRPr="004E02DE">
        <w:rPr>
          <w:sz w:val="24"/>
          <w:szCs w:val="24"/>
          <w:lang w:val="en-GB"/>
        </w:rPr>
        <w:t xml:space="preserve">, 95% CI = </w:t>
      </w:r>
      <w:r w:rsidRPr="004D7BA4">
        <w:rPr>
          <w:sz w:val="24"/>
          <w:szCs w:val="24"/>
          <w:lang w:val="en-GB"/>
        </w:rPr>
        <w:t>0.027</w:t>
      </w:r>
      <w:r w:rsidRPr="004E02DE">
        <w:rPr>
          <w:sz w:val="24"/>
          <w:szCs w:val="24"/>
          <w:lang w:val="en-GB"/>
        </w:rPr>
        <w:t xml:space="preserve">– </w:t>
      </w:r>
      <w:r w:rsidRPr="004D7BA4">
        <w:rPr>
          <w:sz w:val="24"/>
          <w:szCs w:val="24"/>
          <w:lang w:val="en-GB"/>
        </w:rPr>
        <w:t>0.036</w:t>
      </w:r>
      <w:r>
        <w:rPr>
          <w:sz w:val="24"/>
          <w:szCs w:val="24"/>
          <w:lang w:val="en-GB"/>
        </w:rPr>
        <w:t>, Fig. 4b</w:t>
      </w:r>
      <w:r w:rsidRPr="004E02DE">
        <w:rPr>
          <w:sz w:val="24"/>
          <w:szCs w:val="24"/>
          <w:bdr w:val="none" w:sz="0" w:space="0" w:color="auto"/>
        </w:rPr>
        <w:t xml:space="preserve">). Furthermore, the values non-linearly converged on the adults </w:t>
      </w:r>
      <w:r>
        <w:rPr>
          <w:sz w:val="24"/>
          <w:szCs w:val="24"/>
          <w:bdr w:val="none" w:sz="0" w:space="0" w:color="auto"/>
        </w:rPr>
        <w:t xml:space="preserve">before declining in similarity at extreme ends of flooding (Fig. 4c). </w:t>
      </w:r>
      <w:r w:rsidRPr="004E02DE">
        <w:rPr>
          <w:sz w:val="24"/>
          <w:szCs w:val="24"/>
          <w:bdr w:val="none" w:sz="0" w:space="0" w:color="auto"/>
        </w:rPr>
        <w:t xml:space="preserve">Previous research has indicated that high wood density maybe a response to stress relating to lowering the carbon intake per unit biomass. </w:t>
      </w:r>
      <w:r>
        <w:rPr>
          <w:sz w:val="24"/>
          <w:szCs w:val="24"/>
          <w:bdr w:val="none" w:sz="0" w:space="0" w:color="auto"/>
        </w:rPr>
        <w:t>Therefore, we created an a</w:t>
      </w:r>
      <w:r w:rsidRPr="004E02DE">
        <w:rPr>
          <w:sz w:val="24"/>
          <w:szCs w:val="24"/>
          <w:bdr w:val="none" w:sz="0" w:space="0" w:color="auto"/>
        </w:rPr>
        <w:t xml:space="preserve">llometric model for </w:t>
      </w:r>
      <w:r>
        <w:rPr>
          <w:sz w:val="24"/>
          <w:szCs w:val="24"/>
          <w:bdr w:val="none" w:sz="0" w:space="0" w:color="auto"/>
        </w:rPr>
        <w:t xml:space="preserve">carbon intake per </w:t>
      </w:r>
      <w:r w:rsidRPr="004E02DE">
        <w:rPr>
          <w:sz w:val="24"/>
          <w:szCs w:val="24"/>
          <w:bdr w:val="none" w:sz="0" w:space="0" w:color="auto"/>
        </w:rPr>
        <w:t>total biomass</w:t>
      </w:r>
      <w:r>
        <w:rPr>
          <w:sz w:val="24"/>
          <w:szCs w:val="24"/>
          <w:bdr w:val="none" w:sz="0" w:space="0" w:color="auto"/>
        </w:rPr>
        <w:t xml:space="preserve"> of each seedling</w:t>
      </w:r>
      <w:r w:rsidRPr="004E02DE">
        <w:rPr>
          <w:sz w:val="24"/>
          <w:szCs w:val="24"/>
          <w:bdr w:val="none" w:sz="0" w:space="0" w:color="auto"/>
        </w:rPr>
        <w:t xml:space="preserve"> and the carbon intake per plant and found that as carbon declines wood density increases</w:t>
      </w:r>
      <w:r>
        <w:rPr>
          <w:sz w:val="24"/>
          <w:szCs w:val="24"/>
          <w:bdr w:val="none" w:sz="0" w:space="0" w:color="auto"/>
        </w:rPr>
        <w:t xml:space="preserve"> </w:t>
      </w:r>
      <w:r w:rsidRPr="004E02DE">
        <w:rPr>
          <w:sz w:val="24"/>
          <w:szCs w:val="24"/>
          <w:bdr w:val="none" w:sz="0" w:space="0" w:color="auto"/>
        </w:rPr>
        <w:t>(</w:t>
      </w:r>
      <w:r w:rsidRPr="004E02DE">
        <w:rPr>
          <w:sz w:val="24"/>
          <w:szCs w:val="24"/>
          <w:lang w:val="en-GB"/>
        </w:rPr>
        <w:t>β</w:t>
      </w:r>
      <w:r>
        <w:rPr>
          <w:sz w:val="24"/>
          <w:szCs w:val="24"/>
          <w:vertAlign w:val="subscript"/>
          <w:lang w:val="en-GB"/>
        </w:rPr>
        <w:t>carbon intake per unit biomass</w:t>
      </w:r>
      <w:r>
        <w:rPr>
          <w:sz w:val="24"/>
          <w:szCs w:val="24"/>
          <w:lang w:val="en-GB"/>
        </w:rPr>
        <w:t xml:space="preserve"> = </w:t>
      </w:r>
      <w:r w:rsidRPr="003005B3">
        <w:rPr>
          <w:sz w:val="24"/>
          <w:szCs w:val="24"/>
          <w:lang w:val="en-GB"/>
        </w:rPr>
        <w:t>-5.656</w:t>
      </w:r>
      <w:r>
        <w:rPr>
          <w:sz w:val="24"/>
          <w:szCs w:val="24"/>
          <w:lang w:val="en-GB"/>
        </w:rPr>
        <w:t>,</w:t>
      </w:r>
      <w:r>
        <w:rPr>
          <w:sz w:val="24"/>
          <w:szCs w:val="24"/>
          <w:bdr w:val="none" w:sz="0" w:space="0" w:color="auto"/>
        </w:rPr>
        <w:t xml:space="preserve"> 95% CI = </w:t>
      </w:r>
      <w:r w:rsidRPr="00EE3CD0">
        <w:rPr>
          <w:sz w:val="24"/>
          <w:szCs w:val="24"/>
          <w:bdr w:val="none" w:sz="0" w:space="0" w:color="auto"/>
        </w:rPr>
        <w:t>-7.297</w:t>
      </w:r>
      <w:r>
        <w:rPr>
          <w:sz w:val="24"/>
          <w:szCs w:val="24"/>
          <w:bdr w:val="none" w:sz="0" w:space="0" w:color="auto"/>
        </w:rPr>
        <w:t xml:space="preserve"> – </w:t>
      </w:r>
      <w:r w:rsidRPr="003005B3">
        <w:rPr>
          <w:sz w:val="24"/>
          <w:szCs w:val="24"/>
          <w:bdr w:val="none" w:sz="0" w:space="0" w:color="auto"/>
        </w:rPr>
        <w:t>-4.797</w:t>
      </w:r>
      <w:r>
        <w:rPr>
          <w:sz w:val="24"/>
          <w:szCs w:val="24"/>
          <w:bdr w:val="none" w:sz="0" w:space="0" w:color="auto"/>
        </w:rPr>
        <w:t>, Fig. 4d)</w:t>
      </w:r>
      <w:r w:rsidRPr="004E02DE">
        <w:rPr>
          <w:sz w:val="24"/>
          <w:szCs w:val="24"/>
          <w:bdr w:val="none" w:sz="0" w:space="0" w:color="auto"/>
        </w:rPr>
        <w:t>.</w:t>
      </w:r>
      <w:r>
        <w:rPr>
          <w:sz w:val="24"/>
          <w:szCs w:val="24"/>
          <w:bdr w:val="none" w:sz="0" w:space="0" w:color="auto"/>
        </w:rPr>
        <w:t xml:space="preserve"> </w:t>
      </w:r>
      <w:r w:rsidRPr="004E02DE">
        <w:rPr>
          <w:sz w:val="24"/>
          <w:szCs w:val="24"/>
          <w:bdr w:val="none" w:sz="0" w:space="0" w:color="auto"/>
        </w:rPr>
        <w:t xml:space="preserve"> </w:t>
      </w:r>
      <w:r w:rsidRPr="00B30B46">
        <w:rPr>
          <w:sz w:val="24"/>
          <w:szCs w:val="24"/>
          <w:bdr w:val="none" w:sz="0" w:space="0" w:color="auto"/>
        </w:rPr>
        <w:t>Thus,</w:t>
      </w:r>
      <w:r w:rsidRPr="004E02DE">
        <w:rPr>
          <w:sz w:val="24"/>
          <w:szCs w:val="24"/>
          <w:bdr w:val="none" w:sz="0" w:space="0" w:color="auto"/>
        </w:rPr>
        <w:t xml:space="preserve"> some species may grow into adult values within wet zones as a response to inundation</w:t>
      </w:r>
      <w:r>
        <w:rPr>
          <w:sz w:val="24"/>
          <w:szCs w:val="24"/>
          <w:bdr w:val="none" w:sz="0" w:space="0" w:color="auto"/>
        </w:rPr>
        <w:t xml:space="preserve">, as a result of period of low carbon intake as a response to inundation episodes. </w:t>
      </w:r>
    </w:p>
    <w:p w14:paraId="045EF699" w14:textId="77777777" w:rsidR="00A20BFF" w:rsidRDefault="00A20BFF">
      <w:bookmarkStart w:id="0" w:name="_GoBack"/>
      <w:bookmarkEnd w:id="0"/>
    </w:p>
    <w:sectPr w:rsidR="00A20BFF" w:rsidSect="006222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B2"/>
    <w:rsid w:val="005F56B2"/>
    <w:rsid w:val="0062229F"/>
    <w:rsid w:val="00A20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90C629"/>
  <w15:chartTrackingRefBased/>
  <w15:docId w15:val="{2310CE5C-B9F7-EB48-BAB9-5B304DC4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56B2"/>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F56B2"/>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table" w:styleId="TableGrid">
    <w:name w:val="Table Grid"/>
    <w:basedOn w:val="TableNormal"/>
    <w:uiPriority w:val="39"/>
    <w:rsid w:val="005F56B2"/>
    <w:pPr>
      <w:pBdr>
        <w:top w:val="nil"/>
        <w:left w:val="nil"/>
        <w:bottom w:val="nil"/>
        <w:right w:val="nil"/>
        <w:between w:val="nil"/>
        <w:bar w:val="nil"/>
      </w:pBdr>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margrove</dc:creator>
  <cp:keywords/>
  <dc:description/>
  <cp:lastModifiedBy>james margrove</cp:lastModifiedBy>
  <cp:revision>1</cp:revision>
  <dcterms:created xsi:type="dcterms:W3CDTF">2019-01-28T14:49:00Z</dcterms:created>
  <dcterms:modified xsi:type="dcterms:W3CDTF">2019-01-28T14:50:00Z</dcterms:modified>
</cp:coreProperties>
</file>