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26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Laboratorio</w:t>
      </w:r>
      <w:r>
        <w:t xml:space="preserve"> </w:t>
      </w:r>
      <w:r>
        <w:t xml:space="preserve">de</w:t>
      </w:r>
      <w:r>
        <w:t xml:space="preserve"> </w:t>
      </w:r>
      <w:r>
        <w:t xml:space="preserve">estadística</w:t>
      </w:r>
    </w:p>
    <w:p>
      <w:pPr>
        <w:pStyle w:val="Author"/>
      </w:pPr>
      <w:r>
        <w:t xml:space="preserve">Jesús</w:t>
      </w:r>
      <w:r>
        <w:t xml:space="preserve"> </w:t>
      </w:r>
      <w:r>
        <w:t xml:space="preserve">María</w:t>
      </w:r>
      <w:r>
        <w:t xml:space="preserve"> </w:t>
      </w:r>
      <w:r>
        <w:t xml:space="preserve">Mora</w:t>
      </w:r>
      <w:r>
        <w:t xml:space="preserve"> </w:t>
      </w:r>
      <w:r>
        <w:t xml:space="preserve">Mur</w:t>
      </w:r>
    </w:p>
    <w:p>
      <w:pPr>
        <w:pStyle w:val="Date"/>
      </w:pP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35" w:name="laboratorio-de-estadística."/>
    <w:p>
      <w:pPr>
        <w:pStyle w:val="Heading1"/>
      </w:pPr>
      <w:r>
        <w:t xml:space="preserve">Laboratorio de estadística.</w:t>
      </w:r>
    </w:p>
    <w:p>
      <w:pPr>
        <w:pStyle w:val="FirstParagraph"/>
      </w:pPr>
      <w:r>
        <w:t xml:space="preserve">Fuente original:</w:t>
      </w:r>
      <w:r>
        <w:t xml:space="preserve"> </w:t>
      </w:r>
      <w:hyperlink r:id="rId20">
        <w:r>
          <w:rPr>
            <w:rStyle w:val="Hyperlink"/>
          </w:rPr>
          <w:t xml:space="preserve">https://www.nature.com/articles/d41586-023-00820-9</w:t>
        </w:r>
      </w:hyperlink>
    </w:p>
    <w:bookmarkStart w:id="21" w:name="introducción."/>
    <w:p>
      <w:pPr>
        <w:pStyle w:val="Heading2"/>
      </w:pPr>
      <w:r>
        <w:t xml:space="preserve">Introducción.</w:t>
      </w:r>
    </w:p>
    <w:p>
      <w:pPr>
        <w:pStyle w:val="FirstParagraph"/>
      </w:pPr>
      <w:r>
        <w:t xml:space="preserve">En el presente laboratorio,</w:t>
      </w:r>
      <w:r>
        <w:t xml:space="preserve"> </w:t>
      </w:r>
      <w:r>
        <w:t xml:space="preserve">estudiamos la difusión de gases tóxicos en el aire, a partir del incidente</w:t>
      </w:r>
      <w:r>
        <w:t xml:space="preserve"> </w:t>
      </w:r>
      <w:r>
        <w:t xml:space="preserve">ocurrido en Ohio el 3 de febrero de 2023.</w:t>
      </w:r>
    </w:p>
    <w:p>
      <w:pPr>
        <w:pStyle w:val="BodyText"/>
      </w:pPr>
      <w:r>
        <w:t xml:space="preserve">En dicha fecha, un tren de</w:t>
      </w:r>
      <w:r>
        <w:t xml:space="preserve"> </w:t>
      </w:r>
      <w:r>
        <w:t xml:space="preserve">mercancías con 20 vagones cargados de mercancías peligrosas descarriló liberando</w:t>
      </w:r>
      <w:r>
        <w:t xml:space="preserve"> </w:t>
      </w:r>
      <w:r>
        <w:t xml:space="preserve">estas sustancias, que se evaporaron y difundieron por el aire. Además, las</w:t>
      </w:r>
      <w:r>
        <w:t xml:space="preserve"> </w:t>
      </w:r>
      <w:r>
        <w:t xml:space="preserve">autoridades realizaron una quema controlada de la mercancía restante,</w:t>
      </w:r>
      <w:r>
        <w:t xml:space="preserve"> </w:t>
      </w:r>
      <w:r>
        <w:t xml:space="preserve">propiciando que los gases tóxicos multiplicaran su concentración en el aire,</w:t>
      </w:r>
      <w:r>
        <w:t xml:space="preserve"> </w:t>
      </w:r>
      <w:r>
        <w:t xml:space="preserve">causando problemas a la población.</w:t>
      </w:r>
    </w:p>
    <w:p>
      <w:pPr>
        <w:pStyle w:val="BodyText"/>
      </w:pPr>
      <w:r>
        <w:t xml:space="preserve">Lo que haremos es sacar</w:t>
      </w:r>
      <w:r>
        <w:t xml:space="preserve"> </w:t>
      </w:r>
      <w:r>
        <w:t xml:space="preserve">ciertos parámetros estadísticos para poder comprobar cómo ha sido la difusión de</w:t>
      </w:r>
      <w:r>
        <w:t xml:space="preserve"> </w:t>
      </w:r>
      <w:r>
        <w:t xml:space="preserve">estos compuestos volátiles en el área afectada, viendo la media de la</w:t>
      </w:r>
      <w:r>
        <w:t xml:space="preserve"> </w:t>
      </w:r>
      <w:r>
        <w:t xml:space="preserve">concentración en los respectivos días y dependiendo de las ubicaciones e</w:t>
      </w:r>
      <w:r>
        <w:t xml:space="preserve"> </w:t>
      </w:r>
      <w:r>
        <w:t xml:space="preserve">intentando encontrar una tendencia para ver si la concentración tiene visos de</w:t>
      </w:r>
      <w:r>
        <w:t xml:space="preserve"> </w:t>
      </w:r>
      <w:r>
        <w:t xml:space="preserve">descender a medio plazo.</w:t>
      </w:r>
    </w:p>
    <w:p>
      <w:pPr>
        <w:pStyle w:val="BodyText"/>
      </w:pPr>
      <w:r>
        <w:t xml:space="preserve">Analizaremos el residuo de</w:t>
      </w:r>
      <w:r>
        <w:t xml:space="preserve"> </w:t>
      </w:r>
      <w:r>
        <w:t xml:space="preserve">Benceno que quedó dispersado en el aire. No era el compuesto más peligroso, en</w:t>
      </w:r>
      <w:r>
        <w:t xml:space="preserve"> </w:t>
      </w:r>
      <w:r>
        <w:t xml:space="preserve">comparación con otros como el</w:t>
      </w:r>
      <w:r>
        <w:t xml:space="preserve"> </w:t>
      </w:r>
      <w:r>
        <w:rPr>
          <w:iCs/>
          <w:i/>
        </w:rPr>
        <w:t xml:space="preserve">cloruro de vinilo</w:t>
      </w:r>
      <w:r>
        <w:t xml:space="preserve">. Sin embargo, supone un riesgo</w:t>
      </w:r>
      <w:r>
        <w:t xml:space="preserve"> </w:t>
      </w:r>
      <w:r>
        <w:t xml:space="preserve">para la salud de las personas que están en la zona.</w:t>
      </w:r>
    </w:p>
    <w:p>
      <w:pPr>
        <w:pStyle w:val="BodyText"/>
      </w:pPr>
      <w:r>
        <w:t xml:space="preserve">Para poder realizar el</w:t>
      </w:r>
      <w:r>
        <w:t xml:space="preserve"> </w:t>
      </w:r>
      <w:r>
        <w:t xml:space="preserve">proceso que arriba especificamos, utilizaremos el programa R, con fragmentos de</w:t>
      </w:r>
      <w:r>
        <w:t xml:space="preserve"> </w:t>
      </w:r>
      <w:r>
        <w:t xml:space="preserve">código que quedarán en el presente documento.</w:t>
      </w:r>
    </w:p>
    <w:bookmarkEnd w:id="21"/>
    <w:bookmarkStart w:id="24" w:name="metodología."/>
    <w:p>
      <w:pPr>
        <w:pStyle w:val="Heading2"/>
      </w:pPr>
      <w:r>
        <w:t xml:space="preserve">Metodología.</w:t>
      </w:r>
    </w:p>
    <w:p>
      <w:pPr>
        <w:pStyle w:val="FirstParagraph"/>
      </w:pPr>
      <w:r>
        <w:t xml:space="preserve">El método que hemos utilizado es el siguiente, enumerado según ha ocurrido:</w:t>
      </w:r>
    </w:p>
    <w:p>
      <w:pPr>
        <w:numPr>
          <w:ilvl w:val="0"/>
          <w:numId w:val="1001"/>
        </w:numPr>
      </w:pPr>
      <w:r>
        <w:t xml:space="preserve">En primer lugar, hemos aislado los datos de</w:t>
      </w:r>
      <w:r>
        <w:t xml:space="preserve"> </w:t>
      </w:r>
      <w:hyperlink r:id="rId22">
        <w:r>
          <w:rPr>
            <w:rStyle w:val="Hyperlink"/>
          </w:rPr>
          <w:t xml:space="preserve">https://www.epa.gov/system/files/other-files/2023-02/Lab_Results_Air.csv</w:t>
        </w:r>
      </w:hyperlink>
      <w:r>
        <w:t xml:space="preserve"> </w:t>
      </w:r>
      <w:r>
        <w:t xml:space="preserve">(la base de datos que utilizaremos) según su ubicación, obteniendo sendos archivos CSV para cada lugar.</w:t>
      </w:r>
    </w:p>
    <w:p>
      <w:pPr>
        <w:numPr>
          <w:ilvl w:val="1"/>
          <w:numId w:val="1002"/>
        </w:numPr>
        <w:pStyle w:val="Compact"/>
      </w:pPr>
      <w:r>
        <w:t xml:space="preserve">Lugar 1.</w:t>
      </w:r>
    </w:p>
    <w:p>
      <w:pPr>
        <w:numPr>
          <w:ilvl w:val="1"/>
          <w:numId w:val="1002"/>
        </w:numPr>
        <w:pStyle w:val="Compact"/>
      </w:pPr>
      <w:r>
        <w:t xml:space="preserve">Lugar 2.</w:t>
      </w:r>
    </w:p>
    <w:p>
      <w:pPr>
        <w:numPr>
          <w:ilvl w:val="1"/>
          <w:numId w:val="1002"/>
        </w:numPr>
        <w:pStyle w:val="Compact"/>
      </w:pPr>
      <w:r>
        <w:t xml:space="preserve">Lugar 3.</w:t>
      </w:r>
    </w:p>
    <w:p>
      <w:pPr>
        <w:numPr>
          <w:ilvl w:val="1"/>
          <w:numId w:val="1002"/>
        </w:numPr>
        <w:pStyle w:val="Compact"/>
      </w:pPr>
      <w:r>
        <w:t xml:space="preserve">Lugar 4.</w:t>
      </w:r>
    </w:p>
    <w:p>
      <w:pPr>
        <w:numPr>
          <w:ilvl w:val="1"/>
          <w:numId w:val="1002"/>
        </w:numPr>
        <w:pStyle w:val="Compact"/>
      </w:pPr>
      <w:r>
        <w:t xml:space="preserve">Lugar 5.</w:t>
      </w:r>
    </w:p>
    <w:p>
      <w:pPr>
        <w:numPr>
          <w:ilvl w:val="1"/>
          <w:numId w:val="1002"/>
        </w:numPr>
        <w:pStyle w:val="Compact"/>
      </w:pPr>
      <w:r>
        <w:t xml:space="preserve">Lugar 6.</w:t>
      </w:r>
    </w:p>
    <w:p>
      <w:pPr>
        <w:numPr>
          <w:ilvl w:val="1"/>
          <w:numId w:val="1002"/>
        </w:numPr>
        <w:pStyle w:val="Compact"/>
      </w:pPr>
      <w:r>
        <w:t xml:space="preserve">Lugar 7.</w:t>
      </w:r>
    </w:p>
    <w:p>
      <w:pPr>
        <w:numPr>
          <w:ilvl w:val="1"/>
          <w:numId w:val="1002"/>
        </w:numPr>
        <w:pStyle w:val="Compact"/>
      </w:pPr>
      <w:r>
        <w:t xml:space="preserve">Lugar 8.</w:t>
      </w:r>
    </w:p>
    <w:p>
      <w:pPr>
        <w:numPr>
          <w:ilvl w:val="0"/>
          <w:numId w:val="1001"/>
        </w:numPr>
      </w:pPr>
      <w:r>
        <w:t xml:space="preserve">Hemos creado una columna extra en cada CSV, llamada</w:t>
      </w:r>
      <w:r>
        <w:t xml:space="preserve"> </w:t>
      </w:r>
      <w:r>
        <w:rPr>
          <w:iCs/>
          <w:i/>
        </w:rPr>
        <w:t xml:space="preserve">Differential</w:t>
      </w:r>
      <w:r>
        <w:t xml:space="preserve">, en la que hemos puesto la diferencia (en días) entre la medición y el accidente. Así podremos comparar la expansión del Benceno en el tiempo.</w:t>
      </w:r>
    </w:p>
    <w:p>
      <w:pPr>
        <w:numPr>
          <w:ilvl w:val="0"/>
          <w:numId w:val="1001"/>
        </w:numPr>
      </w:pPr>
      <w:r>
        <w:t xml:space="preserve">Importamos los datos en R utilizando la librería</w:t>
      </w:r>
      <w:r>
        <w:t xml:space="preserve"> </w:t>
      </w:r>
      <w:r>
        <w:rPr>
          <w:rStyle w:val="VerbatimChar"/>
        </w:rPr>
        <w:t xml:space="preserve">readr</w:t>
      </w:r>
      <w:r>
        <w:t xml:space="preserve"> </w:t>
      </w:r>
      <w:r>
        <w:t xml:space="preserve">y, en concreto, su instrucción</w:t>
      </w:r>
      <w:r>
        <w:t xml:space="preserve"> </w:t>
      </w:r>
      <w:r>
        <w:rPr>
          <w:rStyle w:val="VerbatimChar"/>
        </w:rPr>
        <w:t xml:space="preserve">import_csv</w:t>
      </w:r>
      <w:r>
        <w:t xml:space="preserve">. Así, podremos trabajar con ellos en R.</w:t>
      </w:r>
    </w:p>
    <w:p>
      <w:pPr>
        <w:numPr>
          <w:ilvl w:val="0"/>
          <w:numId w:val="1001"/>
        </w:numPr>
      </w:pPr>
      <w:r>
        <w:t xml:space="preserve">Al tener los datos importados, utilizaremos el comando</w:t>
      </w:r>
      <w:r>
        <w:t xml:space="preserve"> </w:t>
      </w:r>
      <w:r>
        <w:rPr>
          <w:rStyle w:val="VerbatimChar"/>
        </w:rPr>
        <w:t xml:space="preserve">mean()</w:t>
      </w:r>
      <w:r>
        <w:t xml:space="preserve"> </w:t>
      </w:r>
      <w:r>
        <w:t xml:space="preserve">para calcular la media de un conjunto de datos.</w:t>
      </w:r>
    </w:p>
    <w:p>
      <w:pPr>
        <w:numPr>
          <w:ilvl w:val="0"/>
          <w:numId w:val="1001"/>
        </w:numPr>
      </w:pPr>
      <w:r>
        <w:t xml:space="preserve">Podemos también ver a tendencia de esos datos calculando una</w:t>
      </w:r>
      <w:r>
        <w:t xml:space="preserve"> </w:t>
      </w:r>
      <w:r>
        <w:rPr>
          <w:iCs/>
          <w:i/>
        </w:rPr>
        <w:t xml:space="preserve">recta de ajuste</w:t>
      </w:r>
      <w:r>
        <w:t xml:space="preserve"> </w:t>
      </w:r>
      <w:r>
        <w:t xml:space="preserve">de los datos que obtenemos. Así podremos comprobar en qué zonas se ha pasado el pico de concentración, disminuyendo esta, y en cuáles no.</w:t>
      </w:r>
    </w:p>
    <w:p>
      <w:pPr>
        <w:numPr>
          <w:ilvl w:val="0"/>
          <w:numId w:val="1001"/>
        </w:numPr>
      </w:pPr>
      <w:r>
        <w:t xml:space="preserve">Por último, concluiremos nuestra investigación dando cuenta de los resultados que obtenemos.</w:t>
      </w:r>
    </w:p>
    <w:bookmarkStart w:id="23" w:name="creación-del-algoritmo."/>
    <w:p>
      <w:pPr>
        <w:pStyle w:val="Heading3"/>
      </w:pPr>
      <w:r>
        <w:t xml:space="preserve">Creación del algoritmo.</w:t>
      </w:r>
    </w:p>
    <w:p>
      <w:pPr>
        <w:pStyle w:val="FirstParagraph"/>
      </w:pPr>
      <w:r>
        <w:t xml:space="preserve">Primero, declaramos las librerías utilizadas y modificamos el directorio de trabajo del programa.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"~/src/labstat"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Una vez realizada la parte declarativa, introducimos los datos obtenidos.</w:t>
      </w:r>
    </w:p>
    <w:p>
      <w:pPr>
        <w:pStyle w:val="SourceCode"/>
      </w:pPr>
      <w:r>
        <w:rPr>
          <w:rStyle w:val="NormalTok"/>
        </w:rPr>
        <w:t xml:space="preserve">a01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"data/ubi/A-01.csv"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"data/ubi/UW.csv"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"data/ubi/DW.csv"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"data/ubi/WA-01.csv"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"data/ubi/WA-02.csv"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wa3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"data/ubi/WA-03.csv"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wa4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"data/ubi/WA-04.csv"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wa5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"data/ubi/WA-05.csv"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Ahora podemos trabajar con estos datos desde R. Podemos ver los datos con el comando de R: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(a01)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(uw)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(dw)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(wa1)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(wa2)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(wa3)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(wa4)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(wa5)</w:t>
      </w:r>
    </w:p>
    <w:p>
      <w:pPr>
        <w:pStyle w:val="FirstParagraph"/>
      </w:pPr>
      <w:r>
        <w:t xml:space="preserve">Obtenemos la media de cada conjunto de datos con el comando</w:t>
      </w:r>
      <w:r>
        <w:t xml:space="preserve"> </w:t>
      </w:r>
      <w:r>
        <w:rPr>
          <w:rStyle w:val="VerbatimChar"/>
        </w:rPr>
        <w:t xml:space="preserve">mean()</w:t>
      </w:r>
      <w:r>
        <w:t xml:space="preserve">. Además, podemos crear una línea de tendencia de los datos.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(a01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Result_Final_Txt)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(uw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Result_Final_Txt)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Result_Final_Txt)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(wa1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Result_Final_Txt)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(wa2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Result_Final_Txt)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(wa3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Result_Final_Txt)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(wa4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Result_Final_Txt)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(wa5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Result_Final_Txt)</w:t>
      </w:r>
    </w:p>
    <w:p>
      <w:pPr>
        <w:pStyle w:val="FirstParagraph"/>
      </w:pPr>
      <w:r>
        <w:t xml:space="preserve">Dicha línea la creamos del modo siguiente:</w:t>
      </w:r>
    </w:p>
    <w:p>
      <w:pPr>
        <w:numPr>
          <w:ilvl w:val="0"/>
          <w:numId w:val="1003"/>
        </w:numPr>
        <w:pStyle w:val="Compact"/>
      </w:pPr>
      <w:r>
        <w:t xml:space="preserve">Utilizamos el comando</w:t>
      </w:r>
      <w:r>
        <w:t xml:space="preserve"> </w:t>
      </w:r>
      <w:r>
        <w:rPr>
          <w:rStyle w:val="VerbatimChar"/>
        </w:rPr>
        <w:t xml:space="preserve">plot()</w:t>
      </w:r>
      <w:r>
        <w:t xml:space="preserve"> </w:t>
      </w:r>
      <w:r>
        <w:t xml:space="preserve">para hacer un gráfico de los datos.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(a01)</w:t>
      </w:r>
    </w:p>
    <w:p>
      <w:pPr>
        <w:numPr>
          <w:ilvl w:val="0"/>
          <w:numId w:val="1004"/>
        </w:numPr>
        <w:pStyle w:val="Compact"/>
      </w:pPr>
      <w:r>
        <w:t xml:space="preserve">Utilizamos posteriormente el comando</w:t>
      </w:r>
      <w:r>
        <w:t xml:space="preserve"> </w:t>
      </w:r>
      <w:r>
        <w:rPr>
          <w:rStyle w:val="VerbatimChar"/>
        </w:rPr>
        <w:t xml:space="preserve">abline(lm())</w:t>
      </w:r>
      <w:r>
        <w:t xml:space="preserve"> </w:t>
      </w:r>
      <w:r>
        <w:t xml:space="preserve">para que en la gráfica se vea la línea de tendencia. Veremos así si la correlación es positiva o negativa según la pendiente.</w:t>
      </w:r>
    </w:p>
    <w:p>
      <w:pPr>
        <w:pStyle w:val="SourceCode"/>
      </w:pP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(a01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Result_Final_Txt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a01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Differential))</w:t>
      </w:r>
    </w:p>
    <w:p>
      <w:pPr>
        <w:numPr>
          <w:ilvl w:val="0"/>
          <w:numId w:val="1005"/>
        </w:numPr>
        <w:pStyle w:val="Compact"/>
      </w:pPr>
      <w:r>
        <w:t xml:space="preserve">Como tenemos los datos separados según la ubicación, podemos saber dónde sube la concentración de Benceno y donde baja, así como uicar en el mapa los lugares de medición.</w:t>
      </w:r>
    </w:p>
    <w:bookmarkEnd w:id="23"/>
    <w:bookmarkEnd w:id="24"/>
    <w:bookmarkStart w:id="33" w:name="análisis-de-los-datos-obtenidos."/>
    <w:p>
      <w:pPr>
        <w:pStyle w:val="Heading2"/>
      </w:pPr>
      <w:r>
        <w:t xml:space="preserve">Análisis de los datos obtenidos.</w:t>
      </w:r>
    </w:p>
    <w:p>
      <w:pPr>
        <w:pStyle w:val="FirstParagraph"/>
      </w:pPr>
      <w:r>
        <w:t xml:space="preserve">Hemos obtenido las siguientes gráficas con sus rectas de ajuste:</w:t>
      </w:r>
    </w:p>
    <w:p>
      <w:pPr>
        <w:numPr>
          <w:ilvl w:val="0"/>
          <w:numId w:val="1006"/>
        </w:numPr>
        <w:pStyle w:val="Compact"/>
      </w:pPr>
      <w:r>
        <w:t xml:space="preserve">Conjunto de datos A-01:</w:t>
      </w:r>
      <w:r>
        <w:t xml:space="preserve"> </w:t>
      </w:r>
      <w:r>
        <w:drawing>
          <wp:inline>
            <wp:extent cx="3927107" cy="3705726"/>
            <wp:effectExtent b="0" l="0" r="0" t="0"/>
            <wp:docPr descr="a01" title="" id="1" name="Picture"/>
            <a:graphic>
              <a:graphicData uri="http://schemas.openxmlformats.org/drawingml/2006/picture">
                <pic:pic>
                  <pic:nvPicPr>
                    <pic:cNvPr descr="img/a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107" cy="3705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Conjunto de datos UW:</w:t>
      </w:r>
      <w:r>
        <w:t xml:space="preserve"> </w:t>
      </w:r>
      <w:r>
        <w:drawing>
          <wp:inline>
            <wp:extent cx="3927107" cy="3705726"/>
            <wp:effectExtent b="0" l="0" r="0" t="0"/>
            <wp:docPr descr="uw" title="" id="1" name="Picture"/>
            <a:graphic>
              <a:graphicData uri="http://schemas.openxmlformats.org/drawingml/2006/picture">
                <pic:pic>
                  <pic:nvPicPr>
                    <pic:cNvPr descr="img/uw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107" cy="3705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Conjunto de datos DW:</w:t>
      </w:r>
      <w:r>
        <w:t xml:space="preserve"> </w:t>
      </w:r>
      <w:r>
        <w:drawing>
          <wp:inline>
            <wp:extent cx="3927107" cy="3705726"/>
            <wp:effectExtent b="0" l="0" r="0" t="0"/>
            <wp:docPr descr="dw" title="" id="1" name="Picture"/>
            <a:graphic>
              <a:graphicData uri="http://schemas.openxmlformats.org/drawingml/2006/picture">
                <pic:pic>
                  <pic:nvPicPr>
                    <pic:cNvPr descr="img/dw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107" cy="3705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Conjunto de datos WA-01:</w:t>
      </w:r>
      <w:r>
        <w:t xml:space="preserve"> </w:t>
      </w:r>
      <w:r>
        <w:drawing>
          <wp:inline>
            <wp:extent cx="3927107" cy="3705726"/>
            <wp:effectExtent b="0" l="0" r="0" t="0"/>
            <wp:docPr descr="wa1" title="" id="1" name="Picture"/>
            <a:graphic>
              <a:graphicData uri="http://schemas.openxmlformats.org/drawingml/2006/picture">
                <pic:pic>
                  <pic:nvPicPr>
                    <pic:cNvPr descr="img/w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107" cy="3705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Conjunto de datos WA-02:</w:t>
      </w:r>
      <w:r>
        <w:t xml:space="preserve"> </w:t>
      </w:r>
      <w:r>
        <w:drawing>
          <wp:inline>
            <wp:extent cx="3927107" cy="3705726"/>
            <wp:effectExtent b="0" l="0" r="0" t="0"/>
            <wp:docPr descr="wa2" title="" id="1" name="Picture"/>
            <a:graphic>
              <a:graphicData uri="http://schemas.openxmlformats.org/drawingml/2006/picture">
                <pic:pic>
                  <pic:nvPicPr>
                    <pic:cNvPr descr="img/wa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107" cy="3705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Conjunto de datos WA-03:</w:t>
      </w:r>
      <w:r>
        <w:t xml:space="preserve"> </w:t>
      </w:r>
      <w:r>
        <w:drawing>
          <wp:inline>
            <wp:extent cx="3927107" cy="3705726"/>
            <wp:effectExtent b="0" l="0" r="0" t="0"/>
            <wp:docPr descr="wa3" title="" id="1" name="Picture"/>
            <a:graphic>
              <a:graphicData uri="http://schemas.openxmlformats.org/drawingml/2006/picture">
                <pic:pic>
                  <pic:nvPicPr>
                    <pic:cNvPr descr="img/wa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107" cy="3705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Conjunto de datos WA-04:</w:t>
      </w:r>
      <w:r>
        <w:t xml:space="preserve"> </w:t>
      </w:r>
      <w:r>
        <w:drawing>
          <wp:inline>
            <wp:extent cx="3927107" cy="3705726"/>
            <wp:effectExtent b="0" l="0" r="0" t="0"/>
            <wp:docPr descr="wa4" title="" id="1" name="Picture"/>
            <a:graphic>
              <a:graphicData uri="http://schemas.openxmlformats.org/drawingml/2006/picture">
                <pic:pic>
                  <pic:nvPicPr>
                    <pic:cNvPr descr="img/wa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107" cy="3705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Conjunto de datos WA-05:</w:t>
      </w:r>
      <w:r>
        <w:t xml:space="preserve"> </w:t>
      </w:r>
      <w:r>
        <w:drawing>
          <wp:inline>
            <wp:extent cx="3927107" cy="3705726"/>
            <wp:effectExtent b="0" l="0" r="0" t="0"/>
            <wp:docPr descr="wa5" title="" id="1" name="Picture"/>
            <a:graphic>
              <a:graphicData uri="http://schemas.openxmlformats.org/drawingml/2006/picture">
                <pic:pic>
                  <pic:nvPicPr>
                    <pic:cNvPr descr="img/wa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107" cy="3705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A la vista de las gráficas</w:t>
      </w:r>
      <w:r>
        <w:t xml:space="preserve"> </w:t>
      </w:r>
      <w:r>
        <w:t xml:space="preserve">vemos, en primer lugar, que la correlación de los datos es muy baja y casi nula,</w:t>
      </w:r>
      <w:r>
        <w:t xml:space="preserve"> </w:t>
      </w:r>
      <w:r>
        <w:t xml:space="preserve">lo cual da cuenta de la relativa fiabilidad de las rectas de ajuste. Vemos</w:t>
      </w:r>
      <w:r>
        <w:t xml:space="preserve"> </w:t>
      </w:r>
      <w:r>
        <w:t xml:space="preserve">puntos extraordinariamente separados del resto de mediciones, lo cual propicia</w:t>
      </w:r>
      <w:r>
        <w:t xml:space="preserve"> </w:t>
      </w:r>
      <w:r>
        <w:t xml:space="preserve">que la dispersión sea muy alta. Esta alta dispersión es debida a pocos datos, lo</w:t>
      </w:r>
      <w:r>
        <w:t xml:space="preserve"> </w:t>
      </w:r>
      <w:r>
        <w:t xml:space="preserve">cual podría indicar que las medidas no se han realizado correctamente, en línea</w:t>
      </w:r>
      <w:r>
        <w:t xml:space="preserve"> </w:t>
      </w:r>
      <w:r>
        <w:t xml:space="preserve">con lo que el artículo que nos ocupa sostiene. Sin embargo, podemos sacar</w:t>
      </w:r>
      <w:r>
        <w:t xml:space="preserve"> </w:t>
      </w:r>
      <w:r>
        <w:t xml:space="preserve">conclusiones interesantes.</w:t>
      </w:r>
    </w:p>
    <w:p>
      <w:pPr>
        <w:numPr>
          <w:ilvl w:val="0"/>
          <w:numId w:val="1007"/>
        </w:numPr>
        <w:pStyle w:val="Compact"/>
      </w:pPr>
      <w:r>
        <w:t xml:space="preserve">Hay varios conjuntos en los que la tendencia alcista de la concentración de</w:t>
      </w:r>
      <w:r>
        <w:t xml:space="preserve"> </w:t>
      </w:r>
      <w:r>
        <w:t xml:space="preserve">Benceno es clara, aun eliminando los datos dispersos. Esto nos permite concluir</w:t>
      </w:r>
      <w:r>
        <w:t xml:space="preserve"> </w:t>
      </w:r>
      <w:r>
        <w:t xml:space="preserve">que puede ser pronto para volver a la vida normal en el área, al menos en lo</w:t>
      </w:r>
      <w:r>
        <w:t xml:space="preserve"> </w:t>
      </w:r>
      <w:r>
        <w:t xml:space="preserve">que al benceno atañe.</w:t>
      </w:r>
    </w:p>
    <w:p>
      <w:pPr>
        <w:numPr>
          <w:ilvl w:val="0"/>
          <w:numId w:val="1007"/>
        </w:numPr>
        <w:pStyle w:val="Compact"/>
      </w:pPr>
      <w:r>
        <w:t xml:space="preserve">Los conjuntos de datos denominados con la etiqueta</w:t>
      </w:r>
      <w:r>
        <w:t xml:space="preserve"> </w:t>
      </w:r>
      <w:r>
        <w:rPr>
          <w:iCs/>
          <w:i/>
        </w:rPr>
        <w:t xml:space="preserve">WA-XX</w:t>
      </w:r>
      <w:r>
        <w:t xml:space="preserve"> </w:t>
      </w:r>
      <w:r>
        <w:t xml:space="preserve">tienen en la</w:t>
      </w:r>
      <w:r>
        <w:t xml:space="preserve"> </w:t>
      </w:r>
      <w:r>
        <w:t xml:space="preserve">última medición un dato claramente mayor al resto. Esto podría deberse a un</w:t>
      </w:r>
      <w:r>
        <w:t xml:space="preserve"> </w:t>
      </w:r>
      <w:r>
        <w:t xml:space="preserve">escape o, muy probablemente, a un fallo de medición. Recordemos que trabajamos</w:t>
      </w:r>
      <w:r>
        <w:t xml:space="preserve"> </w:t>
      </w:r>
      <w:r>
        <w:t xml:space="preserve">sobre resultados aún preliminares.</w:t>
      </w:r>
    </w:p>
    <w:bookmarkEnd w:id="33"/>
    <w:bookmarkStart w:id="34" w:name="conclusiones."/>
    <w:p>
      <w:pPr>
        <w:pStyle w:val="Heading2"/>
      </w:pPr>
      <w:r>
        <w:t xml:space="preserve">Conclusiones.</w:t>
      </w:r>
    </w:p>
    <w:p>
      <w:pPr>
        <w:pStyle w:val="FirstParagraph"/>
      </w:pPr>
      <w:r>
        <w:t xml:space="preserve">Se han expuesto en el apatado</w:t>
      </w:r>
      <w:r>
        <w:t xml:space="preserve"> </w:t>
      </w:r>
      <w:r>
        <w:t xml:space="preserve">anterior algunas cuestiones relevantes que se han encontrado al tratar los datos</w:t>
      </w:r>
      <w:r>
        <w:t xml:space="preserve"> </w:t>
      </w:r>
      <w:r>
        <w:t xml:space="preserve">del descarrilamiento del tren de mercancías en Ohio. Este incidente ha puesto a</w:t>
      </w:r>
      <w:r>
        <w:t xml:space="preserve"> </w:t>
      </w:r>
      <w:r>
        <w:t xml:space="preserve">prueba el sistema de emergencias estadounidense y algunas voces de la población</w:t>
      </w:r>
      <w:r>
        <w:t xml:space="preserve"> </w:t>
      </w:r>
      <w:r>
        <w:t xml:space="preserve">local consideran que la respuesta por parte del sistema no ha sido del todo</w:t>
      </w:r>
      <w:r>
        <w:t xml:space="preserve"> </w:t>
      </w:r>
      <w:r>
        <w:t xml:space="preserve">satisfactoria.</w:t>
      </w:r>
    </w:p>
    <w:p>
      <w:pPr>
        <w:pStyle w:val="BodyText"/>
      </w:pPr>
      <w:r>
        <w:t xml:space="preserve">En base a los datos oficiales</w:t>
      </w:r>
      <w:r>
        <w:t xml:space="preserve"> </w:t>
      </w:r>
      <w:r>
        <w:t xml:space="preserve">aportados por la EPA, todavía podemos ver como la concentración de ciertos</w:t>
      </w:r>
      <w:r>
        <w:t xml:space="preserve"> </w:t>
      </w:r>
      <w:r>
        <w:t xml:space="preserve">compuestos es nociva para los seres vivos y, por tanto, el área de</w:t>
      </w:r>
      <w:r>
        <w:t xml:space="preserve"> </w:t>
      </w:r>
      <w:r>
        <w:rPr>
          <w:iCs/>
          <w:i/>
        </w:rPr>
        <w:t xml:space="preserve">East</w:t>
      </w:r>
      <w:r>
        <w:rPr>
          <w:iCs/>
          <w:i/>
        </w:rPr>
        <w:t xml:space="preserve"> </w:t>
      </w:r>
      <w:r>
        <w:rPr>
          <w:iCs/>
          <w:i/>
        </w:rPr>
        <w:t xml:space="preserve">Palestine</w:t>
      </w:r>
      <w:r>
        <w:t xml:space="preserve"> </w:t>
      </w:r>
      <w:r>
        <w:t xml:space="preserve">es inhabitable. Los datos aportados, sin embargo, están lejos de ser</w:t>
      </w:r>
      <w:r>
        <w:t xml:space="preserve"> </w:t>
      </w:r>
      <w:r>
        <w:t xml:space="preserve">totalmente correctos, según algunos estudios independientes. Por ende,</w:t>
      </w:r>
      <w:r>
        <w:t xml:space="preserve"> </w:t>
      </w:r>
      <w:r>
        <w:t xml:space="preserve">convendría esperar a tener evidencias de la seguridad del lugar y, tal y como</w:t>
      </w:r>
      <w:r>
        <w:t xml:space="preserve"> </w:t>
      </w:r>
      <w:r>
        <w:t xml:space="preserve">piden ciertas voces a nivel nacional, depurar responsabilidades ante la oleada</w:t>
      </w:r>
      <w:r>
        <w:t xml:space="preserve"> </w:t>
      </w:r>
      <w:r>
        <w:t xml:space="preserve">reciente de este tipo de sucesos en el país.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hyperlink" Id="rId22" Target="https://www.epa.gov/system/files/other-files/2023-02/Lab_Results_Air.csv" TargetMode="External" /><Relationship Type="http://schemas.openxmlformats.org/officeDocument/2006/relationships/hyperlink" Id="rId20" Target="https://www.nature.com/articles/d41586-023-00820-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www.epa.gov/system/files/other-files/2023-02/Lab_Results_Air.csv" TargetMode="External" /><Relationship Type="http://schemas.openxmlformats.org/officeDocument/2006/relationships/hyperlink" Id="rId20" Target="https://www.nature.com/articles/d41586-023-00820-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de estadística</dc:title>
  <dc:creator>Jesús María Mora Mur</dc:creator>
  <cp:keywords/>
  <dcterms:created xsi:type="dcterms:W3CDTF">2023-04-04T15:01:49Z</dcterms:created>
  <dcterms:modified xsi:type="dcterms:W3CDTF">2023-04-04T15:01:49Z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linkcolor">
    <vt:lpwstr>blue</vt:lpwstr>
  </property>
  <property fmtid="{D5CDD505-2E9C-101B-9397-08002B2CF9AE}" pid="4" name="output">
    <vt:lpwstr/>
  </property>
  <property fmtid="{D5CDD505-2E9C-101B-9397-08002B2CF9AE}" pid="5" name="urlcolor">
    <vt:lpwstr>blue</vt:lpwstr>
  </property>
</Properties>
</file>