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TMX Enterprise AI Reference Platform</w:t>
      </w:r>
    </w:p>
    <w:p>
      <w:pPr>
        <w:jc w:val="center"/>
      </w:pPr>
      <w:r>
        <w:rPr>
          <w:color w:val="555555"/>
          <w:sz w:val="44"/>
        </w:rPr>
        <w:t>Manual de Usuario</w:t>
      </w:r>
    </w:p>
    <w:p/>
    <w:p/>
    <w:tbl>
      <w:tblPr>
        <w:tblW w:type="auto" w:w="0"/>
        <w:jc w:val="center"/>
        <w:tblLook w:firstColumn="1" w:firstRow="1" w:lastColumn="0" w:lastRow="0" w:noHBand="0" w:noVBand="1" w:val="04A0"/>
      </w:tblPr>
      <w:tblGrid>
        <w:gridCol w:w="4703"/>
        <w:gridCol w:w="4703"/>
      </w:tblGrid>
      <w:tr>
        <w:tc>
          <w:tcPr>
            <w:tcW w:type="dxa" w:w="2268"/>
          </w:tcPr>
          <w:p>
            <w:pPr>
              <w:jc w:val="center"/>
            </w:pPr>
            <w:r/>
            <w:r>
              <w:rPr>
                <w:b/>
              </w:rPr>
              <w:t>Versión</w:t>
            </w:r>
          </w:p>
        </w:tc>
        <w:tc>
          <w:tcPr>
            <w:tcW w:type="dxa" w:w="5669"/>
          </w:tcPr>
          <w:p>
            <w:pPr>
              <w:jc w:val="center"/>
            </w:pPr>
            <w:r/>
            <w:r>
              <w:t>1.0</w:t>
            </w:r>
          </w:p>
        </w:tc>
      </w:tr>
      <w:tr>
        <w:tc>
          <w:tcPr>
            <w:tcW w:type="dxa" w:w="2268"/>
          </w:tcPr>
          <w:p>
            <w:pPr>
              <w:jc w:val="center"/>
            </w:pPr>
            <w:r/>
            <w:r>
              <w:rPr>
                <w:b/>
              </w:rPr>
              <w:t>Fecha</w:t>
            </w:r>
          </w:p>
        </w:tc>
        <w:tc>
          <w:tcPr>
            <w:tcW w:type="dxa" w:w="5669"/>
          </w:tcPr>
          <w:p>
            <w:pPr>
              <w:jc w:val="center"/>
            </w:pPr>
            <w:r/>
            <w:r>
              <w:t>2026-08-11</w:t>
            </w:r>
          </w:p>
        </w:tc>
      </w:tr>
      <w:tr>
        <w:tc>
          <w:tcPr>
            <w:tcW w:type="dxa" w:w="2268"/>
          </w:tcPr>
          <w:p>
            <w:pPr>
              <w:jc w:val="center"/>
            </w:pPr>
            <w:r/>
            <w:r>
              <w:rPr>
                <w:b/>
              </w:rPr>
              <w:t>Autor</w:t>
            </w:r>
          </w:p>
        </w:tc>
        <w:tc>
          <w:tcPr>
            <w:tcW w:type="dxa" w:w="5669"/>
          </w:tcPr>
          <w:p>
            <w:pPr>
              <w:jc w:val="center"/>
            </w:pPr>
            <w:r/>
            <w:r>
              <w:t>Miguel Marin</w:t>
            </w:r>
          </w:p>
        </w:tc>
      </w:tr>
      <w:tr>
        <w:tc>
          <w:tcPr>
            <w:tcW w:type="dxa" w:w="2268"/>
          </w:tcPr>
          <w:p>
            <w:pPr>
              <w:jc w:val="center"/>
            </w:pPr>
            <w:r/>
            <w:r>
              <w:rPr>
                <w:b/>
              </w:rPr>
              <w:t>Proyecto</w:t>
            </w:r>
          </w:p>
        </w:tc>
        <w:tc>
          <w:tcPr>
            <w:tcW w:type="dxa" w:w="5669"/>
          </w:tcPr>
          <w:p>
            <w:pPr>
              <w:jc w:val="center"/>
            </w:pPr>
            <w:r/>
            <w:r>
              <w:t>TMX Enterprise AI Reference Platform (plataforma de referencia académica)</w:t>
            </w:r>
          </w:p>
        </w:tc>
      </w:tr>
    </w:tbl>
    <w:p/>
    <w:p/>
    <w:p>
      <w:pPr>
        <w:jc w:val="center"/>
      </w:pPr>
      <w:r>
        <w:rPr>
          <w:i/>
          <w:color w:val="555555"/>
          <w:sz w:val="20"/>
        </w:rPr>
        <w:t>Proyecto de referencia académico. Toda póliza, siniestro, broker, cliente y comisión mencionados en este manual es sintético — el sistema no contiene datos reales de clientes ni de negocio.</w:t>
      </w:r>
    </w:p>
    <w:p>
      <w:r>
        <w:br w:type="page"/>
      </w:r>
    </w:p>
    <w:p>
      <w:pPr>
        <w:pStyle w:val="Heading1"/>
      </w:pPr>
      <w:r>
        <w:rPr>
          <w:color w:val="1F3A5F"/>
        </w:rPr>
        <w:t>Tabla de Contenidos</w:t>
      </w:r>
    </w:p>
    <w:p>
      <w:r>
        <w:rPr>
          <w:i/>
        </w:rPr>
        <w:t>(Este campo se actualiza automáticamente en Microsoft Word: clic derecho sobre la tabla → Actualizar campo → Actualizar toda la tabla.)</w:t>
      </w:r>
    </w:p>
    <w:p>
      <w:r>
        <w:fldChar w:fldCharType="begin"/>
        <w:instrText xml:space="preserve">TOC \o "1-3" \h \z \u</w:instrText>
        <w:fldChar w:fldCharType="separate"/>
        <w:t>Presione Ctrl+A y luego F9 en Microsoft Word para generar la tabla de contenidos.</w:t>
        <w:fldChar w:fldCharType="end"/>
      </w:r>
    </w:p>
    <w:p>
      <w:r>
        <w:br w:type="page"/>
      </w:r>
    </w:p>
    <w:p>
      <w:pPr>
        <w:pStyle w:val="Heading1"/>
      </w:pPr>
      <w:r>
        <w:rPr>
          <w:color w:val="1F3A5F"/>
        </w:rPr>
        <w:t>1. Introducción</w:t>
      </w:r>
    </w:p>
    <w:p>
      <w:pPr>
        <w:spacing w:after="160"/>
      </w:pPr>
      <w:r>
        <w:rPr>
          <w:b w:val="0"/>
          <w:i w:val="0"/>
        </w:rPr>
        <w:t>El TMX Enterprise AI Reference Platform es un asistente conversacional que ayuda a los usuarios de negocio a resolver solicitudes relacionadas con seguros a través de una conversación en lenguaje natural, en lugar de tener que navegar por varios formularios o sistemas distintos.</w:t>
      </w:r>
    </w:p>
    <w:p>
      <w:pPr>
        <w:spacing w:after="80"/>
      </w:pPr>
      <w:r>
        <w:rPr>
          <w:b/>
          <w:i w:val="0"/>
        </w:rPr>
        <w:t>¿Qué es el sistema?</w:t>
      </w:r>
    </w:p>
    <w:p>
      <w:pPr>
        <w:spacing w:after="160"/>
      </w:pPr>
      <w:r>
        <w:rPr>
          <w:b w:val="0"/>
          <w:i w:val="0"/>
        </w:rPr>
        <w:t>Es un asistente de chat al que el usuario le escribe lo que necesita, en español o en inglés, y el propio asistente identifica automáticamente el área correspondiente (siniestros, servicios para brokers, o nuevos negocios), solicita únicamente la información que aún falta, y completa la solicitud.</w:t>
      </w:r>
    </w:p>
    <w:p>
      <w:pPr>
        <w:spacing w:after="80"/>
      </w:pPr>
      <w:r>
        <w:rPr>
          <w:b/>
          <w:i w:val="0"/>
        </w:rPr>
        <w:t>¿Para qué sirve?</w:t>
      </w:r>
    </w:p>
    <w:p>
      <w:pPr>
        <w:pStyle w:val="ListBullet"/>
        <w:spacing w:after="80"/>
      </w:pPr>
      <w:r>
        <w:rPr>
          <w:b w:val="0"/>
        </w:rPr>
        <w:t>Ofrece un único punto de entrada conversacional para tres áreas de negocio distintas — el usuario no necesita saber qué sistema o departamento atiende cada tipo de solicitud.</w:t>
      </w:r>
    </w:p>
    <w:p>
      <w:pPr>
        <w:pStyle w:val="ListBullet"/>
        <w:spacing w:after="80"/>
      </w:pPr>
      <w:r>
        <w:rPr>
          <w:b w:val="0"/>
        </w:rPr>
        <w:t>Guía al usuario paso a paso, preguntando solo lo que realmente falta para completar el trámite.</w:t>
      </w:r>
    </w:p>
    <w:p>
      <w:pPr>
        <w:pStyle w:val="ListBullet"/>
        <w:spacing w:after="80"/>
      </w:pPr>
      <w:r>
        <w:rPr>
          <w:b w:val="0"/>
        </w:rPr>
        <w:t>Genera cada respuesta a partir de las propias fuentes de información aprobadas de la plataforma — el asistente no inventa ni supone el estado de una póliza, un pago, una cobertura o una comisión; siempre lo consulta.</w:t>
      </w:r>
    </w:p>
    <w:p>
      <w:pPr>
        <w:spacing w:after="80"/>
      </w:pPr>
      <w:r>
        <w:rPr>
          <w:b/>
          <w:i w:val="0"/>
        </w:rPr>
        <w:t>¿Qué problemas resuelve?</w:t>
      </w:r>
    </w:p>
    <w:p>
      <w:pPr>
        <w:pStyle w:val="ListBullet"/>
        <w:spacing w:after="80"/>
      </w:pPr>
      <w:r>
        <w:rPr>
          <w:b w:val="0"/>
        </w:rPr>
        <w:t>Evita que el usuario tenga que repetir información ya proporcionada, incluso si cambia de tema dentro de la misma conversación (ver Escenario 5).</w:t>
      </w:r>
    </w:p>
    <w:p>
      <w:pPr>
        <w:pStyle w:val="ListBullet"/>
        <w:spacing w:after="80"/>
      </w:pPr>
      <w:r>
        <w:rPr>
          <w:b w:val="0"/>
        </w:rPr>
        <w:t>Reduce la necesidad de conocer formularios o números de identificación internos — por ejemplo, basta con dar el nombre de un broker para que el sistema lo identifique.</w:t>
      </w:r>
    </w:p>
    <w:p>
      <w:pPr>
        <w:pStyle w:val="ListBullet"/>
        <w:spacing w:after="80"/>
      </w:pPr>
      <w:r>
        <w:rPr>
          <w:b w:val="0"/>
        </w:rPr>
        <w:t>Guarda automáticamente cada conversación, de modo que el usuario puede retomarla más adelante.</w:t>
      </w:r>
    </w:p>
    <w:p>
      <w:pPr>
        <w:pStyle w:val="Heading1"/>
      </w:pPr>
      <w:r>
        <w:rPr>
          <w:color w:val="1F3A5F"/>
        </w:rPr>
        <w:t>2. ¿Quién debe utilizar este sistema?</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2551"/>
            <w:shd w:val="clear" w:color="auto" w:fill="1F3A5F"/>
          </w:tcPr>
          <w:p>
            <w:r/>
            <w:r>
              <w:rPr>
                <w:b/>
                <w:color w:val="FFFFFF"/>
              </w:rPr>
              <w:t>Perfil de usuario</w:t>
            </w:r>
          </w:p>
        </w:tc>
        <w:tc>
          <w:tcPr>
            <w:tcW w:type="dxa" w:w="6236"/>
            <w:shd w:val="clear" w:color="auto" w:fill="1F3A5F"/>
          </w:tcPr>
          <w:p>
            <w:r/>
            <w:r>
              <w:rPr>
                <w:b/>
                <w:color w:val="FFFFFF"/>
              </w:rPr>
              <w:t>Cómo utiliza la plataforma</w:t>
            </w:r>
          </w:p>
        </w:tc>
      </w:tr>
      <w:tr>
        <w:tc>
          <w:tcPr>
            <w:tcW w:type="dxa" w:w="2551"/>
          </w:tcPr>
          <w:p>
            <w:r/>
            <w:r>
              <w:t>Personal de Siniestros</w:t>
            </w:r>
          </w:p>
        </w:tc>
        <w:tc>
          <w:tcPr>
            <w:tcW w:type="dxa" w:w="6236"/>
          </w:tcPr>
          <w:p>
            <w:r/>
            <w:r>
              <w:t>Guía a quien reporta un siniestro, o utiliza el asistente para revisar qué información se requiere para registrar un aviso.</w:t>
            </w:r>
          </w:p>
        </w:tc>
      </w:tr>
      <w:tr>
        <w:tc>
          <w:tcPr>
            <w:tcW w:type="dxa" w:w="2551"/>
          </w:tcPr>
          <w:p>
            <w:r/>
            <w:r>
              <w:t>Brokers</w:t>
            </w:r>
          </w:p>
        </w:tc>
        <w:tc>
          <w:tcPr>
            <w:tcW w:type="dxa" w:w="6236"/>
          </w:tcPr>
          <w:p>
            <w:r/>
            <w:r>
              <w:t>Consulta el estado de pólizas o transacciones, y revisa o solicita el pago de sus propias comisiones.</w:t>
            </w:r>
          </w:p>
        </w:tc>
      </w:tr>
      <w:tr>
        <w:tc>
          <w:tcPr>
            <w:tcW w:type="dxa" w:w="2551"/>
          </w:tcPr>
          <w:p>
            <w:r/>
            <w:r>
              <w:t>Área Comercial</w:t>
            </w:r>
          </w:p>
        </w:tc>
        <w:tc>
          <w:tcPr>
            <w:tcW w:type="dxa" w:w="6236"/>
          </w:tcPr>
          <w:p>
            <w:r/>
            <w:r>
              <w:t>Registra una nueva solicitud de seguro comercial (un posible cliente de negocio) para su seguimiento interno.</w:t>
            </w:r>
          </w:p>
        </w:tc>
      </w:tr>
      <w:tr>
        <w:tc>
          <w:tcPr>
            <w:tcW w:type="dxa" w:w="2551"/>
          </w:tcPr>
          <w:p>
            <w:r/>
            <w:r>
              <w:t>Usuarios internos</w:t>
            </w:r>
          </w:p>
        </w:tc>
        <w:tc>
          <w:tcPr>
            <w:tcW w:type="dxa" w:w="6236"/>
          </w:tcPr>
          <w:p>
            <w:r/>
            <w:r>
              <w:t>Cualquier persona de la organización que necesite una respuesta rápida sobre una póliza, siniestro o comisión sintética, sin tener que acceder a un sistema interno independiente.</w:t>
            </w:r>
          </w:p>
        </w:tc>
      </w:tr>
    </w:tbl>
    <w:p>
      <w:pPr>
        <w:spacing w:after="80"/>
      </w:pPr>
    </w:p>
    <w:p>
      <w:pPr>
        <w:spacing w:after="160"/>
      </w:pPr>
      <w:r>
        <w:rPr>
          <w:b w:val="0"/>
          <w:i w:val="0"/>
        </w:rPr>
        <w:t>Esta plataforma es una herramienta interna, orientada a fines demostrativos y académicos. No es una aplicación de autoservicio dirigida al público general.</w:t>
      </w:r>
    </w:p>
    <w:p>
      <w:pPr>
        <w:pStyle w:val="Heading1"/>
      </w:pPr>
      <w:r>
        <w:rPr>
          <w:color w:val="1F3A5F"/>
        </w:rPr>
        <w:t>3. Acceso al sistema</w:t>
      </w:r>
    </w:p>
    <w:p>
      <w:pPr>
        <w:spacing w:after="160"/>
      </w:pPr>
      <w:r>
        <w:rPr>
          <w:b w:val="0"/>
          <w:i w:val="0"/>
        </w:rPr>
        <w:t>Se accede a la plataforma desde un navegador web estándar, en la dirección proporcionada por el responsable del proyecto o del área de sistemas. No requiere instalación alguna.</w:t>
      </w:r>
    </w:p>
    <w:p>
      <w:pPr>
        <w:spacing w:after="160"/>
      </w:pPr>
      <w:r>
        <w:rPr>
          <w:b/>
          <w:i w:val="0"/>
        </w:rPr>
        <w:t>Esta versión del sistema no cuenta con autenticación de usuarios.</w:t>
      </w:r>
      <w:r>
        <w:rPr>
          <w:b w:val="0"/>
          <w:i w:val="0"/>
        </w:rPr>
        <w:t xml:space="preserve"> No existe pantalla de inicio de sesión, usuario ni contraseña. La aplicación asigna automáticamente, la primera vez que se abre, un identificador anónimo y privado al navegador utilizado, de modo que una visita posterior desde el mismo navegador muestre el mismo historial de conversaciones. Este identificador no constituye una cuenta de usuario y no verifica la identidad de quien lo utiliza — no se solicita, intercambia ni almacena ninguna credencial, y por ello este manual no incluye ninguna, ya que no existen.</w:t>
      </w:r>
    </w:p>
    <w:p>
      <w:pPr>
        <w:spacing w:before="120" w:after="200"/>
        <w:ind w:left="283"/>
        <w:pBdr>
          <w:left w:val="single" w:sz="18" w:space="4" w:color="1F3A5F"/>
        </w:pBdr>
        <w:shd w:val="clear" w:color="auto" w:fill="F2F2F2"/>
      </w:pPr>
      <w:r>
        <w:rPr>
          <w:b/>
          <w:i/>
        </w:rPr>
        <w:t xml:space="preserve">Nota: </w:t>
      </w:r>
      <w:r>
        <w:rPr>
          <w:i/>
        </w:rPr>
        <w:t>la ausencia de autenticación es una limitación conocida y explícitamente definida para esta versión académica de la plataforma, no un descuido. Para más información, consulte la documentación dirigida al administrador del sistema.</w:t>
      </w:r>
    </w:p>
    <w:p>
      <w:pPr>
        <w:jc w:val="center"/>
      </w:pPr>
      <w:r>
        <w:drawing>
          <wp:inline xmlns:a="http://schemas.openxmlformats.org/drawingml/2006/main" xmlns:pic="http://schemas.openxmlformats.org/drawingml/2006/picture">
            <wp:extent cx="5486400" cy="3722914"/>
            <wp:docPr id="1" name="Picture 1"/>
            <wp:cNvGraphicFramePr>
              <a:graphicFrameLocks noChangeAspect="1"/>
            </wp:cNvGraphicFramePr>
            <a:graphic>
              <a:graphicData uri="http://schemas.openxmlformats.org/drawingml/2006/picture">
                <pic:pic>
                  <pic:nvPicPr>
                    <pic:cNvPr id="0" name="fig_01_main_screen.png"/>
                    <pic:cNvPicPr/>
                  </pic:nvPicPr>
                  <pic:blipFill>
                    <a:blip r:embed="rId9"/>
                    <a:stretch>
                      <a:fillRect/>
                    </a:stretch>
                  </pic:blipFill>
                  <pic:spPr>
                    <a:xfrm>
                      <a:off x="0" y="0"/>
                      <a:ext cx="5486400" cy="3722914"/>
                    </a:xfrm>
                    <a:prstGeom prst="rect"/>
                  </pic:spPr>
                </pic:pic>
              </a:graphicData>
            </a:graphic>
          </wp:inline>
        </w:drawing>
      </w:r>
    </w:p>
    <w:p>
      <w:pPr>
        <w:spacing w:after="280"/>
        <w:jc w:val="center"/>
      </w:pPr>
      <w:r>
        <w:rPr>
          <w:b/>
        </w:rPr>
        <w:t>Figura 1.</w:t>
      </w:r>
      <w:r>
        <w:t xml:space="preserve"> Pantalla principal de la aplicación (no existe una pantalla de inicio de sesión que capturar).</w:t>
      </w:r>
    </w:p>
    <w:p>
      <w:pPr>
        <w:pStyle w:val="Heading1"/>
      </w:pPr>
      <w:r>
        <w:rPr>
          <w:color w:val="1F3A5F"/>
        </w:rPr>
        <w:t>4. Descripción de la pantalla principal</w:t>
      </w:r>
    </w:p>
    <w:p>
      <w:pPr>
        <w:spacing w:after="160"/>
      </w:pPr>
      <w:r>
        <w:rPr>
          <w:b w:val="0"/>
          <w:i w:val="0"/>
        </w:rPr>
        <w:t>La aplicación es una única pantalla de conversación, dividida en tres áreas visibles al mismo tiempo. No existen otras pantallas o menús además de los descritos a continuación — esta sección documenta únicamente lo que realmente está implementado.</w:t>
      </w:r>
    </w:p>
    <w:p>
      <w:pPr>
        <w:pStyle w:val="Heading2"/>
      </w:pPr>
      <w:r>
        <w:rPr>
          <w:color w:val="1F3A5F"/>
        </w:rPr>
        <w:t>4.1 Panel lateral (izquierda)</w:t>
      </w:r>
    </w:p>
    <w:p>
      <w:pPr>
        <w:pStyle w:val="ListBullet"/>
        <w:spacing w:after="80"/>
      </w:pPr>
      <w:r>
        <w:rPr>
          <w:b/>
        </w:rPr>
        <w:t>Botón "+ Nueva conversación"</w:t>
      </w:r>
      <w:r>
        <w:rPr>
          <w:b w:val="0"/>
        </w:rPr>
        <w:t xml:space="preserve"> — inicia una conversación completamente nueva. La conversación anterior no se elimina; permanece disponible en el historial.</w:t>
      </w:r>
    </w:p>
    <w:p>
      <w:pPr>
        <w:pStyle w:val="ListBullet"/>
        <w:spacing w:after="80"/>
      </w:pPr>
      <w:r>
        <w:rPr>
          <w:b/>
        </w:rPr>
        <w:t>Cuadro de búsqueda</w:t>
      </w:r>
      <w:r>
        <w:rPr>
          <w:b w:val="0"/>
        </w:rPr>
        <w:t xml:space="preserve"> — filtra el historial de conversaciones por título conforme se escribe.</w:t>
      </w:r>
    </w:p>
    <w:p>
      <w:pPr>
        <w:pStyle w:val="ListBullet"/>
        <w:spacing w:after="80"/>
      </w:pPr>
      <w:r>
        <w:rPr>
          <w:b/>
        </w:rPr>
        <w:t>Historial de conversaciones</w:t>
      </w:r>
      <w:r>
        <w:rPr>
          <w:b w:val="0"/>
        </w:rPr>
        <w:t xml:space="preserve"> — lista de todas las conversaciones previas de este navegador, con su título y la fecha/hora de la última actualización, de la más reciente a la más antigua. Al seleccionar una, se vuelve a cargar por completo en el área de conversación.</w:t>
      </w:r>
    </w:p>
    <w:p>
      <w:pPr>
        <w:pStyle w:val="ListBullet"/>
        <w:spacing w:after="80"/>
      </w:pPr>
      <w:r>
        <w:rPr>
          <w:b/>
        </w:rPr>
        <w:t>Ejemplos de mensajes</w:t>
      </w:r>
      <w:r>
        <w:rPr>
          <w:b w:val="0"/>
        </w:rPr>
        <w:t xml:space="preserve"> — una breve lista de mensajes ya redactados ("Siniestros", "Servicios a corredores", "Nuevos negocios", "Siniestros + Conocimiento"), cada uno preparado para dirigirse automáticamente al área correspondiente. Al seleccionar uno, se envía de inmediato.</w:t>
      </w:r>
    </w:p>
    <w:p>
      <w:pPr>
        <w:pStyle w:val="ListBullet"/>
        <w:spacing w:after="80"/>
      </w:pPr>
      <w:r>
        <w:rPr>
          <w:b w:val="0"/>
        </w:rPr>
        <w:t>Una nota recordando que solo se utilizan datos sintéticos — ninguna póliza, siniestro o cliente es real.</w:t>
      </w:r>
    </w:p>
    <w:p>
      <w:pPr>
        <w:jc w:val="center"/>
      </w:pPr>
      <w:r>
        <w:drawing>
          <wp:inline xmlns:a="http://schemas.openxmlformats.org/drawingml/2006/main" xmlns:pic="http://schemas.openxmlformats.org/drawingml/2006/picture">
            <wp:extent cx="5486400" cy="3722914"/>
            <wp:docPr id="2" name="Picture 2"/>
            <wp:cNvGraphicFramePr>
              <a:graphicFrameLocks noChangeAspect="1"/>
            </wp:cNvGraphicFramePr>
            <a:graphic>
              <a:graphicData uri="http://schemas.openxmlformats.org/drawingml/2006/picture">
                <pic:pic>
                  <pic:nvPicPr>
                    <pic:cNvPr id="0" name="fig_02_sidebar_history.png"/>
                    <pic:cNvPicPr/>
                  </pic:nvPicPr>
                  <pic:blipFill>
                    <a:blip r:embed="rId10"/>
                    <a:stretch>
                      <a:fillRect/>
                    </a:stretch>
                  </pic:blipFill>
                  <pic:spPr>
                    <a:xfrm>
                      <a:off x="0" y="0"/>
                      <a:ext cx="5486400" cy="3722914"/>
                    </a:xfrm>
                    <a:prstGeom prst="rect"/>
                  </pic:spPr>
                </pic:pic>
              </a:graphicData>
            </a:graphic>
          </wp:inline>
        </w:drawing>
      </w:r>
    </w:p>
    <w:p>
      <w:pPr>
        <w:spacing w:after="280"/>
        <w:jc w:val="center"/>
      </w:pPr>
      <w:r>
        <w:rPr>
          <w:b/>
        </w:rPr>
        <w:t>Figura 2.</w:t>
      </w:r>
      <w:r>
        <w:t xml:space="preserve"> Panel lateral con historial de conversaciones y ejemplos de mensajes.</w:t>
      </w:r>
    </w:p>
    <w:p>
      <w:pPr>
        <w:pStyle w:val="Heading2"/>
      </w:pPr>
      <w:r>
        <w:rPr>
          <w:color w:val="1F3A5F"/>
        </w:rPr>
        <w:t>4.2 Área de conversación (centro)</w:t>
      </w:r>
    </w:p>
    <w:p>
      <w:pPr>
        <w:pStyle w:val="ListBullet"/>
        <w:spacing w:after="80"/>
      </w:pPr>
      <w:r>
        <w:rPr>
          <w:b/>
        </w:rPr>
        <w:t>Área de respuestas</w:t>
      </w:r>
      <w:r>
        <w:rPr>
          <w:b w:val="0"/>
        </w:rPr>
        <w:t xml:space="preserve"> — muestra la conversación en curso, con los mensajes del usuario y las respuestas del asistente en orden.</w:t>
      </w:r>
    </w:p>
    <w:p>
      <w:pPr>
        <w:pStyle w:val="ListBullet"/>
        <w:spacing w:after="80"/>
      </w:pPr>
      <w:r>
        <w:rPr>
          <w:b/>
        </w:rPr>
        <w:t>Etiqueta del especialista</w:t>
      </w:r>
      <w:r>
        <w:rPr>
          <w:b w:val="0"/>
        </w:rPr>
        <w:t xml:space="preserve"> — cada respuesta del asistente que proviene de un área especializada se identifica con un nombre amigable: "Siniestros", "Servicios a Corredores", "Nuevos Negocios", o "Asistente" (utilizado cuando la solicitud no corresponde a un área específica). El usuario nunca ve un nombre técnico interno.</w:t>
      </w:r>
    </w:p>
    <w:p>
      <w:pPr>
        <w:pStyle w:val="ListBullet"/>
        <w:spacing w:after="80"/>
      </w:pPr>
      <w:r>
        <w:rPr>
          <w:b/>
        </w:rPr>
        <w:t>Referencias de fuentes</w:t>
      </w:r>
      <w:r>
        <w:rPr>
          <w:b w:val="0"/>
        </w:rPr>
        <w:t xml:space="preserve"> — cuando una respuesta se basa en los documentos de referencia de la plataforma (por ejemplo, al preguntar "¿qué documentos necesito para reportar un siniestro?"), la respuesta se marca como "Basado en N fuente(s)", junto con una breve lista numerada de referencias, de manera que el usuario pueda ver que la respuesta se apoya en un documento real y no fue inventada.</w:t>
      </w:r>
    </w:p>
    <w:p>
      <w:pPr>
        <w:pStyle w:val="ListBullet"/>
        <w:spacing w:after="80"/>
      </w:pPr>
      <w:r>
        <w:rPr>
          <w:b/>
        </w:rPr>
        <w:t>Indicador de escritura</w:t>
      </w:r>
      <w:r>
        <w:rPr>
          <w:b w:val="0"/>
        </w:rPr>
        <w:t xml:space="preserve"> — mientras el asistente prepara una respuesta, aparece brevemente el indicador "Analizando…".</w:t>
      </w:r>
    </w:p>
    <w:p>
      <w:pPr>
        <w:pStyle w:val="ListBullet"/>
        <w:spacing w:after="80"/>
      </w:pPr>
      <w:r>
        <w:rPr>
          <w:b/>
        </w:rPr>
        <w:t>Mensajes del sistema (errores)</w:t>
      </w:r>
      <w:r>
        <w:rPr>
          <w:b w:val="0"/>
        </w:rPr>
        <w:t xml:space="preserve"> — si un mensaje no puede enviarse (por ejemplo, por un problema de conexión), el asistente muestra un aviso genérico ("Lo sentimos, ocurrió un problema al conectar con el Asistente de TMX. Por favor intenta de nuevo.") junto con un botón "Reintentar" que vuelve a enviar el mismo mensaje. Nunca se muestra al usuario un detalle técnico del error.</w:t>
      </w:r>
    </w:p>
    <w:p>
      <w:pPr>
        <w:pStyle w:val="ListBullet"/>
        <w:spacing w:after="80"/>
      </w:pPr>
      <w:r>
        <w:rPr>
          <w:b/>
        </w:rPr>
        <w:t>Cuadro de entrada de mensaje</w:t>
      </w:r>
      <w:r>
        <w:rPr>
          <w:b w:val="0"/>
        </w:rPr>
        <w:t xml:space="preserve"> — donde el usuario escribe su mensaje.</w:t>
      </w:r>
    </w:p>
    <w:p>
      <w:pPr>
        <w:jc w:val="center"/>
      </w:pPr>
      <w:r>
        <w:drawing>
          <wp:inline xmlns:a="http://schemas.openxmlformats.org/drawingml/2006/main" xmlns:pic="http://schemas.openxmlformats.org/drawingml/2006/picture">
            <wp:extent cx="5486400" cy="3722914"/>
            <wp:docPr id="3" name="Picture 3"/>
            <wp:cNvGraphicFramePr>
              <a:graphicFrameLocks noChangeAspect="1"/>
            </wp:cNvGraphicFramePr>
            <a:graphic>
              <a:graphicData uri="http://schemas.openxmlformats.org/drawingml/2006/picture">
                <pic:pic>
                  <pic:nvPicPr>
                    <pic:cNvPr id="0" name="fig_03_conversacion_inicial.png"/>
                    <pic:cNvPicPr/>
                  </pic:nvPicPr>
                  <pic:blipFill>
                    <a:blip r:embed="rId11"/>
                    <a:stretch>
                      <a:fillRect/>
                    </a:stretch>
                  </pic:blipFill>
                  <pic:spPr>
                    <a:xfrm>
                      <a:off x="0" y="0"/>
                      <a:ext cx="5486400" cy="3722914"/>
                    </a:xfrm>
                    <a:prstGeom prst="rect"/>
                  </pic:spPr>
                </pic:pic>
              </a:graphicData>
            </a:graphic>
          </wp:inline>
        </w:drawing>
      </w:r>
    </w:p>
    <w:p>
      <w:pPr>
        <w:spacing w:after="280"/>
        <w:jc w:val="center"/>
      </w:pPr>
      <w:r>
        <w:rPr>
          <w:b/>
        </w:rPr>
        <w:t>Figura 3.</w:t>
      </w:r>
      <w:r>
        <w:t xml:space="preserve"> Conversación inicial en el área principal.</w:t>
      </w:r>
    </w:p>
    <w:p>
      <w:pPr>
        <w:pStyle w:val="Heading2"/>
      </w:pPr>
      <w:r>
        <w:rPr>
          <w:color w:val="1F3A5F"/>
        </w:rPr>
        <w:t>4.3 Elementos que NO existen</w:t>
      </w:r>
    </w:p>
    <w:p>
      <w:pPr>
        <w:spacing w:after="160"/>
      </w:pPr>
      <w:r>
        <w:rPr>
          <w:b w:val="0"/>
          <w:i w:val="0"/>
        </w:rPr>
        <w:t>Para evitar confusiones al comparar este manual con la aplicación real: no existe un panel de control (dashboard), no existe pantalla de configuración, no existe control para adjuntar archivos, no existe panel de administración, y no existe una pantalla independiente por cada área especializada — toda la interacción ocurre en la única ventana de conversación descrita arriba.</w:t>
      </w:r>
    </w:p>
    <w:p>
      <w:r>
        <w:br w:type="page"/>
      </w:r>
    </w:p>
    <w:p>
      <w:pPr>
        <w:pStyle w:val="Heading1"/>
      </w:pPr>
      <w:r>
        <w:rPr>
          <w:color w:val="1F3A5F"/>
        </w:rPr>
        <w:t>5. Escenario 1 — Consultar el estado de una póliza</w:t>
      </w:r>
    </w:p>
    <w:p>
      <w:pPr>
        <w:spacing w:after="160"/>
      </w:pPr>
      <w:r>
        <w:rPr>
          <w:b w:val="0"/>
          <w:i w:val="0"/>
        </w:rPr>
        <w:t>Este escenario utiliza la función de Servicios para Brokers para consultar si una póliza está vigente y si los pagos están al corriente, usando la póliza sintética SYN-POL-0002.</w:t>
      </w:r>
    </w:p>
    <w:p>
      <w:pPr>
        <w:spacing w:after="80"/>
      </w:pPr>
      <w:r>
        <w:rPr>
          <w:b/>
          <w:i w:val="0"/>
        </w:rPr>
        <w:t>Conversación: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850"/>
            <w:shd w:val="clear" w:color="auto" w:fill="1F3A5F"/>
          </w:tcPr>
          <w:p>
            <w:r/>
            <w:r>
              <w:rPr>
                <w:b/>
                <w:color w:val="FFFFFF"/>
              </w:rPr>
              <w:t>Turno</w:t>
            </w:r>
          </w:p>
        </w:tc>
        <w:tc>
          <w:tcPr>
            <w:tcW w:type="dxa" w:w="2268"/>
            <w:shd w:val="clear" w:color="auto" w:fill="1F3A5F"/>
          </w:tcPr>
          <w:p>
            <w:r/>
            <w:r>
              <w:rPr>
                <w:b/>
                <w:color w:val="FFFFFF"/>
              </w:rPr>
              <w:t>Quién</w:t>
            </w:r>
          </w:p>
        </w:tc>
        <w:tc>
          <w:tcPr>
            <w:tcW w:type="dxa" w:w="5669"/>
            <w:shd w:val="clear" w:color="auto" w:fill="1F3A5F"/>
          </w:tcPr>
          <w:p>
            <w:r/>
            <w:r>
              <w:rPr>
                <w:b/>
                <w:color w:val="FFFFFF"/>
              </w:rPr>
              <w:t>Mensaje</w:t>
            </w:r>
          </w:p>
        </w:tc>
      </w:tr>
      <w:tr>
        <w:tc>
          <w:tcPr>
            <w:tcW w:type="dxa" w:w="850"/>
          </w:tcPr>
          <w:p>
            <w:r/>
            <w:r>
              <w:t>1</w:t>
            </w:r>
          </w:p>
        </w:tc>
        <w:tc>
          <w:tcPr>
            <w:tcW w:type="dxa" w:w="2268"/>
          </w:tcPr>
          <w:p>
            <w:r/>
            <w:r>
              <w:t>Usuario</w:t>
            </w:r>
          </w:p>
        </w:tc>
        <w:tc>
          <w:tcPr>
            <w:tcW w:type="dxa" w:w="5669"/>
          </w:tcPr>
          <w:p>
            <w:r/>
            <w:r>
              <w:t>Hola, quiero consultar información con mi corredor.</w:t>
            </w:r>
          </w:p>
        </w:tc>
      </w:tr>
      <w:tr>
        <w:tc>
          <w:tcPr>
            <w:tcW w:type="dxa" w:w="850"/>
          </w:tcPr>
          <w:p>
            <w:r/>
            <w:r>
              <w:t>1</w:t>
            </w:r>
          </w:p>
        </w:tc>
        <w:tc>
          <w:tcPr>
            <w:tcW w:type="dxa" w:w="2268"/>
          </w:tcPr>
          <w:p>
            <w:r/>
            <w:r>
              <w:t>Asistente (Servicios a Corredores)</w:t>
            </w:r>
          </w:p>
        </w:tc>
        <w:tc>
          <w:tcPr>
            <w:tcW w:type="dxa" w:w="5669"/>
          </w:tcPr>
          <w:p>
            <w:r/>
            <w:r>
              <w:t>¿En qué te puedo ayudar — consultar el estado de una póliza o transacción, o revisar tus comisiones?</w:t>
            </w:r>
          </w:p>
        </w:tc>
      </w:tr>
      <w:tr>
        <w:tc>
          <w:tcPr>
            <w:tcW w:type="dxa" w:w="850"/>
          </w:tcPr>
          <w:p>
            <w:r/>
            <w:r>
              <w:t>2</w:t>
            </w:r>
          </w:p>
        </w:tc>
        <w:tc>
          <w:tcPr>
            <w:tcW w:type="dxa" w:w="2268"/>
          </w:tcPr>
          <w:p>
            <w:r/>
            <w:r>
              <w:t>Usuario</w:t>
            </w:r>
          </w:p>
        </w:tc>
        <w:tc>
          <w:tcPr>
            <w:tcW w:type="dxa" w:w="5669"/>
          </w:tcPr>
          <w:p>
            <w:r/>
            <w:r>
              <w:t>El estado de mi póliza.</w:t>
            </w:r>
          </w:p>
        </w:tc>
      </w:tr>
      <w:tr>
        <w:tc>
          <w:tcPr>
            <w:tcW w:type="dxa" w:w="850"/>
          </w:tcPr>
          <w:p>
            <w:r/>
            <w:r>
              <w:t>2</w:t>
            </w:r>
          </w:p>
        </w:tc>
        <w:tc>
          <w:tcPr>
            <w:tcW w:type="dxa" w:w="2268"/>
          </w:tcPr>
          <w:p>
            <w:r/>
            <w:r>
              <w:t>Asistente</w:t>
            </w:r>
          </w:p>
        </w:tc>
        <w:tc>
          <w:tcPr>
            <w:tcW w:type="dxa" w:w="5669"/>
          </w:tcPr>
          <w:p>
            <w:r/>
            <w:r>
              <w:t>Por favor indica el número de póliza sintética.</w:t>
            </w:r>
          </w:p>
        </w:tc>
      </w:tr>
      <w:tr>
        <w:tc>
          <w:tcPr>
            <w:tcW w:type="dxa" w:w="850"/>
          </w:tcPr>
          <w:p>
            <w:r/>
            <w:r>
              <w:t>3</w:t>
            </w:r>
          </w:p>
        </w:tc>
        <w:tc>
          <w:tcPr>
            <w:tcW w:type="dxa" w:w="2268"/>
          </w:tcPr>
          <w:p>
            <w:r/>
            <w:r>
              <w:t>Usuario</w:t>
            </w:r>
          </w:p>
        </w:tc>
        <w:tc>
          <w:tcPr>
            <w:tcW w:type="dxa" w:w="5669"/>
          </w:tcPr>
          <w:p>
            <w:r/>
            <w:r>
              <w:t>SYN-POL-0002</w:t>
            </w:r>
          </w:p>
        </w:tc>
      </w:tr>
      <w:tr>
        <w:tc>
          <w:tcPr>
            <w:tcW w:type="dxa" w:w="850"/>
          </w:tcPr>
          <w:p>
            <w:r/>
            <w:r>
              <w:t>3</w:t>
            </w:r>
          </w:p>
        </w:tc>
        <w:tc>
          <w:tcPr>
            <w:tcW w:type="dxa" w:w="2268"/>
          </w:tcPr>
          <w:p>
            <w:r/>
            <w:r>
              <w:t>Asistente</w:t>
            </w:r>
          </w:p>
        </w:tc>
        <w:tc>
          <w:tcPr>
            <w:tcW w:type="dxa" w:w="5669"/>
          </w:tcPr>
          <w:p>
            <w:r/>
            <w:r>
              <w:t>Estado de la póliza SYN-POL-0002: active. Esta póliza tiene un pago pendiente.</w:t>
            </w:r>
          </w:p>
        </w:tc>
      </w:tr>
    </w:tbl>
    <w:p>
      <w:pPr>
        <w:spacing w:after="80"/>
      </w:pPr>
    </w:p>
    <w:p>
      <w:pPr>
        <w:jc w:val="center"/>
      </w:pPr>
      <w:r>
        <w:drawing>
          <wp:inline xmlns:a="http://schemas.openxmlformats.org/drawingml/2006/main" xmlns:pic="http://schemas.openxmlformats.org/drawingml/2006/picture">
            <wp:extent cx="5486400" cy="3722914"/>
            <wp:docPr id="4" name="Picture 4"/>
            <wp:cNvGraphicFramePr>
              <a:graphicFrameLocks noChangeAspect="1"/>
            </wp:cNvGraphicFramePr>
            <a:graphic>
              <a:graphicData uri="http://schemas.openxmlformats.org/drawingml/2006/picture">
                <pic:pic>
                  <pic:nvPicPr>
                    <pic:cNvPr id="0" name="fig_04_policy_status.png"/>
                    <pic:cNvPicPr/>
                  </pic:nvPicPr>
                  <pic:blipFill>
                    <a:blip r:embed="rId12"/>
                    <a:stretch>
                      <a:fillRect/>
                    </a:stretch>
                  </pic:blipFill>
                  <pic:spPr>
                    <a:xfrm>
                      <a:off x="0" y="0"/>
                      <a:ext cx="5486400" cy="3722914"/>
                    </a:xfrm>
                    <a:prstGeom prst="rect"/>
                  </pic:spPr>
                </pic:pic>
              </a:graphicData>
            </a:graphic>
          </wp:inline>
        </w:drawing>
      </w:r>
    </w:p>
    <w:p>
      <w:pPr>
        <w:spacing w:after="280"/>
        <w:jc w:val="center"/>
      </w:pPr>
      <w:r>
        <w:rPr>
          <w:b/>
        </w:rPr>
        <w:t>Figura 4.</w:t>
      </w:r>
      <w:r>
        <w:t xml:space="preserve"> Consulta de póliza en Servicios a Corredores.</w:t>
      </w:r>
    </w:p>
    <w:p>
      <w:pPr>
        <w:spacing w:after="80"/>
      </w:pPr>
      <w:r>
        <w:rPr>
          <w:b/>
          <w:i w:val="0"/>
        </w:rPr>
        <w:t>¿Qué debe hacer el usuario?</w:t>
      </w:r>
    </w:p>
    <w:p>
      <w:pPr>
        <w:pStyle w:val="ListNumber"/>
        <w:spacing w:after="80"/>
      </w:pPr>
      <w:r>
        <w:rPr>
          <w:b w:val="0"/>
        </w:rPr>
        <w:t>Indicar que desea consultar información con su corredor (o mencionar directamente su póliza).</w:t>
      </w:r>
    </w:p>
    <w:p>
      <w:pPr>
        <w:pStyle w:val="ListNumber"/>
        <w:spacing w:after="80"/>
      </w:pPr>
      <w:r>
        <w:rPr>
          <w:b w:val="0"/>
        </w:rPr>
        <w:t>Si el asistente pregunta qué tipo de ayuda necesita, responder claramente: estado de póliza, de transacción, o comisiones.</w:t>
      </w:r>
    </w:p>
    <w:p>
      <w:pPr>
        <w:pStyle w:val="ListNumber"/>
        <w:spacing w:after="80"/>
      </w:pPr>
      <w:r>
        <w:rPr>
          <w:b w:val="0"/>
        </w:rPr>
        <w:t>Proporcionar el número de póliza sintética cuando se le solicite.</w:t>
      </w:r>
    </w:p>
    <w:p>
      <w:pPr>
        <w:pStyle w:val="ListNumber"/>
        <w:spacing w:after="80"/>
      </w:pPr>
      <w:r>
        <w:rPr>
          <w:b w:val="0"/>
        </w:rPr>
        <w:t>Leer la respuesta: el asistente siempre indica el estado de la póliza (active, lapsed o cancelled) y si los pagos están al corriente, como un hecho consultado — el asistente no modifica ni decide sobre la póliza, únicamente informa.</w:t>
      </w:r>
    </w:p>
    <w:p>
      <w:r>
        <w:br w:type="page"/>
      </w:r>
    </w:p>
    <w:p>
      <w:pPr>
        <w:pStyle w:val="Heading1"/>
      </w:pPr>
      <w:r>
        <w:rPr>
          <w:color w:val="1F3A5F"/>
        </w:rPr>
        <w:t>6. Escenario 2 — Reportar un siniestro</w:t>
      </w:r>
    </w:p>
    <w:p>
      <w:pPr>
        <w:spacing w:after="160"/>
      </w:pPr>
      <w:r>
        <w:rPr>
          <w:b w:val="0"/>
          <w:i w:val="0"/>
        </w:rPr>
        <w:t>Este escenario muestra un reporte completo de siniestro utilizando la póliza sintética SYN-POL-0001 (una póliza de auto vigente, con pagos al corriente).</w:t>
      </w:r>
    </w:p>
    <w:p>
      <w:pPr>
        <w:spacing w:after="80"/>
      </w:pPr>
      <w:r>
        <w:rPr>
          <w:b/>
          <w:i w:val="0"/>
        </w:rPr>
        <w:t>Conversación: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850"/>
            <w:shd w:val="clear" w:color="auto" w:fill="1F3A5F"/>
          </w:tcPr>
          <w:p>
            <w:r/>
            <w:r>
              <w:rPr>
                <w:b/>
                <w:color w:val="FFFFFF"/>
              </w:rPr>
              <w:t>Turno</w:t>
            </w:r>
          </w:p>
        </w:tc>
        <w:tc>
          <w:tcPr>
            <w:tcW w:type="dxa" w:w="2268"/>
            <w:shd w:val="clear" w:color="auto" w:fill="1F3A5F"/>
          </w:tcPr>
          <w:p>
            <w:r/>
            <w:r>
              <w:rPr>
                <w:b/>
                <w:color w:val="FFFFFF"/>
              </w:rPr>
              <w:t>Quién</w:t>
            </w:r>
          </w:p>
        </w:tc>
        <w:tc>
          <w:tcPr>
            <w:tcW w:type="dxa" w:w="5669"/>
            <w:shd w:val="clear" w:color="auto" w:fill="1F3A5F"/>
          </w:tcPr>
          <w:p>
            <w:r/>
            <w:r>
              <w:rPr>
                <w:b/>
                <w:color w:val="FFFFFF"/>
              </w:rPr>
              <w:t>Mensaje</w:t>
            </w:r>
          </w:p>
        </w:tc>
      </w:tr>
      <w:tr>
        <w:tc>
          <w:tcPr>
            <w:tcW w:type="dxa" w:w="850"/>
          </w:tcPr>
          <w:p>
            <w:r/>
            <w:r>
              <w:t>1</w:t>
            </w:r>
          </w:p>
        </w:tc>
        <w:tc>
          <w:tcPr>
            <w:tcW w:type="dxa" w:w="2268"/>
          </w:tcPr>
          <w:p>
            <w:r/>
            <w:r>
              <w:t>Usuario</w:t>
            </w:r>
          </w:p>
        </w:tc>
        <w:tc>
          <w:tcPr>
            <w:tcW w:type="dxa" w:w="5669"/>
          </w:tcPr>
          <w:p>
            <w:r/>
            <w:r>
              <w:t>Necesito reportar un siniestro.</w:t>
            </w:r>
          </w:p>
        </w:tc>
      </w:tr>
      <w:tr>
        <w:tc>
          <w:tcPr>
            <w:tcW w:type="dxa" w:w="850"/>
          </w:tcPr>
          <w:p>
            <w:r/>
            <w:r>
              <w:t>1</w:t>
            </w:r>
          </w:p>
        </w:tc>
        <w:tc>
          <w:tcPr>
            <w:tcW w:type="dxa" w:w="2268"/>
          </w:tcPr>
          <w:p>
            <w:r/>
            <w:r>
              <w:t>Asistente (Siniestros)</w:t>
            </w:r>
          </w:p>
        </w:tc>
        <w:tc>
          <w:tcPr>
            <w:tcW w:type="dxa" w:w="5669"/>
          </w:tcPr>
          <w:p>
            <w:r/>
            <w:r>
              <w:t>Claro. ¿A nombre de quién está la póliza?</w:t>
            </w:r>
          </w:p>
        </w:tc>
      </w:tr>
      <w:tr>
        <w:tc>
          <w:tcPr>
            <w:tcW w:type="dxa" w:w="850"/>
          </w:tcPr>
          <w:p>
            <w:r/>
            <w:r>
              <w:t>2</w:t>
            </w:r>
          </w:p>
        </w:tc>
        <w:tc>
          <w:tcPr>
            <w:tcW w:type="dxa" w:w="2268"/>
          </w:tcPr>
          <w:p>
            <w:r/>
            <w:r>
              <w:t>Usuario</w:t>
            </w:r>
          </w:p>
        </w:tc>
        <w:tc>
          <w:tcPr>
            <w:tcW w:type="dxa" w:w="5669"/>
          </w:tcPr>
          <w:p>
            <w:r/>
            <w:r>
              <w:t>SYN-POL-0001</w:t>
            </w:r>
          </w:p>
        </w:tc>
      </w:tr>
      <w:tr>
        <w:tc>
          <w:tcPr>
            <w:tcW w:type="dxa" w:w="850"/>
          </w:tcPr>
          <w:p>
            <w:r/>
            <w:r>
              <w:t>2</w:t>
            </w:r>
          </w:p>
        </w:tc>
        <w:tc>
          <w:tcPr>
            <w:tcW w:type="dxa" w:w="2268"/>
          </w:tcPr>
          <w:p>
            <w:r/>
            <w:r>
              <w:t>Asistente</w:t>
            </w:r>
          </w:p>
        </w:tc>
        <w:tc>
          <w:tcPr>
            <w:tcW w:type="dxa" w:w="5669"/>
          </w:tcPr>
          <w:p>
            <w:r/>
            <w:r>
              <w:t>Cuéntame sobre el incidente: ¿qué día ocurrió (AAAA-MM-DD), dónde fue, y qué tipo de siniestro es (colisión, robo, incendio, daño por agua, clima, vandalismo, otro)?</w:t>
            </w:r>
          </w:p>
        </w:tc>
      </w:tr>
      <w:tr>
        <w:tc>
          <w:tcPr>
            <w:tcW w:type="dxa" w:w="850"/>
          </w:tcPr>
          <w:p>
            <w:r/>
            <w:r>
              <w:t>3</w:t>
            </w:r>
          </w:p>
        </w:tc>
        <w:tc>
          <w:tcPr>
            <w:tcW w:type="dxa" w:w="2268"/>
          </w:tcPr>
          <w:p>
            <w:r/>
            <w:r>
              <w:t>Usuario</w:t>
            </w:r>
          </w:p>
        </w:tc>
        <w:tc>
          <w:tcPr>
            <w:tcW w:type="dxa" w:w="5669"/>
          </w:tcPr>
          <w:p>
            <w:r/>
            <w:r>
              <w:t>2026-08-01</w:t>
            </w:r>
          </w:p>
        </w:tc>
      </w:tr>
      <w:tr>
        <w:tc>
          <w:tcPr>
            <w:tcW w:type="dxa" w:w="850"/>
          </w:tcPr>
          <w:p>
            <w:r/>
            <w:r>
              <w:t>3</w:t>
            </w:r>
          </w:p>
        </w:tc>
        <w:tc>
          <w:tcPr>
            <w:tcW w:type="dxa" w:w="2268"/>
          </w:tcPr>
          <w:p>
            <w:r/>
            <w:r>
              <w:t>Asistente</w:t>
            </w:r>
          </w:p>
        </w:tc>
        <w:tc>
          <w:tcPr>
            <w:tcW w:type="dxa" w:w="5669"/>
          </w:tcPr>
          <w:p>
            <w:r/>
            <w:r>
              <w:t>Hasta ahora tengo: ✔ póliza ✔ fecha. Solo me falta: ¿Dónde ocurrió el incidente? ¿Qué tipo de siniestro fue…?</w:t>
            </w:r>
          </w:p>
        </w:tc>
      </w:tr>
      <w:tr>
        <w:tc>
          <w:tcPr>
            <w:tcW w:type="dxa" w:w="850"/>
          </w:tcPr>
          <w:p>
            <w:r/>
            <w:r>
              <w:t>4</w:t>
            </w:r>
          </w:p>
        </w:tc>
        <w:tc>
          <w:tcPr>
            <w:tcW w:type="dxa" w:w="2268"/>
          </w:tcPr>
          <w:p>
            <w:r/>
            <w:r>
              <w:t>Usuario</w:t>
            </w:r>
          </w:p>
        </w:tc>
        <w:tc>
          <w:tcPr>
            <w:tcW w:type="dxa" w:w="5669"/>
          </w:tcPr>
          <w:p>
            <w:r/>
            <w:r>
              <w:t>en mi casa</w:t>
            </w:r>
          </w:p>
        </w:tc>
      </w:tr>
      <w:tr>
        <w:tc>
          <w:tcPr>
            <w:tcW w:type="dxa" w:w="850"/>
          </w:tcPr>
          <w:p>
            <w:r/>
            <w:r>
              <w:t>4</w:t>
            </w:r>
          </w:p>
        </w:tc>
        <w:tc>
          <w:tcPr>
            <w:tcW w:type="dxa" w:w="2268"/>
          </w:tcPr>
          <w:p>
            <w:r/>
            <w:r>
              <w:t>Asistente</w:t>
            </w:r>
          </w:p>
        </w:tc>
        <w:tc>
          <w:tcPr>
            <w:tcW w:type="dxa" w:w="5669"/>
          </w:tcPr>
          <w:p>
            <w:r/>
            <w:r>
              <w:t>Hasta ahora tengo: ✔ póliza ✔ fecha ✔ ubicación. Solo me falta: ¿Qué tipo de siniestro fue…?</w:t>
            </w:r>
          </w:p>
        </w:tc>
      </w:tr>
      <w:tr>
        <w:tc>
          <w:tcPr>
            <w:tcW w:type="dxa" w:w="850"/>
          </w:tcPr>
          <w:p>
            <w:r/>
            <w:r>
              <w:t>5</w:t>
            </w:r>
          </w:p>
        </w:tc>
        <w:tc>
          <w:tcPr>
            <w:tcW w:type="dxa" w:w="2268"/>
          </w:tcPr>
          <w:p>
            <w:r/>
            <w:r>
              <w:t>Usuario</w:t>
            </w:r>
          </w:p>
        </w:tc>
        <w:tc>
          <w:tcPr>
            <w:tcW w:type="dxa" w:w="5669"/>
          </w:tcPr>
          <w:p>
            <w:r/>
            <w:r>
              <w:t>fue una colisión</w:t>
            </w:r>
          </w:p>
        </w:tc>
      </w:tr>
      <w:tr>
        <w:tc>
          <w:tcPr>
            <w:tcW w:type="dxa" w:w="850"/>
          </w:tcPr>
          <w:p>
            <w:r/>
            <w:r>
              <w:t>5</w:t>
            </w:r>
          </w:p>
        </w:tc>
        <w:tc>
          <w:tcPr>
            <w:tcW w:type="dxa" w:w="2268"/>
          </w:tcPr>
          <w:p>
            <w:r/>
            <w:r>
              <w:t>Asistente</w:t>
            </w:r>
          </w:p>
        </w:tc>
        <w:tc>
          <w:tcPr>
            <w:tcW w:type="dxa" w:w="5669"/>
          </w:tcPr>
          <w:p>
            <w:r/>
            <w:r>
              <w:t>Hasta ahora tengo: ✔ póliza ✔ fecha ✔ ubicación ✔ tipo de siniestro. Solo me falta: ¿Podrías describir brevemente qué sucedió?</w:t>
            </w:r>
          </w:p>
        </w:tc>
      </w:tr>
      <w:tr>
        <w:tc>
          <w:tcPr>
            <w:tcW w:type="dxa" w:w="850"/>
          </w:tcPr>
          <w:p>
            <w:r/>
            <w:r>
              <w:t>6</w:t>
            </w:r>
          </w:p>
        </w:tc>
        <w:tc>
          <w:tcPr>
            <w:tcW w:type="dxa" w:w="2268"/>
          </w:tcPr>
          <w:p>
            <w:r/>
            <w:r>
              <w:t>Usuario</w:t>
            </w:r>
          </w:p>
        </w:tc>
        <w:tc>
          <w:tcPr>
            <w:tcW w:type="dxa" w:w="5669"/>
          </w:tcPr>
          <w:p>
            <w:r/>
            <w:r>
              <w:t>Otro carro me golpeó estando estacionado.</w:t>
            </w:r>
          </w:p>
        </w:tc>
      </w:tr>
      <w:tr>
        <w:tc>
          <w:tcPr>
            <w:tcW w:type="dxa" w:w="850"/>
          </w:tcPr>
          <w:p>
            <w:r/>
            <w:r>
              <w:t>6</w:t>
            </w:r>
          </w:p>
        </w:tc>
        <w:tc>
          <w:tcPr>
            <w:tcW w:type="dxa" w:w="2268"/>
          </w:tcPr>
          <w:p>
            <w:r/>
            <w:r>
              <w:t>Asistente</w:t>
            </w:r>
          </w:p>
        </w:tc>
        <w:tc>
          <w:tcPr>
            <w:tcW w:type="dxa" w:w="5669"/>
          </w:tcPr>
          <w:p>
            <w:r/>
            <w:r>
              <w:t>Solo me falta: ¿Cuál es el mejor teléfono para contactarte?</w:t>
            </w:r>
          </w:p>
        </w:tc>
      </w:tr>
      <w:tr>
        <w:tc>
          <w:tcPr>
            <w:tcW w:type="dxa" w:w="850"/>
          </w:tcPr>
          <w:p>
            <w:r/>
            <w:r>
              <w:t>7</w:t>
            </w:r>
          </w:p>
        </w:tc>
        <w:tc>
          <w:tcPr>
            <w:tcW w:type="dxa" w:w="2268"/>
          </w:tcPr>
          <w:p>
            <w:r/>
            <w:r>
              <w:t>Usuario</w:t>
            </w:r>
          </w:p>
        </w:tc>
        <w:tc>
          <w:tcPr>
            <w:tcW w:type="dxa" w:w="5669"/>
          </w:tcPr>
          <w:p>
            <w:r/>
            <w:r>
              <w:t>555-123-4567</w:t>
            </w:r>
          </w:p>
        </w:tc>
      </w:tr>
      <w:tr>
        <w:tc>
          <w:tcPr>
            <w:tcW w:type="dxa" w:w="850"/>
          </w:tcPr>
          <w:p>
            <w:r/>
            <w:r>
              <w:t>7</w:t>
            </w:r>
          </w:p>
        </w:tc>
        <w:tc>
          <w:tcPr>
            <w:tcW w:type="dxa" w:w="2268"/>
          </w:tcPr>
          <w:p>
            <w:r/>
            <w:r>
              <w:t>Asistente</w:t>
            </w:r>
          </w:p>
        </w:tc>
        <w:tc>
          <w:tcPr>
            <w:tcW w:type="dxa" w:w="5669"/>
          </w:tcPr>
          <w:p>
            <w:r/>
            <w:r>
              <w:t>Solo me falta: ¿Hubo personas lesionadas, y estuvieron involucrados terceros? (sí/no para cada una)</w:t>
            </w:r>
          </w:p>
        </w:tc>
      </w:tr>
      <w:tr>
        <w:tc>
          <w:tcPr>
            <w:tcW w:type="dxa" w:w="850"/>
          </w:tcPr>
          <w:p>
            <w:r/>
            <w:r>
              <w:t>8</w:t>
            </w:r>
          </w:p>
        </w:tc>
        <w:tc>
          <w:tcPr>
            <w:tcW w:type="dxa" w:w="2268"/>
          </w:tcPr>
          <w:p>
            <w:r/>
            <w:r>
              <w:t>Usuario</w:t>
            </w:r>
          </w:p>
        </w:tc>
        <w:tc>
          <w:tcPr>
            <w:tcW w:type="dxa" w:w="5669"/>
          </w:tcPr>
          <w:p>
            <w:r/>
            <w:r>
              <w:t>No hubo personas lesionadas ni terceros involucrados.</w:t>
            </w:r>
          </w:p>
        </w:tc>
      </w:tr>
      <w:tr>
        <w:tc>
          <w:tcPr>
            <w:tcW w:type="dxa" w:w="850"/>
          </w:tcPr>
          <w:p>
            <w:r/>
            <w:r>
              <w:t>8</w:t>
            </w:r>
          </w:p>
        </w:tc>
        <w:tc>
          <w:tcPr>
            <w:tcW w:type="dxa" w:w="2268"/>
          </w:tcPr>
          <w:p>
            <w:r/>
            <w:r>
              <w:t>Asistente</w:t>
            </w:r>
          </w:p>
        </w:tc>
        <w:tc>
          <w:tcPr>
            <w:tcW w:type="dxa" w:w="5669"/>
          </w:tcPr>
          <w:p>
            <w:r/>
            <w:r>
              <w:t>Solo me falta: ¿El vehículo todavía puede circular?</w:t>
            </w:r>
          </w:p>
        </w:tc>
      </w:tr>
      <w:tr>
        <w:tc>
          <w:tcPr>
            <w:tcW w:type="dxa" w:w="850"/>
          </w:tcPr>
          <w:p>
            <w:r/>
            <w:r>
              <w:t>9</w:t>
            </w:r>
          </w:p>
        </w:tc>
        <w:tc>
          <w:tcPr>
            <w:tcW w:type="dxa" w:w="2268"/>
          </w:tcPr>
          <w:p>
            <w:r/>
            <w:r>
              <w:t>Usuario</w:t>
            </w:r>
          </w:p>
        </w:tc>
        <w:tc>
          <w:tcPr>
            <w:tcW w:type="dxa" w:w="5669"/>
          </w:tcPr>
          <w:p>
            <w:r/>
            <w:r>
              <w:t>Sí, el vehículo puede circular.</w:t>
            </w:r>
          </w:p>
        </w:tc>
      </w:tr>
      <w:tr>
        <w:tc>
          <w:tcPr>
            <w:tcW w:type="dxa" w:w="850"/>
          </w:tcPr>
          <w:p>
            <w:r/>
            <w:r>
              <w:t>9</w:t>
            </w:r>
          </w:p>
        </w:tc>
        <w:tc>
          <w:tcPr>
            <w:tcW w:type="dxa" w:w="2268"/>
          </w:tcPr>
          <w:p>
            <w:r/>
            <w:r>
              <w:t>Asistente</w:t>
            </w:r>
          </w:p>
        </w:tc>
        <w:tc>
          <w:tcPr>
            <w:tcW w:type="dxa" w:w="5669"/>
          </w:tcPr>
          <w:p>
            <w:r/>
            <w:r>
              <w:t>Tu póliza está vigente. Los pagos de esta póliza están al corriente. Tu cobertura es 'Cobertura amplia', con suma asegurada de $250,000.00 y deducible de $5,000.00. Antes de registrar tu siniestro, confirmemos los datos: póliza SYN-POL-0001, incidente del 2026-08-01 en mi casa, tipo 'collision'. El vehículo puede circular. ¿Confirmas que deseamos registrar tu siniestro con esta información? (sí/no)</w:t>
            </w:r>
          </w:p>
        </w:tc>
      </w:tr>
      <w:tr>
        <w:tc>
          <w:tcPr>
            <w:tcW w:type="dxa" w:w="850"/>
          </w:tcPr>
          <w:p>
            <w:r/>
            <w:r>
              <w:t>10</w:t>
            </w:r>
          </w:p>
        </w:tc>
        <w:tc>
          <w:tcPr>
            <w:tcW w:type="dxa" w:w="2268"/>
          </w:tcPr>
          <w:p>
            <w:r/>
            <w:r>
              <w:t>Usuario</w:t>
            </w:r>
          </w:p>
        </w:tc>
        <w:tc>
          <w:tcPr>
            <w:tcW w:type="dxa" w:w="5669"/>
          </w:tcPr>
          <w:p>
            <w:r/>
            <w:r>
              <w:t>Sí</w:t>
            </w:r>
          </w:p>
        </w:tc>
      </w:tr>
      <w:tr>
        <w:tc>
          <w:tcPr>
            <w:tcW w:type="dxa" w:w="850"/>
          </w:tcPr>
          <w:p>
            <w:r/>
            <w:r>
              <w:t>10</w:t>
            </w:r>
          </w:p>
        </w:tc>
        <w:tc>
          <w:tcPr>
            <w:tcW w:type="dxa" w:w="2268"/>
          </w:tcPr>
          <w:p>
            <w:r/>
            <w:r>
              <w:t>Asistente</w:t>
            </w:r>
          </w:p>
        </w:tc>
        <w:tc>
          <w:tcPr>
            <w:tcW w:type="dxa" w:w="5669"/>
          </w:tcPr>
          <w:p>
            <w:r/>
            <w:r>
              <w:t>Tu aviso de siniestro ha sido registrado. Tu número de referencia es SYN-CLM-2026-0002. Synthetic Adjuster Okafor fue asignado a tu siniestro SYN-CLM-2026-0002 y te contactará pronto.</w:t>
            </w:r>
          </w:p>
        </w:tc>
      </w:tr>
    </w:tbl>
    <w:p>
      <w:pPr>
        <w:spacing w:after="80"/>
      </w:pPr>
    </w:p>
    <w:p>
      <w:pPr>
        <w:jc w:val="center"/>
      </w:pPr>
      <w:r>
        <w:drawing>
          <wp:inline xmlns:a="http://schemas.openxmlformats.org/drawingml/2006/main" xmlns:pic="http://schemas.openxmlformats.org/drawingml/2006/picture">
            <wp:extent cx="5486400" cy="8727295"/>
            <wp:docPr id="5" name="Picture 5"/>
            <wp:cNvGraphicFramePr>
              <a:graphicFrameLocks noChangeAspect="1"/>
            </wp:cNvGraphicFramePr>
            <a:graphic>
              <a:graphicData uri="http://schemas.openxmlformats.org/drawingml/2006/picture">
                <pic:pic>
                  <pic:nvPicPr>
                    <pic:cNvPr id="0" name="fig_05a_claim_confirmation.png"/>
                    <pic:cNvPicPr/>
                  </pic:nvPicPr>
                  <pic:blipFill>
                    <a:blip r:embed="rId13"/>
                    <a:stretch>
                      <a:fillRect/>
                    </a:stretch>
                  </pic:blipFill>
                  <pic:spPr>
                    <a:xfrm>
                      <a:off x="0" y="0"/>
                      <a:ext cx="5486400" cy="8727295"/>
                    </a:xfrm>
                    <a:prstGeom prst="rect"/>
                  </pic:spPr>
                </pic:pic>
              </a:graphicData>
            </a:graphic>
          </wp:inline>
        </w:drawing>
      </w:r>
    </w:p>
    <w:p>
      <w:pPr>
        <w:spacing w:after="280"/>
        <w:jc w:val="center"/>
      </w:pPr>
      <w:r>
        <w:rPr>
          <w:b/>
        </w:rPr>
        <w:t>Figura 5.</w:t>
      </w:r>
      <w:r>
        <w:t xml:space="preserve"> Resumen de confirmación antes de registrar el siniestro.</w:t>
      </w:r>
    </w:p>
    <w:p>
      <w:pPr>
        <w:spacing w:after="80"/>
      </w:pPr>
      <w:r>
        <w:rPr>
          <w:b/>
          <w:i w:val="0"/>
        </w:rPr>
        <w:t>Explicación del flujo:</w:t>
      </w:r>
    </w:p>
    <w:p>
      <w:pPr>
        <w:pStyle w:val="ListNumber"/>
        <w:spacing w:after="80"/>
      </w:pPr>
      <w:r>
        <w:rPr>
          <w:b/>
        </w:rPr>
        <w:t>Validación de póliza</w:t>
      </w:r>
      <w:r>
        <w:rPr>
          <w:b w:val="0"/>
        </w:rPr>
        <w:t xml:space="preserve"> — el asistente solicita el número de póliza y, una vez reunidos todos los demás datos, valida su estado, el estado de pago y la cobertura, informándolos como hechos.</w:t>
      </w:r>
    </w:p>
    <w:p>
      <w:pPr>
        <w:pStyle w:val="ListNumber"/>
        <w:spacing w:after="80"/>
      </w:pPr>
      <w:r>
        <w:rPr>
          <w:b/>
        </w:rPr>
        <w:t>Captura del incidente</w:t>
      </w:r>
      <w:r>
        <w:rPr>
          <w:b w:val="0"/>
        </w:rPr>
        <w:t xml:space="preserve"> — se pregunta, en una sola solicitud combinada, la fecha, el lugar y el tipo de siniestro; en cada turno posterior el asistente pregunta únicamente lo que aún falta — el usuario nunca necesita repetir lo ya proporcionado.</w:t>
      </w:r>
    </w:p>
    <w:p>
      <w:pPr>
        <w:pStyle w:val="ListNumber"/>
        <w:spacing w:after="80"/>
      </w:pPr>
      <w:r>
        <w:rPr>
          <w:b/>
        </w:rPr>
        <w:t>Preguntas adicionales</w:t>
      </w:r>
      <w:r>
        <w:rPr>
          <w:b w:val="0"/>
        </w:rPr>
        <w:t xml:space="preserve"> — teléfono de contacto, si hubo personas lesionadas, si hubo terceros involucrados, y (para un siniestro de auto) si el vehículo todavía puede circular.</w:t>
      </w:r>
    </w:p>
    <w:p>
      <w:pPr>
        <w:pStyle w:val="ListNumber"/>
        <w:spacing w:after="80"/>
      </w:pPr>
      <w:r>
        <w:rPr>
          <w:b/>
        </w:rPr>
        <w:t>Confirmación</w:t>
      </w:r>
      <w:r>
        <w:rPr>
          <w:b w:val="0"/>
        </w:rPr>
        <w:t xml:space="preserve"> — antes de registrar cualquier dato, el asistente resume toda la información recopilada y solicita una confirmación explícita (sí/no). Responder "no" no descarta la información capturada — el sistema pregunta qué dato se desea corregir.</w:t>
      </w:r>
    </w:p>
    <w:p>
      <w:pPr>
        <w:pStyle w:val="ListNumber"/>
        <w:spacing w:after="80"/>
      </w:pPr>
      <w:r>
        <w:rPr>
          <w:b/>
        </w:rPr>
        <w:t>Número de referencia</w:t>
      </w:r>
      <w:r>
        <w:rPr>
          <w:b w:val="0"/>
        </w:rPr>
        <w:t xml:space="preserve"> — una vez confirmado, el asistente registra el siniestro y entrega un número de referencia con el formato SYN-CLM-&lt;año&gt;-&lt;consecutivo&gt; (el consecutivo exacto depende de cuántos siniestros se hayan registrado previamente en la sesión), además del nombre del ajustador sintético asignado para dar seguimiento. El ajustador asignado también puede variar entre ejecuciones, ya que depende del número de referencia exacto obtenido.</w:t>
      </w:r>
    </w:p>
    <w:p>
      <w:pPr>
        <w:jc w:val="center"/>
      </w:pPr>
      <w:r>
        <w:drawing>
          <wp:inline xmlns:a="http://schemas.openxmlformats.org/drawingml/2006/main" xmlns:pic="http://schemas.openxmlformats.org/drawingml/2006/picture">
            <wp:extent cx="5486400" cy="3722914"/>
            <wp:docPr id="6" name="Picture 6"/>
            <wp:cNvGraphicFramePr>
              <a:graphicFrameLocks noChangeAspect="1"/>
            </wp:cNvGraphicFramePr>
            <a:graphic>
              <a:graphicData uri="http://schemas.openxmlformats.org/drawingml/2006/picture">
                <pic:pic>
                  <pic:nvPicPr>
                    <pic:cNvPr id="0" name="fig_05b_claim_success.png"/>
                    <pic:cNvPicPr/>
                  </pic:nvPicPr>
                  <pic:blipFill>
                    <a:blip r:embed="rId14"/>
                    <a:stretch>
                      <a:fillRect/>
                    </a:stretch>
                  </pic:blipFill>
                  <pic:spPr>
                    <a:xfrm>
                      <a:off x="0" y="0"/>
                      <a:ext cx="5486400" cy="3722914"/>
                    </a:xfrm>
                    <a:prstGeom prst="rect"/>
                  </pic:spPr>
                </pic:pic>
              </a:graphicData>
            </a:graphic>
          </wp:inline>
        </w:drawing>
      </w:r>
    </w:p>
    <w:p>
      <w:pPr>
        <w:spacing w:after="280"/>
        <w:jc w:val="center"/>
      </w:pPr>
      <w:r>
        <w:rPr>
          <w:b/>
        </w:rPr>
        <w:t>Figura 6.</w:t>
      </w:r>
      <w:r>
        <w:t xml:space="preserve"> Registro exitoso del siniestro, con número de referencia y ajustador asignado.</w:t>
      </w:r>
    </w:p>
    <w:p>
      <w:pPr>
        <w:spacing w:before="120" w:after="200"/>
        <w:ind w:left="283"/>
        <w:pBdr>
          <w:left w:val="single" w:sz="18" w:space="4" w:color="1F3A5F"/>
        </w:pBdr>
        <w:shd w:val="clear" w:color="auto" w:fill="F2F2F2"/>
      </w:pPr>
      <w:r>
        <w:rPr>
          <w:b/>
          <w:i/>
        </w:rPr>
        <w:t xml:space="preserve">Nota: </w:t>
      </w:r>
      <w:r>
        <w:rPr>
          <w:i/>
        </w:rPr>
        <w:t>conforme al diseño de la plataforma, el asistente únicamente registra los hechos reportados — nunca aprueba, rechaza ni determina la cobertura de un siniestro. La decisión final siempre corresponde a una persona.</w:t>
      </w:r>
    </w:p>
    <w:p>
      <w:pPr>
        <w:spacing w:before="120" w:after="200"/>
        <w:ind w:left="283"/>
        <w:pBdr>
          <w:left w:val="single" w:sz="18" w:space="4" w:color="1F3A5F"/>
        </w:pBdr>
        <w:shd w:val="clear" w:color="auto" w:fill="F2F2F2"/>
      </w:pPr>
      <w:r>
        <w:rPr>
          <w:b/>
          <w:i/>
        </w:rPr>
        <w:t xml:space="preserve">Nota: </w:t>
      </w:r>
      <w:r>
        <w:rPr>
          <w:i/>
        </w:rPr>
        <w:t>algunos valores internos (por ejemplo, el estado de la póliza o el tipo de siniestro dentro del resumen de confirmación) pueden aparecer en inglés dentro de la respuesta en español — como se observa en el ejemplo anterior ("active", "collision"). Esto corresponde al comportamiento real de la plataforma en esta versión, no a un error de este manual.</w:t>
      </w:r>
    </w:p>
    <w:p>
      <w:r>
        <w:br w:type="page"/>
      </w:r>
    </w:p>
    <w:p>
      <w:pPr>
        <w:pStyle w:val="Heading1"/>
      </w:pPr>
      <w:r>
        <w:rPr>
          <w:color w:val="1F3A5F"/>
        </w:rPr>
        <w:t>7. Escenario 3 — Consultar Servicios para Brokers</w:t>
      </w:r>
    </w:p>
    <w:p>
      <w:pPr>
        <w:spacing w:after="160"/>
      </w:pPr>
      <w:r>
        <w:rPr>
          <w:b w:val="0"/>
          <w:i w:val="0"/>
        </w:rPr>
        <w:t>Este escenario muestra una consulta de comisiones y una solicitud de pago, utilizando el broker sintético Synthetic Brokerage One (ID de broker SYN-BRK-0001).</w:t>
      </w:r>
    </w:p>
    <w:p>
      <w:pPr>
        <w:spacing w:after="80"/>
      </w:pPr>
      <w:r>
        <w:rPr>
          <w:b/>
          <w:i w:val="0"/>
        </w:rPr>
        <w:t>Conversación: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850"/>
            <w:shd w:val="clear" w:color="auto" w:fill="1F3A5F"/>
          </w:tcPr>
          <w:p>
            <w:r/>
            <w:r>
              <w:rPr>
                <w:b/>
                <w:color w:val="FFFFFF"/>
              </w:rPr>
              <w:t>Turno</w:t>
            </w:r>
          </w:p>
        </w:tc>
        <w:tc>
          <w:tcPr>
            <w:tcW w:type="dxa" w:w="2268"/>
            <w:shd w:val="clear" w:color="auto" w:fill="1F3A5F"/>
          </w:tcPr>
          <w:p>
            <w:r/>
            <w:r>
              <w:rPr>
                <w:b/>
                <w:color w:val="FFFFFF"/>
              </w:rPr>
              <w:t>Quién</w:t>
            </w:r>
          </w:p>
        </w:tc>
        <w:tc>
          <w:tcPr>
            <w:tcW w:type="dxa" w:w="5669"/>
            <w:shd w:val="clear" w:color="auto" w:fill="1F3A5F"/>
          </w:tcPr>
          <w:p>
            <w:r/>
            <w:r>
              <w:rPr>
                <w:b/>
                <w:color w:val="FFFFFF"/>
              </w:rPr>
              <w:t>Mensaje</w:t>
            </w:r>
          </w:p>
        </w:tc>
      </w:tr>
      <w:tr>
        <w:tc>
          <w:tcPr>
            <w:tcW w:type="dxa" w:w="850"/>
          </w:tcPr>
          <w:p>
            <w:r/>
            <w:r>
              <w:t>1</w:t>
            </w:r>
          </w:p>
        </w:tc>
        <w:tc>
          <w:tcPr>
            <w:tcW w:type="dxa" w:w="2268"/>
          </w:tcPr>
          <w:p>
            <w:r/>
            <w:r>
              <w:t>Usuario</w:t>
            </w:r>
          </w:p>
        </w:tc>
        <w:tc>
          <w:tcPr>
            <w:tcW w:type="dxa" w:w="5669"/>
          </w:tcPr>
          <w:p>
            <w:r/>
            <w:r>
              <w:t>Hola, quiero conocer mis comisiones.</w:t>
            </w:r>
          </w:p>
        </w:tc>
      </w:tr>
      <w:tr>
        <w:tc>
          <w:tcPr>
            <w:tcW w:type="dxa" w:w="850"/>
          </w:tcPr>
          <w:p>
            <w:r/>
            <w:r>
              <w:t>1</w:t>
            </w:r>
          </w:p>
        </w:tc>
        <w:tc>
          <w:tcPr>
            <w:tcW w:type="dxa" w:w="2268"/>
          </w:tcPr>
          <w:p>
            <w:r/>
            <w:r>
              <w:t>Asistente (Servicios a Corredores)</w:t>
            </w:r>
          </w:p>
        </w:tc>
        <w:tc>
          <w:tcPr>
            <w:tcW w:type="dxa" w:w="5669"/>
          </w:tcPr>
          <w:p>
            <w:r/>
            <w:r>
              <w:t>¿Con qué broker trabajas, y qué período te gustaría revisar?</w:t>
            </w:r>
          </w:p>
        </w:tc>
      </w:tr>
      <w:tr>
        <w:tc>
          <w:tcPr>
            <w:tcW w:type="dxa" w:w="850"/>
          </w:tcPr>
          <w:p>
            <w:r/>
            <w:r>
              <w:t>2</w:t>
            </w:r>
          </w:p>
        </w:tc>
        <w:tc>
          <w:tcPr>
            <w:tcW w:type="dxa" w:w="2268"/>
          </w:tcPr>
          <w:p>
            <w:r/>
            <w:r>
              <w:t>Usuario</w:t>
            </w:r>
          </w:p>
        </w:tc>
        <w:tc>
          <w:tcPr>
            <w:tcW w:type="dxa" w:w="5669"/>
          </w:tcPr>
          <w:p>
            <w:r/>
            <w:r>
              <w:t>Soy Synthetic Brokerage One, período 2026-Q1.</w:t>
            </w:r>
          </w:p>
        </w:tc>
      </w:tr>
      <w:tr>
        <w:tc>
          <w:tcPr>
            <w:tcW w:type="dxa" w:w="850"/>
          </w:tcPr>
          <w:p>
            <w:r/>
            <w:r>
              <w:t>2</w:t>
            </w:r>
          </w:p>
        </w:tc>
        <w:tc>
          <w:tcPr>
            <w:tcW w:type="dxa" w:w="2268"/>
          </w:tcPr>
          <w:p>
            <w:r/>
            <w:r>
              <w:t>Asistente</w:t>
            </w:r>
          </w:p>
        </w:tc>
        <w:tc>
          <w:tcPr>
            <w:tcW w:type="dxa" w:w="5669"/>
          </w:tcPr>
          <w:p>
            <w:r/>
            <w:r>
              <w:t>Comisión de 2026-Q1: $1,250.00 (estado: available). ¿Te gustaría solicitar el pago de esta comisión? (sí/no)</w:t>
            </w:r>
          </w:p>
        </w:tc>
      </w:tr>
      <w:tr>
        <w:tc>
          <w:tcPr>
            <w:tcW w:type="dxa" w:w="850"/>
          </w:tcPr>
          <w:p>
            <w:r/>
            <w:r>
              <w:t>3</w:t>
            </w:r>
          </w:p>
        </w:tc>
        <w:tc>
          <w:tcPr>
            <w:tcW w:type="dxa" w:w="2268"/>
          </w:tcPr>
          <w:p>
            <w:r/>
            <w:r>
              <w:t>Usuario</w:t>
            </w:r>
          </w:p>
        </w:tc>
        <w:tc>
          <w:tcPr>
            <w:tcW w:type="dxa" w:w="5669"/>
          </w:tcPr>
          <w:p>
            <w:r/>
            <w:r>
              <w:t>Sí, por favor.</w:t>
            </w:r>
          </w:p>
        </w:tc>
      </w:tr>
      <w:tr>
        <w:tc>
          <w:tcPr>
            <w:tcW w:type="dxa" w:w="850"/>
          </w:tcPr>
          <w:p>
            <w:r/>
            <w:r>
              <w:t>3</w:t>
            </w:r>
          </w:p>
        </w:tc>
        <w:tc>
          <w:tcPr>
            <w:tcW w:type="dxa" w:w="2268"/>
          </w:tcPr>
          <w:p>
            <w:r/>
            <w:r>
              <w:t>Asistente</w:t>
            </w:r>
          </w:p>
        </w:tc>
        <w:tc>
          <w:tcPr>
            <w:tcW w:type="dxa" w:w="5669"/>
          </w:tcPr>
          <w:p>
            <w:r/>
            <w:r>
              <w:t>Tu solicitud de pago de comisión ha sido registrada. Referencia: SYN-PAYREQ-2026-0002.</w:t>
            </w:r>
          </w:p>
        </w:tc>
      </w:tr>
    </w:tbl>
    <w:p>
      <w:pPr>
        <w:spacing w:after="80"/>
      </w:pPr>
    </w:p>
    <w:p>
      <w:pPr>
        <w:jc w:val="center"/>
      </w:pPr>
      <w:r>
        <w:drawing>
          <wp:inline xmlns:a="http://schemas.openxmlformats.org/drawingml/2006/main" xmlns:pic="http://schemas.openxmlformats.org/drawingml/2006/picture">
            <wp:extent cx="5486400" cy="3722914"/>
            <wp:docPr id="7" name="Picture 7"/>
            <wp:cNvGraphicFramePr>
              <a:graphicFrameLocks noChangeAspect="1"/>
            </wp:cNvGraphicFramePr>
            <a:graphic>
              <a:graphicData uri="http://schemas.openxmlformats.org/drawingml/2006/picture">
                <pic:pic>
                  <pic:nvPicPr>
                    <pic:cNvPr id="0" name="fig_06a_broker_commission.png"/>
                    <pic:cNvPicPr/>
                  </pic:nvPicPr>
                  <pic:blipFill>
                    <a:blip r:embed="rId15"/>
                    <a:stretch>
                      <a:fillRect/>
                    </a:stretch>
                  </pic:blipFill>
                  <pic:spPr>
                    <a:xfrm>
                      <a:off x="0" y="0"/>
                      <a:ext cx="5486400" cy="3722914"/>
                    </a:xfrm>
                    <a:prstGeom prst="rect"/>
                  </pic:spPr>
                </pic:pic>
              </a:graphicData>
            </a:graphic>
          </wp:inline>
        </w:drawing>
      </w:r>
    </w:p>
    <w:p>
      <w:pPr>
        <w:spacing w:after="280"/>
        <w:jc w:val="center"/>
      </w:pPr>
      <w:r>
        <w:rPr>
          <w:b/>
        </w:rPr>
        <w:t>Figura 7.</w:t>
      </w:r>
      <w:r>
        <w:t xml:space="preserve"> Consulta de comisiones en Servicios a Corredores.</w:t>
      </w:r>
    </w:p>
    <w:p>
      <w:pPr>
        <w:spacing w:after="80"/>
      </w:pPr>
      <w:r>
        <w:rPr>
          <w:b/>
          <w:i w:val="0"/>
        </w:rPr>
        <w:t>Explicación del flujo:</w:t>
      </w:r>
    </w:p>
    <w:p>
      <w:pPr>
        <w:pStyle w:val="ListBullet"/>
        <w:spacing w:after="80"/>
      </w:pPr>
      <w:r>
        <w:rPr>
          <w:b/>
        </w:rPr>
        <w:t>Consulta de comisiones</w:t>
      </w:r>
      <w:r>
        <w:rPr>
          <w:b w:val="0"/>
        </w:rPr>
        <w:t xml:space="preserve"> — el asistente solicita, en una sola pregunta, el nombre del broker y el período a revisar (un ID de broker escrito directamente también funciona, y omite el paso de búsqueda por nombre).</w:t>
      </w:r>
    </w:p>
    <w:p>
      <w:pPr>
        <w:pStyle w:val="ListBullet"/>
        <w:spacing w:after="80"/>
      </w:pPr>
      <w:r>
        <w:rPr>
          <w:b/>
        </w:rPr>
        <w:t>Identificación del broker</w:t>
      </w:r>
      <w:r>
        <w:rPr>
          <w:b w:val="0"/>
        </w:rPr>
        <w:t xml:space="preserve"> — el nombre del broker se relaciona automáticamente con la cuenta correspondiente; el usuario nunca necesita conocer o escribir un ID interno.</w:t>
      </w:r>
    </w:p>
    <w:p>
      <w:pPr>
        <w:pStyle w:val="ListBullet"/>
        <w:spacing w:after="80"/>
      </w:pPr>
      <w:r>
        <w:rPr>
          <w:b/>
        </w:rPr>
        <w:t>Consulta de pólizas</w:t>
      </w:r>
      <w:r>
        <w:rPr>
          <w:b w:val="0"/>
        </w:rPr>
        <w:t xml:space="preserve"> — la misma área de Servicios a Corredores también atiende "¿cuál es el estado de la póliza X?" (Escenario 1) y "¿cuál es el estado de la transacción X?" — el asistente pregunta qué tipo de ayuda se requiere si no queda claro en el primer mensaje.</w:t>
      </w:r>
    </w:p>
    <w:p>
      <w:pPr>
        <w:pStyle w:val="ListBullet"/>
        <w:spacing w:after="80"/>
      </w:pPr>
      <w:r>
        <w:rPr>
          <w:b/>
        </w:rPr>
        <w:t>Monto y estado de la comisión</w:t>
      </w:r>
      <w:r>
        <w:rPr>
          <w:b w:val="0"/>
        </w:rPr>
        <w:t xml:space="preserve"> — se informa como un hecho (available, pending o paid). Solo una comisión marcada como available puede solicitarse para pago; en cualquier otro caso, el asistente no ofrecerá esa opción.</w:t>
      </w:r>
    </w:p>
    <w:p>
      <w:pPr>
        <w:pStyle w:val="ListBullet"/>
        <w:spacing w:after="80"/>
      </w:pPr>
      <w:r>
        <w:rPr>
          <w:b/>
        </w:rPr>
        <w:t>Solicitud de pago de comisión</w:t>
      </w:r>
      <w:r>
        <w:rPr>
          <w:b w:val="0"/>
        </w:rPr>
        <w:t xml:space="preserve"> — si se confirma, se entrega un número de referencia con el formato SYN-PAYREQ-&lt;año&gt;-&lt;consecutivo&gt;.</w:t>
      </w:r>
    </w:p>
    <w:p>
      <w:pPr>
        <w:jc w:val="center"/>
      </w:pPr>
      <w:r>
        <w:drawing>
          <wp:inline xmlns:a="http://schemas.openxmlformats.org/drawingml/2006/main" xmlns:pic="http://schemas.openxmlformats.org/drawingml/2006/picture">
            <wp:extent cx="5486400" cy="3722914"/>
            <wp:docPr id="8" name="Picture 8"/>
            <wp:cNvGraphicFramePr>
              <a:graphicFrameLocks noChangeAspect="1"/>
            </wp:cNvGraphicFramePr>
            <a:graphic>
              <a:graphicData uri="http://schemas.openxmlformats.org/drawingml/2006/picture">
                <pic:pic>
                  <pic:nvPicPr>
                    <pic:cNvPr id="0" name="fig_06b_payment_request.png"/>
                    <pic:cNvPicPr/>
                  </pic:nvPicPr>
                  <pic:blipFill>
                    <a:blip r:embed="rId16"/>
                    <a:stretch>
                      <a:fillRect/>
                    </a:stretch>
                  </pic:blipFill>
                  <pic:spPr>
                    <a:xfrm>
                      <a:off x="0" y="0"/>
                      <a:ext cx="5486400" cy="3722914"/>
                    </a:xfrm>
                    <a:prstGeom prst="rect"/>
                  </pic:spPr>
                </pic:pic>
              </a:graphicData>
            </a:graphic>
          </wp:inline>
        </w:drawing>
      </w:r>
    </w:p>
    <w:p>
      <w:pPr>
        <w:spacing w:after="280"/>
        <w:jc w:val="center"/>
      </w:pPr>
      <w:r>
        <w:rPr>
          <w:b/>
        </w:rPr>
        <w:t>Figura 8.</w:t>
      </w:r>
      <w:r>
        <w:t xml:space="preserve"> Solicitud de pago de comisión registrada.</w:t>
      </w:r>
    </w:p>
    <w:p>
      <w:r>
        <w:br w:type="page"/>
      </w:r>
    </w:p>
    <w:p>
      <w:pPr>
        <w:pStyle w:val="Heading1"/>
      </w:pPr>
      <w:r>
        <w:rPr>
          <w:color w:val="1F3A5F"/>
        </w:rPr>
        <w:t>8. Escenario 4 — Registrar un Nuevo Negocio</w:t>
      </w:r>
    </w:p>
    <w:p>
      <w:pPr>
        <w:spacing w:after="160"/>
      </w:pPr>
      <w:r>
        <w:rPr>
          <w:b w:val="0"/>
          <w:i w:val="0"/>
        </w:rPr>
        <w:t>Este escenario muestra el flujo completo del área de Nuevos Negocios: la captura de la información necesaria para registrar una nueva solicitud comercial para su seguimiento interno.</w:t>
      </w:r>
    </w:p>
    <w:p>
      <w:pPr>
        <w:spacing w:after="80"/>
      </w:pPr>
      <w:r>
        <w:rPr>
          <w:b/>
          <w:i w:val="0"/>
        </w:rPr>
        <w:t>Conversación: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850"/>
            <w:shd w:val="clear" w:color="auto" w:fill="1F3A5F"/>
          </w:tcPr>
          <w:p>
            <w:r/>
            <w:r>
              <w:rPr>
                <w:b/>
                <w:color w:val="FFFFFF"/>
              </w:rPr>
              <w:t>Turno</w:t>
            </w:r>
          </w:p>
        </w:tc>
        <w:tc>
          <w:tcPr>
            <w:tcW w:type="dxa" w:w="2268"/>
            <w:shd w:val="clear" w:color="auto" w:fill="1F3A5F"/>
          </w:tcPr>
          <w:p>
            <w:r/>
            <w:r>
              <w:rPr>
                <w:b/>
                <w:color w:val="FFFFFF"/>
              </w:rPr>
              <w:t>Quién</w:t>
            </w:r>
          </w:p>
        </w:tc>
        <w:tc>
          <w:tcPr>
            <w:tcW w:type="dxa" w:w="5669"/>
            <w:shd w:val="clear" w:color="auto" w:fill="1F3A5F"/>
          </w:tcPr>
          <w:p>
            <w:r/>
            <w:r>
              <w:rPr>
                <w:b/>
                <w:color w:val="FFFFFF"/>
              </w:rPr>
              <w:t>Mensaje</w:t>
            </w:r>
          </w:p>
        </w:tc>
      </w:tr>
      <w:tr>
        <w:tc>
          <w:tcPr>
            <w:tcW w:type="dxa" w:w="850"/>
          </w:tcPr>
          <w:p>
            <w:r/>
            <w:r>
              <w:t>1</w:t>
            </w:r>
          </w:p>
        </w:tc>
        <w:tc>
          <w:tcPr>
            <w:tcW w:type="dxa" w:w="2268"/>
          </w:tcPr>
          <w:p>
            <w:r/>
            <w:r>
              <w:t>Usuario</w:t>
            </w:r>
          </w:p>
        </w:tc>
        <w:tc>
          <w:tcPr>
            <w:tcW w:type="dxa" w:w="5669"/>
          </w:tcPr>
          <w:p>
            <w:r/>
            <w:r>
              <w:t>Necesito una cotización para asegurar mi empresa.</w:t>
            </w:r>
          </w:p>
        </w:tc>
      </w:tr>
      <w:tr>
        <w:tc>
          <w:tcPr>
            <w:tcW w:type="dxa" w:w="850"/>
          </w:tcPr>
          <w:p>
            <w:r/>
            <w:r>
              <w:t>1</w:t>
            </w:r>
          </w:p>
        </w:tc>
        <w:tc>
          <w:tcPr>
            <w:tcW w:type="dxa" w:w="2268"/>
          </w:tcPr>
          <w:p>
            <w:r/>
            <w:r>
              <w:t>Asistente (Nuevos Negocios)</w:t>
            </w:r>
          </w:p>
        </w:tc>
        <w:tc>
          <w:tcPr>
            <w:tcW w:type="dxa" w:w="5669"/>
          </w:tcPr>
          <w:p>
            <w:r/>
            <w:r>
              <w:t>¿Cuál es el nombre de tu empresa o negocio?</w:t>
            </w:r>
          </w:p>
        </w:tc>
      </w:tr>
      <w:tr>
        <w:tc>
          <w:tcPr>
            <w:tcW w:type="dxa" w:w="850"/>
          </w:tcPr>
          <w:p>
            <w:r/>
            <w:r>
              <w:t>2</w:t>
            </w:r>
          </w:p>
        </w:tc>
        <w:tc>
          <w:tcPr>
            <w:tcW w:type="dxa" w:w="2268"/>
          </w:tcPr>
          <w:p>
            <w:r/>
            <w:r>
              <w:t>Usuario</w:t>
            </w:r>
          </w:p>
        </w:tc>
        <w:tc>
          <w:tcPr>
            <w:tcW w:type="dxa" w:w="5669"/>
          </w:tcPr>
          <w:p>
            <w:r/>
            <w:r>
              <w:t>Constructora Sintética del Norte</w:t>
            </w:r>
          </w:p>
        </w:tc>
      </w:tr>
      <w:tr>
        <w:tc>
          <w:tcPr>
            <w:tcW w:type="dxa" w:w="850"/>
          </w:tcPr>
          <w:p>
            <w:r/>
            <w:r>
              <w:t>2</w:t>
            </w:r>
          </w:p>
        </w:tc>
        <w:tc>
          <w:tcPr>
            <w:tcW w:type="dxa" w:w="2268"/>
          </w:tcPr>
          <w:p>
            <w:r/>
            <w:r>
              <w:t>Asistente</w:t>
            </w:r>
          </w:p>
        </w:tc>
        <w:tc>
          <w:tcPr>
            <w:tcW w:type="dxa" w:w="5669"/>
          </w:tcPr>
          <w:p>
            <w:r/>
            <w:r>
              <w:t>¿Cuál es el nombre completo de la persona de contacto?</w:t>
            </w:r>
          </w:p>
        </w:tc>
      </w:tr>
      <w:tr>
        <w:tc>
          <w:tcPr>
            <w:tcW w:type="dxa" w:w="850"/>
          </w:tcPr>
          <w:p>
            <w:r/>
            <w:r>
              <w:t>3</w:t>
            </w:r>
          </w:p>
        </w:tc>
        <w:tc>
          <w:tcPr>
            <w:tcW w:type="dxa" w:w="2268"/>
          </w:tcPr>
          <w:p>
            <w:r/>
            <w:r>
              <w:t>Usuario</w:t>
            </w:r>
          </w:p>
        </w:tc>
        <w:tc>
          <w:tcPr>
            <w:tcW w:type="dxa" w:w="5669"/>
          </w:tcPr>
          <w:p>
            <w:r/>
            <w:r>
              <w:t>María Fernanda López</w:t>
            </w:r>
          </w:p>
        </w:tc>
      </w:tr>
      <w:tr>
        <w:tc>
          <w:tcPr>
            <w:tcW w:type="dxa" w:w="850"/>
          </w:tcPr>
          <w:p>
            <w:r/>
            <w:r>
              <w:t>3</w:t>
            </w:r>
          </w:p>
        </w:tc>
        <w:tc>
          <w:tcPr>
            <w:tcW w:type="dxa" w:w="2268"/>
          </w:tcPr>
          <w:p>
            <w:r/>
            <w:r>
              <w:t>Asistente</w:t>
            </w:r>
          </w:p>
        </w:tc>
        <w:tc>
          <w:tcPr>
            <w:tcW w:type="dxa" w:w="5669"/>
          </w:tcPr>
          <w:p>
            <w:r/>
            <w:r>
              <w:t>¿Prefieres que te contactemos por correo electrónico o por teléfono?</w:t>
            </w:r>
          </w:p>
        </w:tc>
      </w:tr>
      <w:tr>
        <w:tc>
          <w:tcPr>
            <w:tcW w:type="dxa" w:w="850"/>
          </w:tcPr>
          <w:p>
            <w:r/>
            <w:r>
              <w:t>4</w:t>
            </w:r>
          </w:p>
        </w:tc>
        <w:tc>
          <w:tcPr>
            <w:tcW w:type="dxa" w:w="2268"/>
          </w:tcPr>
          <w:p>
            <w:r/>
            <w:r>
              <w:t>Usuario</w:t>
            </w:r>
          </w:p>
        </w:tc>
        <w:tc>
          <w:tcPr>
            <w:tcW w:type="dxa" w:w="5669"/>
          </w:tcPr>
          <w:p>
            <w:r/>
            <w:r>
              <w:t>Por correo electrónico.</w:t>
            </w:r>
          </w:p>
        </w:tc>
      </w:tr>
      <w:tr>
        <w:tc>
          <w:tcPr>
            <w:tcW w:type="dxa" w:w="850"/>
          </w:tcPr>
          <w:p>
            <w:r/>
            <w:r>
              <w:t>4</w:t>
            </w:r>
          </w:p>
        </w:tc>
        <w:tc>
          <w:tcPr>
            <w:tcW w:type="dxa" w:w="2268"/>
          </w:tcPr>
          <w:p>
            <w:r/>
            <w:r>
              <w:t>Asistente</w:t>
            </w:r>
          </w:p>
        </w:tc>
        <w:tc>
          <w:tcPr>
            <w:tcW w:type="dxa" w:w="5669"/>
          </w:tcPr>
          <w:p>
            <w:r/>
            <w:r>
              <w:t>¿Cuál es el mejor correo electrónico para contactarte?</w:t>
            </w:r>
          </w:p>
        </w:tc>
      </w:tr>
      <w:tr>
        <w:tc>
          <w:tcPr>
            <w:tcW w:type="dxa" w:w="850"/>
          </w:tcPr>
          <w:p>
            <w:r/>
            <w:r>
              <w:t>5</w:t>
            </w:r>
          </w:p>
        </w:tc>
        <w:tc>
          <w:tcPr>
            <w:tcW w:type="dxa" w:w="2268"/>
          </w:tcPr>
          <w:p>
            <w:r/>
            <w:r>
              <w:t>Usuario</w:t>
            </w:r>
          </w:p>
        </w:tc>
        <w:tc>
          <w:tcPr>
            <w:tcW w:type="dxa" w:w="5669"/>
          </w:tcPr>
          <w:p>
            <w:r/>
            <w:r>
              <w:t>maria.lopez@example.com</w:t>
            </w:r>
          </w:p>
        </w:tc>
      </w:tr>
      <w:tr>
        <w:tc>
          <w:tcPr>
            <w:tcW w:type="dxa" w:w="850"/>
          </w:tcPr>
          <w:p>
            <w:r/>
            <w:r>
              <w:t>5</w:t>
            </w:r>
          </w:p>
        </w:tc>
        <w:tc>
          <w:tcPr>
            <w:tcW w:type="dxa" w:w="2268"/>
          </w:tcPr>
          <w:p>
            <w:r/>
            <w:r>
              <w:t>Asistente</w:t>
            </w:r>
          </w:p>
        </w:tc>
        <w:tc>
          <w:tcPr>
            <w:tcW w:type="dxa" w:w="5669"/>
          </w:tcPr>
          <w:p>
            <w:r/>
            <w:r>
              <w:t>¿Qué tipo de seguro o cobertura estás buscando?</w:t>
            </w:r>
          </w:p>
        </w:tc>
      </w:tr>
      <w:tr>
        <w:tc>
          <w:tcPr>
            <w:tcW w:type="dxa" w:w="850"/>
          </w:tcPr>
          <w:p>
            <w:r/>
            <w:r>
              <w:t>6</w:t>
            </w:r>
          </w:p>
        </w:tc>
        <w:tc>
          <w:tcPr>
            <w:tcW w:type="dxa" w:w="2268"/>
          </w:tcPr>
          <w:p>
            <w:r/>
            <w:r>
              <w:t>Usuario</w:t>
            </w:r>
          </w:p>
        </w:tc>
        <w:tc>
          <w:tcPr>
            <w:tcW w:type="dxa" w:w="5669"/>
          </w:tcPr>
          <w:p>
            <w:r/>
            <w:r>
              <w:t>Seguro de responsabilidad civil para construcción.</w:t>
            </w:r>
          </w:p>
        </w:tc>
      </w:tr>
      <w:tr>
        <w:tc>
          <w:tcPr>
            <w:tcW w:type="dxa" w:w="850"/>
          </w:tcPr>
          <w:p>
            <w:r/>
            <w:r>
              <w:t>6</w:t>
            </w:r>
          </w:p>
        </w:tc>
        <w:tc>
          <w:tcPr>
            <w:tcW w:type="dxa" w:w="2268"/>
          </w:tcPr>
          <w:p>
            <w:r/>
            <w:r>
              <w:t>Asistente</w:t>
            </w:r>
          </w:p>
        </w:tc>
        <w:tc>
          <w:tcPr>
            <w:tcW w:type="dxa" w:w="5669"/>
          </w:tcPr>
          <w:p>
            <w:r/>
            <w:r>
              <w:t>¿Podrías describir brevemente tu negocio o el riesgo que te gustaría cubrir?</w:t>
            </w:r>
          </w:p>
        </w:tc>
      </w:tr>
      <w:tr>
        <w:tc>
          <w:tcPr>
            <w:tcW w:type="dxa" w:w="850"/>
          </w:tcPr>
          <w:p>
            <w:r/>
            <w:r>
              <w:t>7</w:t>
            </w:r>
          </w:p>
        </w:tc>
        <w:tc>
          <w:tcPr>
            <w:tcW w:type="dxa" w:w="2268"/>
          </w:tcPr>
          <w:p>
            <w:r/>
            <w:r>
              <w:t>Usuario</w:t>
            </w:r>
          </w:p>
        </w:tc>
        <w:tc>
          <w:tcPr>
            <w:tcW w:type="dxa" w:w="5669"/>
          </w:tcPr>
          <w:p>
            <w:r/>
            <w:r>
              <w:t>Somos una constructora mediana, con unos 40 empleados, y manejamos proyectos residenciales.</w:t>
            </w:r>
          </w:p>
        </w:tc>
      </w:tr>
      <w:tr>
        <w:tc>
          <w:tcPr>
            <w:tcW w:type="dxa" w:w="850"/>
          </w:tcPr>
          <w:p>
            <w:r/>
            <w:r>
              <w:t>7</w:t>
            </w:r>
          </w:p>
        </w:tc>
        <w:tc>
          <w:tcPr>
            <w:tcW w:type="dxa" w:w="2268"/>
          </w:tcPr>
          <w:p>
            <w:r/>
            <w:r>
              <w:t>Asistente</w:t>
            </w:r>
          </w:p>
        </w:tc>
        <w:tc>
          <w:tcPr>
            <w:tcW w:type="dxa" w:w="5669"/>
          </w:tcPr>
          <w:p>
            <w:r/>
            <w:r>
              <w:t>Gracias — tu solicitud ha sido registrada. Tu número de referencia es SYN-LEAD-2026-0002. Un representante te contactará por correo electrónico.</w:t>
            </w:r>
          </w:p>
        </w:tc>
      </w:tr>
    </w:tbl>
    <w:p>
      <w:pPr>
        <w:spacing w:after="80"/>
      </w:pPr>
    </w:p>
    <w:p>
      <w:pPr>
        <w:jc w:val="center"/>
      </w:pPr>
      <w:r>
        <w:drawing>
          <wp:inline xmlns:a="http://schemas.openxmlformats.org/drawingml/2006/main" xmlns:pic="http://schemas.openxmlformats.org/drawingml/2006/picture">
            <wp:extent cx="5486400" cy="4726142"/>
            <wp:docPr id="9" name="Picture 9"/>
            <wp:cNvGraphicFramePr>
              <a:graphicFrameLocks noChangeAspect="1"/>
            </wp:cNvGraphicFramePr>
            <a:graphic>
              <a:graphicData uri="http://schemas.openxmlformats.org/drawingml/2006/picture">
                <pic:pic>
                  <pic:nvPicPr>
                    <pic:cNvPr id="0" name="fig_07_commercial_intake.png"/>
                    <pic:cNvPicPr/>
                  </pic:nvPicPr>
                  <pic:blipFill>
                    <a:blip r:embed="rId17"/>
                    <a:stretch>
                      <a:fillRect/>
                    </a:stretch>
                  </pic:blipFill>
                  <pic:spPr>
                    <a:xfrm>
                      <a:off x="0" y="0"/>
                      <a:ext cx="5486400" cy="4726142"/>
                    </a:xfrm>
                    <a:prstGeom prst="rect"/>
                  </pic:spPr>
                </pic:pic>
              </a:graphicData>
            </a:graphic>
          </wp:inline>
        </w:drawing>
      </w:r>
    </w:p>
    <w:p>
      <w:pPr>
        <w:spacing w:after="280"/>
        <w:jc w:val="center"/>
      </w:pPr>
      <w:r>
        <w:rPr>
          <w:b/>
        </w:rPr>
        <w:t>Figura 9.</w:t>
      </w:r>
      <w:r>
        <w:t xml:space="preserve"> Registro de nuevo negocio, de inicio a fin.</w:t>
      </w:r>
    </w:p>
    <w:p>
      <w:pPr>
        <w:spacing w:after="80"/>
      </w:pPr>
      <w:r>
        <w:rPr>
          <w:b/>
          <w:i w:val="0"/>
        </w:rPr>
        <w:t>Explicación de cada paso:</w:t>
      </w:r>
    </w:p>
    <w:p>
      <w:pPr>
        <w:pStyle w:val="ListNumber"/>
        <w:spacing w:after="80"/>
      </w:pPr>
      <w:r>
        <w:rPr>
          <w:b/>
        </w:rPr>
        <w:t>Nombre de la empresa</w:t>
      </w:r>
      <w:r>
        <w:rPr>
          <w:b w:val="0"/>
        </w:rPr>
        <w:t xml:space="preserve"> — nombre del negocio que solicita el seguro.</w:t>
      </w:r>
    </w:p>
    <w:p>
      <w:pPr>
        <w:pStyle w:val="ListNumber"/>
        <w:spacing w:after="80"/>
      </w:pPr>
      <w:r>
        <w:rPr>
          <w:b/>
        </w:rPr>
        <w:t>Persona de contacto</w:t>
      </w:r>
      <w:r>
        <w:rPr>
          <w:b w:val="0"/>
        </w:rPr>
        <w:t xml:space="preserve"> — nombre completo de la persona con quien dar seguimiento.</w:t>
      </w:r>
    </w:p>
    <w:p>
      <w:pPr>
        <w:pStyle w:val="ListNumber"/>
        <w:spacing w:after="80"/>
      </w:pPr>
      <w:r>
        <w:rPr>
          <w:b/>
        </w:rPr>
        <w:t>Canal de contacto preferido</w:t>
      </w:r>
      <w:r>
        <w:rPr>
          <w:b w:val="0"/>
        </w:rPr>
        <w:t xml:space="preserve"> — correo electrónico o teléfono; el asistente solicita únicamente el dato correspondiente (el correo o el teléfono, según lo indicado).</w:t>
      </w:r>
    </w:p>
    <w:p>
      <w:pPr>
        <w:pStyle w:val="ListNumber"/>
        <w:spacing w:after="80"/>
      </w:pPr>
      <w:r>
        <w:rPr>
          <w:b/>
        </w:rPr>
        <w:t>Necesidad de seguro</w:t>
      </w:r>
      <w:r>
        <w:rPr>
          <w:b w:val="0"/>
        </w:rPr>
        <w:t xml:space="preserve"> — el tipo de cobertura que se busca.</w:t>
      </w:r>
    </w:p>
    <w:p>
      <w:pPr>
        <w:pStyle w:val="ListNumber"/>
        <w:spacing w:after="80"/>
      </w:pPr>
      <w:r>
        <w:rPr>
          <w:b/>
        </w:rPr>
        <w:t>Descripción del riesgo</w:t>
      </w:r>
      <w:r>
        <w:rPr>
          <w:b w:val="0"/>
        </w:rPr>
        <w:t xml:space="preserve"> — una breve descripción del negocio o del riesgo a cubrir.</w:t>
      </w:r>
    </w:p>
    <w:p>
      <w:pPr>
        <w:pStyle w:val="ListNumber"/>
        <w:spacing w:after="80"/>
      </w:pPr>
      <w:r>
        <w:rPr>
          <w:b/>
        </w:rPr>
        <w:t>Registro</w:t>
      </w:r>
      <w:r>
        <w:rPr>
          <w:b w:val="0"/>
        </w:rPr>
        <w:t xml:space="preserve"> — una vez reunidos todos los datos, el asistente registra la solicitud y entrega un número de referencia con el formato SYN-LEAD-&lt;año&gt;-&lt;consecutivo&gt;, confirmando además el canal por el cual se dará seguimiento.</w:t>
      </w:r>
    </w:p>
    <w:p>
      <w:pPr>
        <w:spacing w:before="120" w:after="200"/>
        <w:ind w:left="283"/>
        <w:pBdr>
          <w:left w:val="single" w:sz="18" w:space="4" w:color="1F3A5F"/>
        </w:pBdr>
        <w:shd w:val="clear" w:color="auto" w:fill="F2F2F2"/>
      </w:pPr>
      <w:r>
        <w:rPr>
          <w:b/>
          <w:i/>
        </w:rPr>
        <w:t xml:space="preserve">Importante: </w:t>
      </w:r>
      <w:r>
        <w:rPr>
          <w:i/>
        </w:rPr>
        <w:t>conforme al diseño de la plataforma, este paso nunca genera una cotización, una prima ni una garantía de aceptación de cobertura — aun cuando el mensaje inicial del usuario solicite una "cotización". La función del asistente aquí se limita a recopilar información y registrar la solicitud, para que un asesor comercial humano dé seguimiento posteriormente.</w:t>
      </w:r>
    </w:p>
    <w:p>
      <w:r>
        <w:br w:type="page"/>
      </w:r>
    </w:p>
    <w:p>
      <w:pPr>
        <w:pStyle w:val="Heading1"/>
      </w:pPr>
      <w:r>
        <w:rPr>
          <w:color w:val="1F3A5F"/>
        </w:rPr>
        <w:t>9. Escenario 5 — Cambio de contexto durante la conversación</w:t>
      </w:r>
    </w:p>
    <w:p>
      <w:pPr>
        <w:spacing w:after="160"/>
      </w:pPr>
      <w:r>
        <w:rPr>
          <w:b w:val="0"/>
          <w:i w:val="0"/>
        </w:rPr>
        <w:t>Este escenario muestra cómo el asistente conserva los datos relevantes al cambiar de área dentro de la misma conversación, de manera que el usuario no tenga que repetir información ya proporcionada.</w:t>
      </w:r>
    </w:p>
    <w:p>
      <w:pPr>
        <w:spacing w:after="160"/>
      </w:pPr>
      <w:r>
        <w:rPr>
          <w:b/>
          <w:i w:val="0"/>
        </w:rPr>
        <w:t>Punto de partida: el usuario inicia reportando un siniestro, identificándose solo por su nombre — sin escribir directamente un número de póliza:</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850"/>
            <w:shd w:val="clear" w:color="auto" w:fill="1F3A5F"/>
          </w:tcPr>
          <w:p>
            <w:r/>
            <w:r>
              <w:rPr>
                <w:b/>
                <w:color w:val="FFFFFF"/>
              </w:rPr>
              <w:t>Turno</w:t>
            </w:r>
          </w:p>
        </w:tc>
        <w:tc>
          <w:tcPr>
            <w:tcW w:type="dxa" w:w="2268"/>
            <w:shd w:val="clear" w:color="auto" w:fill="1F3A5F"/>
          </w:tcPr>
          <w:p>
            <w:r/>
            <w:r>
              <w:rPr>
                <w:b/>
                <w:color w:val="FFFFFF"/>
              </w:rPr>
              <w:t>Quién</w:t>
            </w:r>
          </w:p>
        </w:tc>
        <w:tc>
          <w:tcPr>
            <w:tcW w:type="dxa" w:w="5669"/>
            <w:shd w:val="clear" w:color="auto" w:fill="1F3A5F"/>
          </w:tcPr>
          <w:p>
            <w:r/>
            <w:r>
              <w:rPr>
                <w:b/>
                <w:color w:val="FFFFFF"/>
              </w:rPr>
              <w:t>Mensaje</w:t>
            </w:r>
          </w:p>
        </w:tc>
      </w:tr>
      <w:tr>
        <w:tc>
          <w:tcPr>
            <w:tcW w:type="dxa" w:w="850"/>
          </w:tcPr>
          <w:p>
            <w:r/>
            <w:r>
              <w:t>1</w:t>
            </w:r>
          </w:p>
        </w:tc>
        <w:tc>
          <w:tcPr>
            <w:tcW w:type="dxa" w:w="2268"/>
          </w:tcPr>
          <w:p>
            <w:r/>
            <w:r>
              <w:t>Usuario</w:t>
            </w:r>
          </w:p>
        </w:tc>
        <w:tc>
          <w:tcPr>
            <w:tcW w:type="dxa" w:w="5669"/>
          </w:tcPr>
          <w:p>
            <w:r/>
            <w:r>
              <w:t>Necesito reportar un siniestro.</w:t>
            </w:r>
          </w:p>
        </w:tc>
      </w:tr>
      <w:tr>
        <w:tc>
          <w:tcPr>
            <w:tcW w:type="dxa" w:w="850"/>
          </w:tcPr>
          <w:p>
            <w:r/>
            <w:r>
              <w:t>1</w:t>
            </w:r>
          </w:p>
        </w:tc>
        <w:tc>
          <w:tcPr>
            <w:tcW w:type="dxa" w:w="2268"/>
          </w:tcPr>
          <w:p>
            <w:r/>
            <w:r>
              <w:t>Asistente (Siniestros)</w:t>
            </w:r>
          </w:p>
        </w:tc>
        <w:tc>
          <w:tcPr>
            <w:tcW w:type="dxa" w:w="5669"/>
          </w:tcPr>
          <w:p>
            <w:r/>
            <w:r>
              <w:t>Claro. ¿A nombre de quién está la póliza?</w:t>
            </w:r>
          </w:p>
        </w:tc>
      </w:tr>
      <w:tr>
        <w:tc>
          <w:tcPr>
            <w:tcW w:type="dxa" w:w="850"/>
          </w:tcPr>
          <w:p>
            <w:r/>
            <w:r>
              <w:t>2</w:t>
            </w:r>
          </w:p>
        </w:tc>
        <w:tc>
          <w:tcPr>
            <w:tcW w:type="dxa" w:w="2268"/>
          </w:tcPr>
          <w:p>
            <w:r/>
            <w:r>
              <w:t>Usuario</w:t>
            </w:r>
          </w:p>
        </w:tc>
        <w:tc>
          <w:tcPr>
            <w:tcW w:type="dxa" w:w="5669"/>
          </w:tcPr>
          <w:p>
            <w:r/>
            <w:r>
              <w:t>Juan Pérez</w:t>
            </w:r>
          </w:p>
        </w:tc>
      </w:tr>
      <w:tr>
        <w:tc>
          <w:tcPr>
            <w:tcW w:type="dxa" w:w="850"/>
          </w:tcPr>
          <w:p>
            <w:r/>
            <w:r>
              <w:t>2</w:t>
            </w:r>
          </w:p>
        </w:tc>
        <w:tc>
          <w:tcPr>
            <w:tcW w:type="dxa" w:w="2268"/>
          </w:tcPr>
          <w:p>
            <w:r/>
            <w:r>
              <w:t>Asistente</w:t>
            </w:r>
          </w:p>
        </w:tc>
        <w:tc>
          <w:tcPr>
            <w:tcW w:type="dxa" w:w="5669"/>
          </w:tcPr>
          <w:p>
            <w:r/>
            <w:r>
              <w:t>Encontré estas pólizas a tu nombre: la primera (Nissan Sentra 2022); la segunda (Toyota Hilux 2021). ¿Cuál corresponde a tu siniestro?</w:t>
            </w:r>
          </w:p>
        </w:tc>
      </w:tr>
      <w:tr>
        <w:tc>
          <w:tcPr>
            <w:tcW w:type="dxa" w:w="850"/>
          </w:tcPr>
          <w:p>
            <w:r/>
            <w:r>
              <w:t>3</w:t>
            </w:r>
          </w:p>
        </w:tc>
        <w:tc>
          <w:tcPr>
            <w:tcW w:type="dxa" w:w="2268"/>
          </w:tcPr>
          <w:p>
            <w:r/>
            <w:r>
              <w:t>Usuario</w:t>
            </w:r>
          </w:p>
        </w:tc>
        <w:tc>
          <w:tcPr>
            <w:tcW w:type="dxa" w:w="5669"/>
          </w:tcPr>
          <w:p>
            <w:r/>
            <w:r>
              <w:t>SYN-POL-1001</w:t>
            </w:r>
          </w:p>
        </w:tc>
      </w:tr>
      <w:tr>
        <w:tc>
          <w:tcPr>
            <w:tcW w:type="dxa" w:w="850"/>
          </w:tcPr>
          <w:p>
            <w:r/>
            <w:r>
              <w:t>3</w:t>
            </w:r>
          </w:p>
        </w:tc>
        <w:tc>
          <w:tcPr>
            <w:tcW w:type="dxa" w:w="2268"/>
          </w:tcPr>
          <w:p>
            <w:r/>
            <w:r>
              <w:t>Asistente</w:t>
            </w:r>
          </w:p>
        </w:tc>
        <w:tc>
          <w:tcPr>
            <w:tcW w:type="dxa" w:w="5669"/>
          </w:tcPr>
          <w:p>
            <w:r/>
            <w:r>
              <w:t>Hasta ahora tengo: ✔ cliente ✔ póliza. Solo me falta: Cuéntame sobre el incidente: ¿qué día ocurrió (AAAA-MM-DD), dónde fue, y qué tipo de siniestro es…?</w:t>
            </w:r>
          </w:p>
        </w:tc>
      </w:tr>
    </w:tbl>
    <w:p>
      <w:pPr>
        <w:spacing w:after="80"/>
      </w:pPr>
    </w:p>
    <w:p>
      <w:pPr>
        <w:spacing w:before="120" w:after="200"/>
        <w:ind w:left="283"/>
        <w:pBdr>
          <w:left w:val="single" w:sz="18" w:space="4" w:color="1F3A5F"/>
        </w:pBdr>
        <w:shd w:val="clear" w:color="auto" w:fill="F2F2F2"/>
      </w:pPr>
      <w:r>
        <w:rPr>
          <w:b/>
          <w:i/>
        </w:rPr>
        <w:t xml:space="preserve">Nota: </w:t>
      </w:r>
      <w:r>
        <w:rPr>
          <w:i/>
        </w:rPr>
        <w:t>cuando el sistema encuentra más de una póliza a nombre de la persona, las describe brevemente (por ejemplo, por el vehículo) y pregunta cuál corresponde — el usuario nunca necesita memorizar un número de póliza si prefiere identificarse solo por su nombre.</w:t>
      </w:r>
    </w:p>
    <w:p>
      <w:pPr>
        <w:spacing w:after="160"/>
      </w:pPr>
      <w:r>
        <w:rPr>
          <w:b w:val="0"/>
          <w:i w:val="0"/>
        </w:rPr>
        <w:t>En este punto, la plataforma ya conoce internamente tanto el nombre del cliente ("Juan Pérez") como la póliza (SYN-POL-1001) para el resto de la conversación.</w:t>
      </w:r>
    </w:p>
    <w:p>
      <w:pPr>
        <w:spacing w:after="80"/>
      </w:pPr>
      <w:r>
        <w:rPr>
          <w:b/>
          <w:i w:val="0"/>
        </w:rPr>
        <w:t>De Siniestros a Servicios a Corredores: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850"/>
            <w:shd w:val="clear" w:color="auto" w:fill="1F3A5F"/>
          </w:tcPr>
          <w:p>
            <w:r/>
            <w:r>
              <w:rPr>
                <w:b/>
                <w:color w:val="FFFFFF"/>
              </w:rPr>
              <w:t>Turno</w:t>
            </w:r>
          </w:p>
        </w:tc>
        <w:tc>
          <w:tcPr>
            <w:tcW w:type="dxa" w:w="2268"/>
            <w:shd w:val="clear" w:color="auto" w:fill="1F3A5F"/>
          </w:tcPr>
          <w:p>
            <w:r/>
            <w:r>
              <w:rPr>
                <w:b/>
                <w:color w:val="FFFFFF"/>
              </w:rPr>
              <w:t>Quién</w:t>
            </w:r>
          </w:p>
        </w:tc>
        <w:tc>
          <w:tcPr>
            <w:tcW w:type="dxa" w:w="5669"/>
            <w:shd w:val="clear" w:color="auto" w:fill="1F3A5F"/>
          </w:tcPr>
          <w:p>
            <w:r/>
            <w:r>
              <w:rPr>
                <w:b/>
                <w:color w:val="FFFFFF"/>
              </w:rPr>
              <w:t>Mensaje</w:t>
            </w:r>
          </w:p>
        </w:tc>
      </w:tr>
      <w:tr>
        <w:tc>
          <w:tcPr>
            <w:tcW w:type="dxa" w:w="850"/>
          </w:tcPr>
          <w:p>
            <w:r/>
            <w:r>
              <w:t>4</w:t>
            </w:r>
          </w:p>
        </w:tc>
        <w:tc>
          <w:tcPr>
            <w:tcW w:type="dxa" w:w="2268"/>
          </w:tcPr>
          <w:p>
            <w:r/>
            <w:r>
              <w:t>Usuario</w:t>
            </w:r>
          </w:p>
        </w:tc>
        <w:tc>
          <w:tcPr>
            <w:tcW w:type="dxa" w:w="5669"/>
          </w:tcPr>
          <w:p>
            <w:r/>
            <w:r>
              <w:t>Ahora quiero consultar el estado de esa póliza con mi corredor.</w:t>
            </w:r>
          </w:p>
        </w:tc>
      </w:tr>
      <w:tr>
        <w:tc>
          <w:tcPr>
            <w:tcW w:type="dxa" w:w="850"/>
          </w:tcPr>
          <w:p>
            <w:r/>
            <w:r>
              <w:t>4</w:t>
            </w:r>
          </w:p>
        </w:tc>
        <w:tc>
          <w:tcPr>
            <w:tcW w:type="dxa" w:w="2268"/>
          </w:tcPr>
          <w:p>
            <w:r/>
            <w:r>
              <w:t>Asistente (Servicios a Corredores)</w:t>
            </w:r>
          </w:p>
        </w:tc>
        <w:tc>
          <w:tcPr>
            <w:tcW w:type="dxa" w:w="5669"/>
          </w:tcPr>
          <w:p>
            <w:r/>
            <w:r>
              <w:t>Estado de la póliza SYN-POL-1001: active. Los pagos de esta póliza están al corriente.</w:t>
            </w:r>
          </w:p>
        </w:tc>
      </w:tr>
    </w:tbl>
    <w:p>
      <w:pPr>
        <w:spacing w:after="80"/>
      </w:pPr>
    </w:p>
    <w:p>
      <w:pPr>
        <w:spacing w:after="160"/>
      </w:pPr>
      <w:r>
        <w:rPr>
          <w:b w:val="0"/>
          <w:i w:val="0"/>
        </w:rPr>
        <w:t>Nótese que el asistente cambió al área de Servicios a Corredores y respondió de inmediato — no volvió a solicitar el número de póliza, porque ya había quedado establecido antes, mientras se reportaba el siniestro.</w:t>
      </w:r>
    </w:p>
    <w:p>
      <w:pPr>
        <w:spacing w:after="80"/>
      </w:pPr>
      <w:r>
        <w:rPr>
          <w:b/>
          <w:i w:val="0"/>
        </w:rPr>
        <w:t>De Servicios a Corredores a Nuevos Negocios:</w:t>
      </w:r>
    </w:p>
    <w:p>
      <w:pPr>
        <w:spacing w:after="160"/>
      </w:pPr>
      <w:r>
        <w:rPr>
          <w:b w:val="0"/>
          <w:i w:val="0"/>
        </w:rPr>
        <w:t>Continuando la misma conversación, el usuario pregunta ahora sobre una nueva oportunidad de negocio: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850"/>
            <w:shd w:val="clear" w:color="auto" w:fill="1F3A5F"/>
          </w:tcPr>
          <w:p>
            <w:r/>
            <w:r>
              <w:rPr>
                <w:b/>
                <w:color w:val="FFFFFF"/>
              </w:rPr>
              <w:t>Turno</w:t>
            </w:r>
          </w:p>
        </w:tc>
        <w:tc>
          <w:tcPr>
            <w:tcW w:type="dxa" w:w="2268"/>
            <w:shd w:val="clear" w:color="auto" w:fill="1F3A5F"/>
          </w:tcPr>
          <w:p>
            <w:r/>
            <w:r>
              <w:rPr>
                <w:b/>
                <w:color w:val="FFFFFF"/>
              </w:rPr>
              <w:t>Quién</w:t>
            </w:r>
          </w:p>
        </w:tc>
        <w:tc>
          <w:tcPr>
            <w:tcW w:type="dxa" w:w="5669"/>
            <w:shd w:val="clear" w:color="auto" w:fill="1F3A5F"/>
          </w:tcPr>
          <w:p>
            <w:r/>
            <w:r>
              <w:rPr>
                <w:b/>
                <w:color w:val="FFFFFF"/>
              </w:rPr>
              <w:t>Mensaje</w:t>
            </w:r>
          </w:p>
        </w:tc>
      </w:tr>
      <w:tr>
        <w:tc>
          <w:tcPr>
            <w:tcW w:type="dxa" w:w="850"/>
          </w:tcPr>
          <w:p>
            <w:r/>
            <w:r>
              <w:t>5</w:t>
            </w:r>
          </w:p>
        </w:tc>
        <w:tc>
          <w:tcPr>
            <w:tcW w:type="dxa" w:w="2268"/>
          </w:tcPr>
          <w:p>
            <w:r/>
            <w:r>
              <w:t>Usuario</w:t>
            </w:r>
          </w:p>
        </w:tc>
        <w:tc>
          <w:tcPr>
            <w:tcW w:type="dxa" w:w="5669"/>
          </w:tcPr>
          <w:p>
            <w:r/>
            <w:r>
              <w:t>También quisiera una cotización para asegurar otro negocio que tengo.</w:t>
            </w:r>
          </w:p>
        </w:tc>
      </w:tr>
      <w:tr>
        <w:tc>
          <w:tcPr>
            <w:tcW w:type="dxa" w:w="850"/>
          </w:tcPr>
          <w:p>
            <w:r/>
            <w:r>
              <w:t>5</w:t>
            </w:r>
          </w:p>
        </w:tc>
        <w:tc>
          <w:tcPr>
            <w:tcW w:type="dxa" w:w="2268"/>
          </w:tcPr>
          <w:p>
            <w:r/>
            <w:r>
              <w:t>Asistente (Nuevos Negocios)</w:t>
            </w:r>
          </w:p>
        </w:tc>
        <w:tc>
          <w:tcPr>
            <w:tcW w:type="dxa" w:w="5669"/>
          </w:tcPr>
          <w:p>
            <w:r/>
            <w:r>
              <w:t>¿Cuál es el nombre de tu empresa o negocio?</w:t>
            </w:r>
          </w:p>
        </w:tc>
      </w:tr>
      <w:tr>
        <w:tc>
          <w:tcPr>
            <w:tcW w:type="dxa" w:w="850"/>
          </w:tcPr>
          <w:p>
            <w:r/>
            <w:r>
              <w:t>6</w:t>
            </w:r>
          </w:p>
        </w:tc>
        <w:tc>
          <w:tcPr>
            <w:tcW w:type="dxa" w:w="2268"/>
          </w:tcPr>
          <w:p>
            <w:r/>
            <w:r>
              <w:t>Usuario</w:t>
            </w:r>
          </w:p>
        </w:tc>
        <w:tc>
          <w:tcPr>
            <w:tcW w:type="dxa" w:w="5669"/>
          </w:tcPr>
          <w:p>
            <w:r/>
            <w:r>
              <w:t>Constructora Sintética del Norte</w:t>
            </w:r>
          </w:p>
        </w:tc>
      </w:tr>
      <w:tr>
        <w:tc>
          <w:tcPr>
            <w:tcW w:type="dxa" w:w="850"/>
          </w:tcPr>
          <w:p>
            <w:r/>
            <w:r>
              <w:t>6</w:t>
            </w:r>
          </w:p>
        </w:tc>
        <w:tc>
          <w:tcPr>
            <w:tcW w:type="dxa" w:w="2268"/>
          </w:tcPr>
          <w:p>
            <w:r/>
            <w:r>
              <w:t>Asistente</w:t>
            </w:r>
          </w:p>
        </w:tc>
        <w:tc>
          <w:tcPr>
            <w:tcW w:type="dxa" w:w="5669"/>
          </w:tcPr>
          <w:p>
            <w:r/>
            <w:r>
              <w:t>¿Prefieres que te contactemos por correo electrónico o por teléfono?</w:t>
            </w:r>
          </w:p>
        </w:tc>
      </w:tr>
    </w:tbl>
    <w:p>
      <w:pPr>
        <w:spacing w:after="80"/>
      </w:pPr>
    </w:p>
    <w:p>
      <w:pPr>
        <w:spacing w:after="160"/>
      </w:pPr>
      <w:r>
        <w:rPr>
          <w:b w:val="0"/>
          <w:i w:val="0"/>
        </w:rPr>
        <w:t>Nótese que el asistente preguntó por el nombre de la empresa (un dato genuinamente nuevo), pero pasó directamente a preguntar por el canal de contacto preferido — no volvió a preguntar "¿cuál es el nombre completo de la persona de contacto?", porque ese dato (el nombre del cliente, establecido en el primer turno de la conversación) ya era conocido.</w:t>
      </w:r>
    </w:p>
    <w:p>
      <w:pPr>
        <w:jc w:val="center"/>
      </w:pPr>
      <w:r>
        <w:drawing>
          <wp:inline xmlns:a="http://schemas.openxmlformats.org/drawingml/2006/main" xmlns:pic="http://schemas.openxmlformats.org/drawingml/2006/picture">
            <wp:extent cx="5486400" cy="4538036"/>
            <wp:docPr id="10" name="Picture 10"/>
            <wp:cNvGraphicFramePr>
              <a:graphicFrameLocks noChangeAspect="1"/>
            </wp:cNvGraphicFramePr>
            <a:graphic>
              <a:graphicData uri="http://schemas.openxmlformats.org/drawingml/2006/picture">
                <pic:pic>
                  <pic:nvPicPr>
                    <pic:cNvPr id="0" name="fig_08_conversation_memory.png"/>
                    <pic:cNvPicPr/>
                  </pic:nvPicPr>
                  <pic:blipFill>
                    <a:blip r:embed="rId18"/>
                    <a:stretch>
                      <a:fillRect/>
                    </a:stretch>
                  </pic:blipFill>
                  <pic:spPr>
                    <a:xfrm>
                      <a:off x="0" y="0"/>
                      <a:ext cx="5486400" cy="4538036"/>
                    </a:xfrm>
                    <a:prstGeom prst="rect"/>
                  </pic:spPr>
                </pic:pic>
              </a:graphicData>
            </a:graphic>
          </wp:inline>
        </w:drawing>
      </w:r>
    </w:p>
    <w:p>
      <w:pPr>
        <w:spacing w:after="280"/>
        <w:jc w:val="center"/>
      </w:pPr>
      <w:r>
        <w:rPr>
          <w:b/>
        </w:rPr>
        <w:t>Figura 10.</w:t>
      </w:r>
      <w:r>
        <w:t xml:space="preserve"> Cambio de contexto entre Siniestros, Servicios a Corredores y Nuevos Negocios.</w:t>
      </w:r>
    </w:p>
    <w:p>
      <w:pPr>
        <w:spacing w:after="80"/>
      </w:pPr>
      <w:r>
        <w:rPr>
          <w:b/>
          <w:i w:val="0"/>
        </w:rPr>
        <w:t>¿Qué observa el usuario?</w:t>
      </w:r>
    </w:p>
    <w:p>
      <w:pPr>
        <w:spacing w:after="160"/>
      </w:pPr>
      <w:r>
        <w:rPr>
          <w:b w:val="0"/>
          <w:i w:val="0"/>
        </w:rPr>
        <w:t>Cambiar de tema se siente como hablar con un mismo asistente que recuerda la conversación, y no con tres sistemas distintos. Solo los datos que la plataforma efectivamente conserva (por ahora: nombre del cliente o contacto, identidad del broker, número de póliza, número de siniestro, nombre del negocio, fecha/tipo/lugar del incidente, y cobertura) se reutilizan automáticamente al cambiar de tema — cualquier otro dato (por ejemplo, un número telefónico proporcionado a un área) puede volver a solicitarse en un área distinta.</w:t>
      </w:r>
    </w:p>
    <w:p>
      <w:pPr>
        <w:spacing w:before="120" w:after="200"/>
        <w:ind w:left="283"/>
        <w:pBdr>
          <w:left w:val="single" w:sz="18" w:space="4" w:color="1F3A5F"/>
        </w:pBdr>
        <w:shd w:val="clear" w:color="auto" w:fill="F2F2F2"/>
      </w:pPr>
      <w:r>
        <w:rPr>
          <w:b/>
          <w:i/>
        </w:rPr>
        <w:t xml:space="preserve">Nota de verificación: </w:t>
      </w:r>
      <w:r>
        <w:rPr>
          <w:i/>
        </w:rPr>
        <w:t>este comportamiento depende de cómo se proporciona cada dato. Si en el primer paso el usuario hubiera escrito directamente un número de póliza (por ejemplo, "SYN-POL-0001") en lugar de su nombre, el sistema habría reconocido la póliza pero no un nombre de cliente — y en ese caso, el área de Nuevos Negocios sí volvería a preguntar por el nombre de la persona de contacto, ya que ese dato en particular no se habría establecido antes. La reutilización automática de información opera dato por dato, no por tema general de conversación.</w:t>
      </w:r>
    </w:p>
    <w:p>
      <w:r>
        <w:br w:type="page"/>
      </w:r>
    </w:p>
    <w:p>
      <w:pPr>
        <w:pStyle w:val="Heading1"/>
      </w:pPr>
      <w:r>
        <w:rPr>
          <w:color w:val="1F3A5F"/>
        </w:rPr>
        <w:t>10. Preguntas Frecuentes</w:t>
      </w:r>
    </w:p>
    <w:p>
      <w:pPr>
        <w:spacing w:before="200" w:after="40"/>
      </w:pPr>
      <w:r>
        <w:rPr>
          <w:b/>
          <w:color w:val="1F3A5F"/>
        </w:rPr>
        <w:t>¿Por qué me solicita el número de póliza?</w:t>
      </w:r>
    </w:p>
    <w:p>
      <w:pPr>
        <w:spacing w:after="80"/>
      </w:pPr>
      <w:r>
        <w:rPr>
          <w:b w:val="0"/>
          <w:i w:val="0"/>
        </w:rPr>
        <w:t>El número de póliza es lo que permite al asistente consultar el estado real de tu póliza, el estado de pago y la cobertura en los registros de la plataforma — sin ese número no es posible confirmar ninguno de esos datos.</w:t>
      </w:r>
    </w:p>
    <w:p>
      <w:pPr>
        <w:spacing w:before="200" w:after="40"/>
      </w:pPr>
      <w:r>
        <w:rPr>
          <w:b/>
          <w:color w:val="1F3A5F"/>
        </w:rPr>
        <w:t>¿Por qué hace preguntas adicionales?</w:t>
      </w:r>
    </w:p>
    <w:p>
      <w:pPr>
        <w:spacing w:after="80"/>
      </w:pPr>
      <w:r>
        <w:rPr>
          <w:b w:val="0"/>
          <w:i w:val="0"/>
        </w:rPr>
        <w:t>Cada área especializada necesita un conjunto específico y fijo de datos para completar la solicitud (por ejemplo, un siniestro requiere la fecha, el lugar y el tipo de incidente). El asistente pregunta únicamente lo que aún falta, un dato a la vez, en lugar de solicitar un formulario extenso desde el inicio.</w:t>
      </w:r>
    </w:p>
    <w:p>
      <w:pPr>
        <w:spacing w:before="200" w:after="40"/>
      </w:pPr>
      <w:r>
        <w:rPr>
          <w:b/>
          <w:color w:val="1F3A5F"/>
        </w:rPr>
        <w:t>¿Qué sucede si ingreso información incorrecta?</w:t>
      </w:r>
    </w:p>
    <w:p>
      <w:pPr>
        <w:spacing w:after="80"/>
      </w:pPr>
      <w:r>
        <w:rPr>
          <w:b w:val="0"/>
          <w:i w:val="0"/>
        </w:rPr>
        <w:t>Si un número de póliza, transacción o broker no se encuentra, el asistente lo indica directamente (por ejemplo: "No encontramos una póliza con el número '...'. ¿Puedes verificarlo y proporcionarlo de nuevo?") y solicita verificarlo y volver a proporcionarlo. El resto de la información ya capturada no se pierde ni es necesario volver a ingresarla.</w:t>
      </w:r>
    </w:p>
    <w:p>
      <w:pPr>
        <w:spacing w:before="200" w:after="40"/>
      </w:pPr>
      <w:r>
        <w:rPr>
          <w:b/>
          <w:color w:val="1F3A5F"/>
        </w:rPr>
        <w:t>¿Puedo cambiar de tema durante la conversación?</w:t>
      </w:r>
    </w:p>
    <w:p>
      <w:pPr>
        <w:spacing w:after="80"/>
      </w:pPr>
      <w:r>
        <w:rPr>
          <w:b w:val="0"/>
          <w:i w:val="0"/>
        </w:rPr>
        <w:t>Sí. Es posible pasar libremente entre siniestros, servicios a corredores y nuevos negocios dentro de la misma conversación, y el asistente dirige automáticamente cada mensaje al área correspondiente. Los datos ya establecidos se reutilizan cuando es posible (ver Escenario 5).</w:t>
      </w:r>
    </w:p>
    <w:p>
      <w:pPr>
        <w:spacing w:before="200" w:after="40"/>
      </w:pPr>
      <w:r>
        <w:rPr>
          <w:b/>
          <w:color w:val="1F3A5F"/>
        </w:rPr>
        <w:t>¿Cómo reinicio la conversación?</w:t>
      </w:r>
    </w:p>
    <w:p>
      <w:pPr>
        <w:spacing w:after="80"/>
      </w:pPr>
      <w:r>
        <w:rPr>
          <w:b w:val="0"/>
          <w:i w:val="0"/>
        </w:rPr>
        <w:t>Selecciona "+ Nueva conversación" en el panel lateral. Esto inicia una conversación nueva; la conversación anterior no se elimina y permanece disponible en el historial.</w:t>
      </w:r>
    </w:p>
    <w:p>
      <w:pPr>
        <w:spacing w:before="200" w:after="40"/>
      </w:pPr>
      <w:r>
        <w:rPr>
          <w:b/>
          <w:color w:val="1F3A5F"/>
        </w:rPr>
        <w:t>¿Puedo adjuntar un documento (por ejemplo, una fotografía del daño)?</w:t>
      </w:r>
    </w:p>
    <w:p>
      <w:pPr>
        <w:spacing w:after="80"/>
      </w:pPr>
      <w:r>
        <w:rPr>
          <w:b w:val="0"/>
          <w:i w:val="0"/>
        </w:rPr>
        <w:t>No, en esta versión de la plataforma no existe ningún control para adjuntar archivos o documentos.</w:t>
      </w:r>
    </w:p>
    <w:p>
      <w:pPr>
        <w:spacing w:before="200" w:after="40"/>
      </w:pPr>
      <w:r>
        <w:rPr>
          <w:b/>
          <w:color w:val="1F3A5F"/>
        </w:rPr>
        <w:t>¿El asistente decide finalmente sobre mi siniestro o cotización?</w:t>
      </w:r>
    </w:p>
    <w:p>
      <w:pPr>
        <w:spacing w:after="80"/>
      </w:pPr>
      <w:r>
        <w:rPr>
          <w:b w:val="0"/>
          <w:i w:val="0"/>
        </w:rPr>
        <w:t>No. El asistente únicamente recopila y registra información — nunca aprueba ni rechaza un siniestro, determina la cobertura, ni emite una cotización o prima. Esas decisiones siempre las toma una persona.</w:t>
      </w:r>
    </w:p>
    <w:p>
      <w:pPr>
        <w:pStyle w:val="Heading1"/>
      </w:pPr>
      <w:r>
        <w:rPr>
          <w:color w:val="1F3A5F"/>
        </w:rPr>
        <w:t>11. Recomendaciones de uso</w:t>
      </w:r>
    </w:p>
    <w:p>
      <w:pPr>
        <w:pStyle w:val="ListBullet"/>
        <w:spacing w:after="80"/>
      </w:pPr>
      <w:r>
        <w:rPr>
          <w:b/>
        </w:rPr>
        <w:t>Proporcionar información completa cuando sea posible</w:t>
      </w:r>
      <w:r>
        <w:rPr>
          <w:b w:val="0"/>
        </w:rPr>
        <w:t xml:space="preserve"> — un mensaje que responde más de una pregunta a la vez (por ejemplo, indicar el broker y el período de comisión juntos) se interpreta correctamente y agiliza la conversación.</w:t>
      </w:r>
    </w:p>
    <w:p>
      <w:pPr>
        <w:pStyle w:val="ListBullet"/>
        <w:spacing w:after="80"/>
      </w:pPr>
      <w:r>
        <w:rPr>
          <w:b/>
        </w:rPr>
        <w:t>Responder directamente las preguntas del asistente</w:t>
      </w:r>
      <w:r>
        <w:rPr>
          <w:b w:val="0"/>
        </w:rPr>
        <w:t xml:space="preserve"> — cuando falta información, el asistente pregunta un dato a la vez; una respuesta directa mantiene fluida la conversación.</w:t>
      </w:r>
    </w:p>
    <w:p>
      <w:pPr>
        <w:pStyle w:val="ListBullet"/>
        <w:spacing w:after="80"/>
      </w:pPr>
      <w:r>
        <w:rPr>
          <w:b/>
        </w:rPr>
        <w:t>Utilizar el número correcto de póliza, broker o transacción</w:t>
      </w:r>
      <w:r>
        <w:rPr>
          <w:b w:val="0"/>
        </w:rPr>
        <w:t xml:space="preserve"> cuando se tenga a la mano — esto permite al asistente confirmar los datos de inmediato, en lugar de pedir que se verifiquen y reintenten.</w:t>
      </w:r>
    </w:p>
    <w:p>
      <w:pPr>
        <w:pStyle w:val="ListBullet"/>
        <w:spacing w:after="80"/>
      </w:pPr>
      <w:r>
        <w:rPr>
          <w:b/>
        </w:rPr>
        <w:t>Revisar la confirmación antes de registrar un trámite</w:t>
      </w:r>
      <w:r>
        <w:rPr>
          <w:b w:val="0"/>
        </w:rPr>
        <w:t xml:space="preserve"> — para un siniestro, el asistente siempre resume todo lo capturado y solicita una confirmación explícita antes de registrar cualquier dato; conviene revisarla con cuidado y responder "no" si algo debe corregirse.</w:t>
      </w:r>
    </w:p>
    <w:p>
      <w:pPr>
        <w:pStyle w:val="ListBullet"/>
        <w:spacing w:after="80"/>
      </w:pPr>
      <w:r>
        <w:rPr>
          <w:b/>
        </w:rPr>
        <w:t>Mantener temas relacionados en una misma conversación</w:t>
      </w:r>
      <w:r>
        <w:rPr>
          <w:b w:val="0"/>
        </w:rPr>
        <w:t xml:space="preserve"> — cambiar entre siniestros, servicios a corredores y nuevos negocios dentro de la misma conversación permite que el asistente reutilice los datos que ya conoce (Escenario 5); iniciar una conversación nueva para un tema no relacionado implica comenzar desde cero.</w:t>
      </w:r>
    </w:p>
    <w:p>
      <w:pPr>
        <w:pStyle w:val="Heading1"/>
      </w:pPr>
      <w:r>
        <w:rPr>
          <w:color w:val="1F3A5F"/>
        </w:rPr>
        <w:t>12. Limitaciones actuales</w:t>
      </w:r>
    </w:p>
    <w:p>
      <w:pPr>
        <w:spacing w:after="160"/>
      </w:pPr>
      <w:r>
        <w:rPr>
          <w:b w:val="0"/>
          <w:i w:val="0"/>
        </w:rPr>
        <w:t>Se documentan únicamente las limitaciones que realmente existen en esta versión de la plataforma.</w:t>
      </w:r>
    </w:p>
    <w:p>
      <w:pPr>
        <w:pStyle w:val="ListBullet"/>
        <w:spacing w:after="80"/>
      </w:pPr>
      <w:r>
        <w:rPr>
          <w:b/>
        </w:rPr>
        <w:t>No existe autenticación de usuarios.</w:t>
      </w:r>
      <w:r>
        <w:rPr>
          <w:b w:val="0"/>
        </w:rPr>
        <w:t xml:space="preserve"> No hay inicio de sesión ni verificación de identidad de quien utiliza la aplicación (ver Sección 3).</w:t>
      </w:r>
    </w:p>
    <w:p>
      <w:pPr>
        <w:pStyle w:val="ListBullet"/>
        <w:spacing w:after="80"/>
      </w:pPr>
      <w:r>
        <w:rPr>
          <w:b/>
        </w:rPr>
        <w:t>Solo se utilizan datos sintéticos.</w:t>
      </w:r>
      <w:r>
        <w:rPr>
          <w:b w:val="0"/>
        </w:rPr>
        <w:t xml:space="preserve"> Toda póliza, siniestro, broker, cliente y comisión que menciona el asistente es ficticia, con fines demostrativos — no existe conexión con ningún sistema de negocio real ni con datos reales de clientes.</w:t>
      </w:r>
    </w:p>
    <w:p>
      <w:pPr>
        <w:pStyle w:val="ListBullet"/>
        <w:spacing w:after="80"/>
      </w:pPr>
      <w:r>
        <w:rPr>
          <w:b/>
        </w:rPr>
        <w:t>No es posible adjuntar documentos o archivos.</w:t>
      </w:r>
      <w:r>
        <w:rPr>
          <w:b w:val="0"/>
        </w:rPr>
        <w:t xml:space="preserve"> La interfaz no cuenta con ninguna función para adjuntar una fotografía, un PDF u otro archivo a la conversación.</w:t>
      </w:r>
    </w:p>
    <w:p>
      <w:pPr>
        <w:pStyle w:val="ListBullet"/>
        <w:spacing w:after="80"/>
      </w:pPr>
      <w:r>
        <w:rPr>
          <w:b/>
        </w:rPr>
        <w:t>Nunca se genera una cotización, prima o decisión de cobertura.</w:t>
      </w:r>
      <w:r>
        <w:rPr>
          <w:b w:val="0"/>
        </w:rPr>
        <w:t xml:space="preserve"> El área de Nuevos Negocios únicamente registra una solicitud para seguimiento humano; el área de Siniestros únicamente registra hechos, nunca una determinación de cobertura.</w:t>
      </w:r>
    </w:p>
    <w:p>
      <w:pPr>
        <w:pStyle w:val="ListBullet"/>
        <w:spacing w:after="80"/>
      </w:pPr>
      <w:r>
        <w:rPr>
          <w:b/>
        </w:rPr>
        <w:t>La memoria conserva solamente ciertos datos específicos.</w:t>
      </w:r>
      <w:r>
        <w:rPr>
          <w:b w:val="0"/>
        </w:rPr>
        <w:t xml:space="preserve"> Como se muestra en el Escenario 5, solo un conjunto fijo de datos (nombre del cliente o contacto, identidad del broker, número de póliza, número de siniestro, nombre del negocio, fecha/tipo/lugar del incidente y cobertura) se reutiliza automáticamente entre distintos temas de una misma conversación — cualquier otro dato puede volver a solicitarse en un área distinta.</w:t>
      </w:r>
    </w:p>
    <w:p>
      <w:pPr>
        <w:pStyle w:val="ListBullet"/>
        <w:spacing w:after="80"/>
      </w:pPr>
      <w:r>
        <w:rPr>
          <w:b/>
        </w:rPr>
        <w:t>No es posible eliminar ni renombrar una conversación</w:t>
      </w:r>
      <w:r>
        <w:rPr>
          <w:b w:val="0"/>
        </w:rPr>
        <w:t xml:space="preserve"> desde la interfaz — solo se puede iniciar una nueva ("+ Nueva conversación") o volver a abrir una existente desde el historial.</w:t>
      </w:r>
    </w:p>
    <w:p>
      <w:pPr>
        <w:pStyle w:val="ListBullet"/>
        <w:spacing w:after="80"/>
      </w:pPr>
      <w:r>
        <w:rPr>
          <w:b/>
        </w:rPr>
        <w:t>La interfaz se presenta en español de forma predeterminada</w:t>
      </w:r>
      <w:r>
        <w:rPr>
          <w:b w:val="0"/>
        </w:rPr>
        <w:t xml:space="preserve"> (mensaje de bienvenida, ejemplos de mensajes y etiquetas del panel lateral). El asistente sí comprende y puede responder también en inglés, aunque los elementos visibles de la interfaz están orientados principalmente al español.</w:t>
      </w:r>
    </w:p>
    <w:p>
      <w:r>
        <w:br w:type="page"/>
      </w:r>
    </w:p>
    <w:p>
      <w:pPr>
        <w:pStyle w:val="Heading1"/>
      </w:pPr>
      <w:r>
        <w:rPr>
          <w:color w:val="1F3A5F"/>
        </w:rPr>
        <w:t>13. Solución de problemas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835"/>
            <w:shd w:val="clear" w:color="auto" w:fill="1F3A5F"/>
          </w:tcPr>
          <w:p>
            <w:r/>
            <w:r>
              <w:rPr>
                <w:b/>
                <w:color w:val="FFFFFF"/>
              </w:rPr>
              <w:t>Problema</w:t>
            </w:r>
          </w:p>
        </w:tc>
        <w:tc>
          <w:tcPr>
            <w:tcW w:type="dxa" w:w="2835"/>
            <w:shd w:val="clear" w:color="auto" w:fill="1F3A5F"/>
          </w:tcPr>
          <w:p>
            <w:r/>
            <w:r>
              <w:rPr>
                <w:b/>
                <w:color w:val="FFFFFF"/>
              </w:rPr>
              <w:t>Posible causa</w:t>
            </w:r>
          </w:p>
        </w:tc>
        <w:tc>
          <w:tcPr>
            <w:tcW w:type="dxa" w:w="3118"/>
            <w:shd w:val="clear" w:color="auto" w:fill="1F3A5F"/>
          </w:tcPr>
          <w:p>
            <w:r/>
            <w:r>
              <w:rPr>
                <w:b/>
                <w:color w:val="FFFFFF"/>
              </w:rPr>
              <w:t>Qué debe hacer el usuario</w:t>
            </w:r>
          </w:p>
        </w:tc>
      </w:tr>
      <w:tr>
        <w:tc>
          <w:tcPr>
            <w:tcW w:type="dxa" w:w="2835"/>
          </w:tcPr>
          <w:p>
            <w:r/>
            <w:r>
              <w:t>El asistente respondió de forma general, sin dirigirme al área correcta</w:t>
            </w:r>
          </w:p>
        </w:tc>
        <w:tc>
          <w:tcPr>
            <w:tcW w:type="dxa" w:w="2835"/>
          </w:tcPr>
          <w:p>
            <w:r/>
            <w:r>
              <w:t>El mensaje no contenía una palabra que el asistente reconozca para un área específica (siniestros, servicios a corredores o nuevos negocios)</w:t>
            </w:r>
          </w:p>
        </w:tc>
        <w:tc>
          <w:tcPr>
            <w:tcW w:type="dxa" w:w="3118"/>
          </w:tcPr>
          <w:p>
            <w:r/>
            <w:r>
              <w:t>Redactar el mensaje usando un término más directo sobre lo que se necesita, por ejemplo: "reportar un siniestro", "mis comisiones" o "cotización para mi empresa"</w:t>
            </w:r>
          </w:p>
        </w:tc>
      </w:tr>
      <w:tr>
        <w:tc>
          <w:tcPr>
            <w:tcW w:type="dxa" w:w="2835"/>
          </w:tcPr>
          <w:p>
            <w:r/>
            <w:r>
              <w:t>Apareció un mensaje indicando un problema de conexión, con un botón "Reintentar"</w:t>
            </w:r>
          </w:p>
        </w:tc>
        <w:tc>
          <w:tcPr>
            <w:tcW w:type="dxa" w:w="2835"/>
          </w:tcPr>
          <w:p>
            <w:r/>
            <w:r>
              <w:t>Ocurrió un problema temporal de conectividad al enviar el mensaje</w:t>
            </w:r>
          </w:p>
        </w:tc>
        <w:tc>
          <w:tcPr>
            <w:tcW w:type="dxa" w:w="3118"/>
          </w:tcPr>
          <w:p>
            <w:r/>
            <w:r>
              <w:t>Seleccionar "Reintentar" para reenviar el mismo mensaje; si el problema continúa, intentarlo de nuevo en unos minutos</w:t>
            </w:r>
          </w:p>
        </w:tc>
      </w:tr>
      <w:tr>
        <w:tc>
          <w:tcPr>
            <w:tcW w:type="dxa" w:w="2835"/>
          </w:tcPr>
          <w:p>
            <w:r/>
            <w:r>
              <w:t>El asistente volvió a pedirme el número de póliza, broker o transacción después de haberlo proporcionado</w:t>
            </w:r>
          </w:p>
        </w:tc>
        <w:tc>
          <w:tcPr>
            <w:tcW w:type="dxa" w:w="2835"/>
          </w:tcPr>
          <w:p>
            <w:r/>
            <w:r>
              <w:t>El número proporcionado no se encontró en los registros sintéticos de la plataforma, por lo que el asistente solicita verificarlo y volver a ingresarlo</w:t>
            </w:r>
          </w:p>
        </w:tc>
        <w:tc>
          <w:tcPr>
            <w:tcW w:type="dxa" w:w="3118"/>
          </w:tcPr>
          <w:p>
            <w:r/>
            <w:r>
              <w:t>Verificar el número y proporcionarlo nuevamente tal como fue emitido (por ejemplo, SYN-POL-0001)</w:t>
            </w:r>
          </w:p>
        </w:tc>
      </w:tr>
      <w:tr>
        <w:tc>
          <w:tcPr>
            <w:tcW w:type="dxa" w:w="2835"/>
          </w:tcPr>
          <w:p>
            <w:r/>
            <w:r>
              <w:t>Cambié de tema y el asistente volvió a preguntarme algo que ya había respondido</w:t>
            </w:r>
          </w:p>
        </w:tc>
        <w:tc>
          <w:tcPr>
            <w:tcW w:type="dxa" w:w="2835"/>
          </w:tcPr>
          <w:p>
            <w:r/>
            <w:r>
              <w:t>Ese dato en particular no forma parte del conjunto de información que la plataforma reutiliza automáticamente entre temas (ver Sección 12)</w:t>
            </w:r>
          </w:p>
        </w:tc>
        <w:tc>
          <w:tcPr>
            <w:tcW w:type="dxa" w:w="3118"/>
          </w:tcPr>
          <w:p>
            <w:r/>
            <w:r>
              <w:t>Proporcionar nuevamente el dato solicitado — este comportamiento es esperado, no un error</w:t>
            </w:r>
          </w:p>
        </w:tc>
      </w:tr>
      <w:tr>
        <w:tc>
          <w:tcPr>
            <w:tcW w:type="dxa" w:w="2835"/>
          </w:tcPr>
          <w:p>
            <w:r/>
            <w:r>
              <w:t>No veo una conversación anterior en el historial</w:t>
            </w:r>
          </w:p>
        </w:tc>
        <w:tc>
          <w:tcPr>
            <w:tcW w:type="dxa" w:w="2835"/>
          </w:tcPr>
          <w:p>
            <w:r/>
            <w:r>
              <w:t>Es posible que se esté utilizando un navegador o dispositivo distinto, o que se haya borrado el almacenamiento del navegador</w:t>
            </w:r>
          </w:p>
        </w:tc>
        <w:tc>
          <w:tcPr>
            <w:tcW w:type="dxa" w:w="3118"/>
          </w:tcPr>
          <w:p>
            <w:r/>
            <w:r>
              <w:t>El historial de conversaciones está asociado únicamente a ese navegador; actualmente no puede transferirse entre navegadores o dispositivos</w:t>
            </w:r>
          </w:p>
        </w:tc>
      </w:tr>
      <w:tr>
        <w:tc>
          <w:tcPr>
            <w:tcW w:type="dxa" w:w="2835"/>
          </w:tcPr>
          <w:p>
            <w:r/>
            <w:r>
              <w:t>El número de referencia del siniestro/solicitud que recibí es distinto al de un ejemplo de este manual</w:t>
            </w:r>
          </w:p>
        </w:tc>
        <w:tc>
          <w:tcPr>
            <w:tcW w:type="dxa" w:w="2835"/>
          </w:tcPr>
          <w:p>
            <w:r/>
            <w:r>
              <w:t>Los números de referencia incluyen un consecutivo que aumenta con cada nuevo registro</w:t>
            </w:r>
          </w:p>
        </w:tc>
        <w:tc>
          <w:tcPr>
            <w:tcW w:type="dxa" w:w="3118"/>
          </w:tcPr>
          <w:p>
            <w:r/>
            <w:r>
              <w:t>Esto es normal — el número exacto puede variar; lo importante es que el formato (por ejemplo, SYN-CLM-2026-000x) sea el correcto</w:t>
            </w:r>
          </w:p>
        </w:tc>
      </w:tr>
    </w:tbl>
    <w:p>
      <w:pPr>
        <w:spacing w:after="80"/>
      </w:pPr>
    </w:p>
    <w:p>
      <w:r>
        <w:br w:type="page"/>
      </w:r>
    </w:p>
    <w:p>
      <w:pPr>
        <w:pStyle w:val="Heading1"/>
      </w:pPr>
      <w:r>
        <w:rPr>
          <w:color w:val="1F3A5F"/>
        </w:rPr>
        <w:t>14. Guía rápida</w:t>
      </w:r>
    </w:p>
    <w:p>
      <w:pPr>
        <w:spacing w:after="160"/>
      </w:pPr>
      <w:r>
        <w:rPr>
          <w:b w:val="0"/>
          <w:i/>
        </w:rPr>
        <w:t>(Esta página está diseñada para poder imprimirse de manera independiente.)</w:t>
      </w:r>
    </w:p>
    <w:p>
      <w:pPr>
        <w:pStyle w:val="Heading2"/>
      </w:pPr>
      <w:r>
        <w:rPr>
          <w:color w:val="1F3A5F"/>
        </w:rPr>
        <w:t>TMX Enterprise AI Reference Platform — Guía rápida</w:t>
      </w:r>
    </w:p>
    <w:p>
      <w:pPr>
        <w:spacing w:after="160"/>
      </w:pPr>
      <w:r>
        <w:rPr>
          <w:b w:val="0"/>
          <w:i w:val="0"/>
        </w:rPr>
        <w:t>¿Qué hace el sistema? Un asistente de conversación para solicitudes sintéticas de Siniestros, Servicios a Corredores y Nuevos Negocios — sin formularios, sin sistemas separados.</w:t>
      </w:r>
    </w:p>
    <w:p>
      <w:pPr>
        <w:spacing w:after="80"/>
      </w:pPr>
      <w:r>
        <w:rPr>
          <w:b/>
          <w:i w:val="0"/>
        </w:rPr>
        <w:t>Funciones principales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2835"/>
            <w:shd w:val="clear" w:color="auto" w:fill="1F3A5F"/>
          </w:tcPr>
          <w:p>
            <w:r/>
            <w:r>
              <w:rPr>
                <w:b/>
                <w:color w:val="FFFFFF"/>
              </w:rPr>
              <w:t>Área</w:t>
            </w:r>
          </w:p>
        </w:tc>
        <w:tc>
          <w:tcPr>
            <w:tcW w:type="dxa" w:w="5953"/>
            <w:shd w:val="clear" w:color="auto" w:fill="1F3A5F"/>
          </w:tcPr>
          <w:p>
            <w:r/>
            <w:r>
              <w:rPr>
                <w:b/>
                <w:color w:val="FFFFFF"/>
              </w:rPr>
              <w:t>Qué se puede solicitar</w:t>
            </w:r>
          </w:p>
        </w:tc>
      </w:tr>
      <w:tr>
        <w:tc>
          <w:tcPr>
            <w:tcW w:type="dxa" w:w="2835"/>
          </w:tcPr>
          <w:p>
            <w:r/>
            <w:r>
              <w:t>Siniestros</w:t>
            </w:r>
          </w:p>
        </w:tc>
        <w:tc>
          <w:tcPr>
            <w:tcW w:type="dxa" w:w="5953"/>
          </w:tcPr>
          <w:p>
            <w:r/>
            <w:r>
              <w:t>Reportar un siniestro; consultar póliza/pago/cobertura como parte de ese proceso</w:t>
            </w:r>
          </w:p>
        </w:tc>
      </w:tr>
      <w:tr>
        <w:tc>
          <w:tcPr>
            <w:tcW w:type="dxa" w:w="2835"/>
          </w:tcPr>
          <w:p>
            <w:r/>
            <w:r>
              <w:t>Servicios a Corredores</w:t>
            </w:r>
          </w:p>
        </w:tc>
        <w:tc>
          <w:tcPr>
            <w:tcW w:type="dxa" w:w="5953"/>
          </w:tcPr>
          <w:p>
            <w:r/>
            <w:r>
              <w:t>Consultar el estado de una póliza o transacción; revisar o solicitar el pago de comisiones</w:t>
            </w:r>
          </w:p>
        </w:tc>
      </w:tr>
      <w:tr>
        <w:tc>
          <w:tcPr>
            <w:tcW w:type="dxa" w:w="2835"/>
          </w:tcPr>
          <w:p>
            <w:r/>
            <w:r>
              <w:t>Nuevos Negocios</w:t>
            </w:r>
          </w:p>
        </w:tc>
        <w:tc>
          <w:tcPr>
            <w:tcW w:type="dxa" w:w="5953"/>
          </w:tcPr>
          <w:p>
            <w:r/>
            <w:r>
              <w:t>Registrar una nueva solicitud de seguro comercial para seguimiento</w:t>
            </w:r>
          </w:p>
        </w:tc>
      </w:tr>
    </w:tbl>
    <w:p>
      <w:pPr>
        <w:spacing w:after="80"/>
      </w:pPr>
    </w:p>
    <w:p>
      <w:pPr>
        <w:spacing w:after="80"/>
      </w:pPr>
      <w:r>
        <w:rPr>
          <w:b/>
          <w:i w:val="0"/>
        </w:rPr>
        <w:t>Acciones más comunes</w:t>
      </w:r>
    </w:p>
    <w:p>
      <w:pPr>
        <w:pStyle w:val="ListBullet"/>
        <w:spacing w:after="80"/>
      </w:pPr>
      <w:r>
        <w:rPr>
          <w:b w:val="0"/>
        </w:rPr>
        <w:t>Escribir la solicitud en español o inglés, con lenguaje natural — no se requieren comandos especiales.</w:t>
      </w:r>
    </w:p>
    <w:p>
      <w:pPr>
        <w:pStyle w:val="ListBullet"/>
        <w:spacing w:after="80"/>
      </w:pPr>
      <w:r>
        <w:rPr>
          <w:b w:val="0"/>
        </w:rPr>
        <w:t>Responder una a una las preguntas del asistente.</w:t>
      </w:r>
    </w:p>
    <w:p>
      <w:pPr>
        <w:pStyle w:val="ListBullet"/>
        <w:spacing w:after="80"/>
      </w:pPr>
      <w:r>
        <w:rPr>
          <w:b w:val="0"/>
        </w:rPr>
        <w:t>Seleccionar "+ Nueva conversación" para comenzar de nuevo.</w:t>
      </w:r>
    </w:p>
    <w:p>
      <w:pPr>
        <w:pStyle w:val="ListBullet"/>
        <w:spacing w:after="80"/>
      </w:pPr>
      <w:r>
        <w:rPr>
          <w:b w:val="0"/>
        </w:rPr>
        <w:t>Seleccionar cualquier conversación del historial para reabrirla.</w:t>
      </w:r>
    </w:p>
    <w:p>
      <w:pPr>
        <w:pStyle w:val="ListBullet"/>
        <w:spacing w:after="80"/>
      </w:pPr>
      <w:r>
        <w:rPr>
          <w:b w:val="0"/>
        </w:rPr>
        <w:t>Seleccionar "Reintentar" si un mensaje no se envía correctamente.</w:t>
      </w:r>
    </w:p>
    <w:p>
      <w:pPr>
        <w:spacing w:after="80"/>
      </w:pPr>
      <w:r>
        <w:rPr>
          <w:b/>
          <w:i w:val="0"/>
        </w:rPr>
        <w:t>Flujo típico de uso</w:t>
      </w:r>
    </w:p>
    <w:p>
      <w:pPr>
        <w:pStyle w:val="ListNumber"/>
        <w:spacing w:after="80"/>
      </w:pPr>
      <w:r>
        <w:rPr>
          <w:b w:val="0"/>
        </w:rPr>
        <w:t>Describir con tus propias palabras lo que necesitas.</w:t>
      </w:r>
    </w:p>
    <w:p>
      <w:pPr>
        <w:pStyle w:val="ListNumber"/>
        <w:spacing w:after="80"/>
      </w:pPr>
      <w:r>
        <w:rPr>
          <w:b w:val="0"/>
        </w:rPr>
        <w:t>El asistente identifica el área correspondiente y solicita, uno a uno, los datos que faltan.</w:t>
      </w:r>
    </w:p>
    <w:p>
      <w:pPr>
        <w:pStyle w:val="ListNumber"/>
        <w:spacing w:after="80"/>
      </w:pPr>
      <w:r>
        <w:rPr>
          <w:b w:val="0"/>
        </w:rPr>
        <w:t>Para un siniestro: revisar el resumen y confirmar (sí/no) antes de que se registre.</w:t>
      </w:r>
    </w:p>
    <w:p>
      <w:pPr>
        <w:pStyle w:val="ListNumber"/>
        <w:spacing w:after="80"/>
      </w:pPr>
      <w:r>
        <w:rPr>
          <w:b w:val="0"/>
        </w:rPr>
        <w:t>Recibir un número de referencia (siniestro, solicitud de pago o nuevo negocio), según corresponda.</w:t>
      </w:r>
    </w:p>
    <w:p>
      <w:pPr>
        <w:spacing w:after="80"/>
      </w:pPr>
      <w:r>
        <w:rPr>
          <w:b/>
          <w:i w:val="0"/>
        </w:rPr>
        <w:t>Recomendaciones</w:t>
      </w:r>
    </w:p>
    <w:p>
      <w:pPr>
        <w:pStyle w:val="ListBullet"/>
        <w:spacing w:after="80"/>
      </w:pPr>
      <w:r>
        <w:rPr>
          <w:b w:val="0"/>
        </w:rPr>
        <w:t>Tener a la mano el número de póliza, el nombre o ID del broker, o la referencia de transacción, cuando aplique.</w:t>
      </w:r>
    </w:p>
    <w:p>
      <w:pPr>
        <w:pStyle w:val="ListBullet"/>
        <w:spacing w:after="80"/>
      </w:pPr>
      <w:r>
        <w:rPr>
          <w:b w:val="0"/>
        </w:rPr>
        <w:t>Es posible cambiar de tema dentro de la misma conversación — los datos relevantes se recuerdan.</w:t>
      </w:r>
    </w:p>
    <w:p>
      <w:pPr>
        <w:pStyle w:val="ListBullet"/>
        <w:spacing w:after="80"/>
      </w:pPr>
      <w:r>
        <w:rPr>
          <w:b w:val="0"/>
        </w:rPr>
        <w:t>No se utilizan datos reales — esta plataforma trabaja únicamente con pólizas, siniestros y clientes sintéticos.</w:t>
      </w:r>
    </w:p>
    <w:p>
      <w:pPr>
        <w:pStyle w:val="Heading1"/>
      </w:pPr>
      <w:r>
        <w:rPr>
          <w:color w:val="1F3A5F"/>
        </w:rPr>
        <w:t>Referencias cruzadas</w:t>
      </w:r>
    </w:p>
    <w:p>
      <w:pPr>
        <w:spacing w:after="160"/>
      </w:pPr>
      <w:r>
        <w:rPr>
          <w:b w:val="0"/>
          <w:i w:val="0"/>
        </w:rPr>
        <w:t>Este manual no repite intencionalmente el contenido técnico de despliegue ni de administración. Para esos temas, consulte:</w:t>
      </w:r>
    </w:p>
    <w:p>
      <w:pPr>
        <w:pStyle w:val="ListBullet"/>
        <w:spacing w:after="80"/>
      </w:pPr>
      <w:r>
        <w:rPr>
          <w:b w:val="0"/>
        </w:rPr>
        <w:t>Deployment_Guide.md — infraestructura y proceso de despliegue (audiencia técnica/TI).</w:t>
      </w:r>
    </w:p>
    <w:p>
      <w:pPr>
        <w:pStyle w:val="ListBullet"/>
        <w:spacing w:after="80"/>
      </w:pPr>
      <w:r>
        <w:rPr>
          <w:b w:val="0"/>
        </w:rPr>
        <w:t>Administrator_Guide.md — operación diaria, monitoreo y solución de problemas técnicos (audiencia técnica/TI).</w:t>
      </w:r>
    </w:p>
    <w:sectPr w:rsidR="00FC693F" w:rsidRPr="0006063C" w:rsidSect="00034616">
      <w:footerReference w:type="default" r:id="rId19"/>
      <w:headerReference w:type="default" r:id="rId2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TMX Enterprise AI Reference Platform — Manual de Usuario — Página </w:t>
    </w:r>
    <w:r>
      <w:rPr>
        <w:color w:val="555555"/>
        <w:sz w:val="18"/>
      </w:rPr>
      <w:fldChar w:fldCharType="begin"/>
      <w:instrText xml:space="preserve">PAGE</w:instrText>
      <w:fldChar w:fldCharType="separate"/>
      <w:t/>
      <w:fldChar w:fldCharType="end"/>
    </w:r>
    <w:r>
      <w:rPr>
        <w:color w:val="555555"/>
        <w:sz w:val="18"/>
      </w:rPr>
      <w:t xml:space="preserve"> de </w:t>
    </w:r>
    <w:r>
      <w:rPr>
        <w:color w:val="555555"/>
        <w:sz w:val="18"/>
      </w:rP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555"/>
        <w:sz w:val="18"/>
      </w:rPr>
      <w:t>TMX Enterprise AI Reference Platform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Calibri" w:hAnsi="Calibr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