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Script: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Markgraf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lide-1-title-slide"/>
      <w:bookmarkEnd w:id="21"/>
      <w:r>
        <w:t xml:space="preserve">Slide 1: Title Slide</w:t>
      </w:r>
    </w:p>
    <w:p>
      <w:pPr>
        <w:pStyle w:val="Compact"/>
        <w:numPr>
          <w:numId w:val="1001"/>
          <w:ilvl w:val="0"/>
        </w:numPr>
      </w:pPr>
      <w:r>
        <w:t xml:space="preserve">Small research project: analyzed publicly owned banks and their effect on electoral outcomes in German subnational politics</w:t>
      </w:r>
    </w:p>
    <w:p>
      <w:pPr>
        <w:pStyle w:val="Compact"/>
        <w:numPr>
          <w:numId w:val="1001"/>
          <w:ilvl w:val="0"/>
        </w:numPr>
      </w:pPr>
      <w:r>
        <w:t xml:space="preserve">Content:</w:t>
      </w:r>
    </w:p>
    <w:p>
      <w:pPr>
        <w:pStyle w:val="Compact"/>
        <w:numPr>
          <w:numId w:val="1002"/>
          <w:ilvl w:val="0"/>
        </w:numPr>
      </w:pPr>
      <w:r>
        <w:t xml:space="preserve">Motivation and background information</w:t>
      </w:r>
    </w:p>
    <w:p>
      <w:pPr>
        <w:pStyle w:val="Compact"/>
        <w:numPr>
          <w:numId w:val="1002"/>
          <w:ilvl w:val="0"/>
        </w:numPr>
      </w:pPr>
      <w:r>
        <w:t xml:space="preserve">Outlining hypotheses and storyline</w:t>
      </w:r>
    </w:p>
    <w:p>
      <w:pPr>
        <w:pStyle w:val="Compact"/>
        <w:numPr>
          <w:numId w:val="1002"/>
          <w:ilvl w:val="0"/>
        </w:numPr>
      </w:pPr>
      <w:r>
        <w:t xml:space="preserve">Malte: Presenting empirical strategy, data, and findings</w:t>
      </w:r>
    </w:p>
    <w:p>
      <w:pPr>
        <w:pStyle w:val="Heading1"/>
      </w:pPr>
      <w:bookmarkStart w:id="22" w:name="slide-2-motivation"/>
      <w:bookmarkEnd w:id="22"/>
      <w:r>
        <w:t xml:space="preserve">Slide 2: Motivation</w:t>
      </w:r>
    </w:p>
    <w:p>
      <w:pPr>
        <w:pStyle w:val="Compact"/>
        <w:numPr>
          <w:numId w:val="1003"/>
          <w:ilvl w:val="0"/>
        </w:numPr>
      </w:pPr>
      <w:r>
        <w:t xml:space="preserve">financial crisis of 2007!!</w:t>
      </w:r>
    </w:p>
    <w:p>
      <w:pPr>
        <w:pStyle w:val="Compact"/>
        <w:numPr>
          <w:numId w:val="1004"/>
          <w:ilvl w:val="1"/>
        </w:numPr>
      </w:pPr>
      <w:r>
        <w:t xml:space="preserve">brought banks to the center of public attention</w:t>
      </w:r>
    </w:p>
    <w:p>
      <w:pPr>
        <w:pStyle w:val="Compact"/>
        <w:numPr>
          <w:numId w:val="1004"/>
          <w:ilvl w:val="1"/>
        </w:numPr>
      </w:pPr>
      <w:r>
        <w:t xml:space="preserve">academic interest in the role of politics in regulating and taming bank behavior increased</w:t>
      </w:r>
    </w:p>
    <w:p>
      <w:pPr>
        <w:pStyle w:val="Compact"/>
        <w:numPr>
          <w:numId w:val="1003"/>
          <w:ilvl w:val="0"/>
        </w:numPr>
      </w:pPr>
      <w:r>
        <w:t xml:space="preserve">interaction between politics and banks widely studied already</w:t>
      </w:r>
    </w:p>
    <w:p>
      <w:pPr>
        <w:pStyle w:val="Compact"/>
        <w:numPr>
          <w:numId w:val="1005"/>
          <w:ilvl w:val="1"/>
        </w:numPr>
      </w:pPr>
      <w:r>
        <w:t xml:space="preserve">however: role of public banks and politicians' influence is largely neglected: surprising given the central importance of publicly owned banks in some European banking systems, esp. Germany</w:t>
      </w:r>
    </w:p>
    <w:p>
      <w:pPr>
        <w:pStyle w:val="FirstParagraph"/>
      </w:pPr>
      <w:r>
        <w:t xml:space="preserve">=&gt; there is no nuanced understanding of effect of politicians on boards of publicly owned banks for banks’ activities and for electoral outcomes</w:t>
      </w:r>
    </w:p>
    <w:p>
      <w:pPr>
        <w:pStyle w:val="Heading1"/>
      </w:pPr>
      <w:bookmarkStart w:id="23" w:name="slide-3-institutional-background"/>
      <w:bookmarkEnd w:id="23"/>
      <w:r>
        <w:t xml:space="preserve">Slide 3: Institutional Background</w:t>
      </w:r>
    </w:p>
    <w:p>
      <w:pPr>
        <w:pStyle w:val="Compact"/>
        <w:numPr>
          <w:numId w:val="1006"/>
          <w:ilvl w:val="0"/>
        </w:numPr>
      </w:pPr>
      <w:r>
        <w:t xml:space="preserve">more than 400 Sparkassen in Germany</w:t>
      </w:r>
    </w:p>
    <w:p>
      <w:pPr>
        <w:pStyle w:val="Compact"/>
        <w:numPr>
          <w:numId w:val="1006"/>
          <w:ilvl w:val="0"/>
        </w:numPr>
      </w:pPr>
      <w:r>
        <w:t xml:space="preserve">Sparkassen are important providers of</w:t>
      </w:r>
    </w:p>
    <w:p>
      <w:pPr>
        <w:pStyle w:val="Compact"/>
        <w:numPr>
          <w:numId w:val="1007"/>
          <w:ilvl w:val="1"/>
        </w:numPr>
      </w:pPr>
      <w:r>
        <w:t xml:space="preserve">credit to SMEs and local governments, i.e. central players in Germany's Mittelstands economy</w:t>
      </w:r>
    </w:p>
    <w:p>
      <w:pPr>
        <w:pStyle w:val="Compact"/>
        <w:numPr>
          <w:numId w:val="1007"/>
          <w:ilvl w:val="1"/>
        </w:numPr>
      </w:pPr>
      <w:r>
        <w:t xml:space="preserve">&amp; local public goods such as access to finance through branch system or donations to local initiatives and sports teams</w:t>
      </w:r>
    </w:p>
    <w:p>
      <w:pPr>
        <w:pStyle w:val="Compact"/>
        <w:numPr>
          <w:numId w:val="1006"/>
          <w:ilvl w:val="0"/>
        </w:numPr>
      </w:pPr>
      <w:r>
        <w:t xml:space="preserve">Sparkassen have strong regional outlook and are deeply entrenched in German local politics</w:t>
      </w:r>
    </w:p>
    <w:p>
      <w:pPr>
        <w:pStyle w:val="Compact"/>
        <w:numPr>
          <w:numId w:val="1008"/>
          <w:ilvl w:val="1"/>
        </w:numPr>
      </w:pPr>
      <w:r>
        <w:t xml:space="preserve">business areas are regionally constrained</w:t>
      </w:r>
    </w:p>
    <w:p>
      <w:pPr>
        <w:pStyle w:val="Compact"/>
        <w:numPr>
          <w:numId w:val="1008"/>
          <w:ilvl w:val="1"/>
        </w:numPr>
      </w:pPr>
      <w:r>
        <w:t xml:space="preserve">publicly owned by counties and/or municipalities</w:t>
      </w:r>
    </w:p>
    <w:p>
      <w:pPr>
        <w:pStyle w:val="Compact"/>
        <w:numPr>
          <w:numId w:val="1008"/>
          <w:ilvl w:val="1"/>
        </w:numPr>
      </w:pPr>
      <w:r>
        <w:t xml:space="preserve">local mayors have sometimes seat at local Sparkasse, but not all mayors in Germany have seat at Sparkassen board --&gt; fact that we exploit for our research design</w:t>
      </w:r>
    </w:p>
    <w:p>
      <w:pPr>
        <w:pStyle w:val="Heading1"/>
      </w:pPr>
      <w:bookmarkStart w:id="24" w:name="slide-4-map"/>
      <w:bookmarkEnd w:id="24"/>
      <w:r>
        <w:t xml:space="preserve">Slide 4: Map</w:t>
      </w:r>
    </w:p>
    <w:p>
      <w:pPr>
        <w:pStyle w:val="Compact"/>
        <w:numPr>
          <w:numId w:val="1009"/>
          <w:ilvl w:val="0"/>
        </w:numPr>
      </w:pPr>
      <w:r>
        <w:t xml:space="preserve">as an illustration how municipality borders and Sparkassen business areas match and how Sparkassen operate.</w:t>
      </w:r>
    </w:p>
    <w:p>
      <w:pPr>
        <w:pStyle w:val="Heading1"/>
      </w:pPr>
      <w:bookmarkStart w:id="25" w:name="slide-5-hypothesis"/>
      <w:bookmarkEnd w:id="25"/>
      <w:r>
        <w:t xml:space="preserve">Slide 5: Hypothesis</w:t>
      </w:r>
    </w:p>
    <w:p>
      <w:pPr>
        <w:pStyle w:val="Compact"/>
        <w:numPr>
          <w:numId w:val="1010"/>
          <w:ilvl w:val="0"/>
        </w:numPr>
      </w:pPr>
      <w:r>
        <w:t xml:space="preserve">based on rational choice assumptions that actors are rational utility maximizers, we hypothesize that mayors with a Sparkassen board seat extract political rents from this position, hence, increase their re-election chance</w:t>
      </w:r>
    </w:p>
    <w:p>
      <w:pPr>
        <w:pStyle w:val="Compact"/>
        <w:numPr>
          <w:numId w:val="1010"/>
          <w:ilvl w:val="0"/>
        </w:numPr>
      </w:pPr>
      <w:r>
        <w:t xml:space="preserve">thus, our hypothesis is that mayors with a board seat at a Sparkasse are more likely to get re-elected than mayors without a board seat</w:t>
      </w:r>
    </w:p>
    <w:p>
      <w:pPr>
        <w:pStyle w:val="Heading1"/>
      </w:pPr>
      <w:bookmarkStart w:id="26" w:name="slide-6-storyline"/>
      <w:bookmarkEnd w:id="26"/>
      <w:r>
        <w:t xml:space="preserve">Slide 6: Storyline</w:t>
      </w:r>
    </w:p>
    <w:p>
      <w:pPr>
        <w:pStyle w:val="Compact"/>
        <w:numPr>
          <w:numId w:val="1011"/>
          <w:ilvl w:val="0"/>
        </w:numPr>
      </w:pPr>
      <w:r>
        <w:t xml:space="preserve">in what way can a board seat help a mayor to get re-elected? Two different mechanisms:</w:t>
      </w:r>
    </w:p>
    <w:p>
      <w:pPr>
        <w:pStyle w:val="Compact"/>
        <w:numPr>
          <w:numId w:val="1012"/>
          <w:ilvl w:val="1"/>
        </w:numPr>
      </w:pPr>
      <w:r>
        <w:t xml:space="preserve">direct channel: mayors can influence strategic decisions of banks</w:t>
      </w:r>
    </w:p>
    <w:p>
      <w:pPr>
        <w:pStyle w:val="Compact"/>
        <w:numPr>
          <w:numId w:val="1013"/>
          <w:ilvl w:val="2"/>
        </w:numPr>
      </w:pPr>
      <w:r>
        <w:t xml:space="preserve">influence credit volume, e.g. increase before election</w:t>
      </w:r>
    </w:p>
    <w:p>
      <w:pPr>
        <w:pStyle w:val="Compact"/>
        <w:numPr>
          <w:numId w:val="1013"/>
          <w:ilvl w:val="2"/>
        </w:numPr>
      </w:pPr>
      <w:r>
        <w:t xml:space="preserve">postpone unpopular steps such as consolidation or mergers until after election</w:t>
      </w:r>
    </w:p>
    <w:p>
      <w:pPr>
        <w:pStyle w:val="Compact"/>
        <w:numPr>
          <w:numId w:val="1013"/>
          <w:ilvl w:val="2"/>
        </w:numPr>
      </w:pPr>
      <w:r>
        <w:t xml:space="preserve">direct donations to projects with high visibility or force bank to payout profits to owners, i.e. municipalities</w:t>
      </w:r>
    </w:p>
    <w:p>
      <w:pPr>
        <w:pStyle w:val="Compact"/>
        <w:numPr>
          <w:numId w:val="1012"/>
          <w:ilvl w:val="1"/>
        </w:numPr>
      </w:pPr>
      <w:r>
        <w:t xml:space="preserve">indirect channel: voters prefer qualified mayors over unqualified mayors , and board membership might be interpreted as a strong signal of financial competence of the mayor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ee0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d23e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68ef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Script: Presentation</dc:title>
  <dc:creator>Jonas Markgraf</dc:creator>
  <dcterms:created xsi:type="dcterms:W3CDTF">2016-04-28</dcterms:created>
  <dcterms:modified xsi:type="dcterms:W3CDTF">2016-04-28</dcterms:modified>
</cp:coreProperties>
</file>