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FCFA" w14:textId="493CCA03" w:rsidR="00F61C96" w:rsidRDefault="0039266A">
      <w:bookmarkStart w:id="0" w:name="_Hlk70070017"/>
      <w:proofErr w:type="spellStart"/>
      <w:r w:rsidRPr="0039266A">
        <w:t>Szagun</w:t>
      </w:r>
      <w:proofErr w:type="spellEnd"/>
      <w:r w:rsidRPr="0039266A">
        <w:t>, Gisela, et al. "The acquisition of gender marking by young German-speaking children: Evidence for learning guided by phonological regularities." Journal of Child Language 34.3 (2007): 445.</w:t>
      </w:r>
    </w:p>
    <w:p w14:paraId="3C1EA5DD" w14:textId="1B35D033" w:rsidR="00936678" w:rsidRDefault="00936678">
      <w:r>
        <w:t xml:space="preserve">Foote, R. (2014). Age of acquisition and sensitivity to gender in Spanish word recognition. </w:t>
      </w:r>
      <w:r>
        <w:rPr>
          <w:i/>
          <w:iCs/>
        </w:rPr>
        <w:t>Language Acquisition</w:t>
      </w:r>
      <w:r>
        <w:t xml:space="preserve">, </w:t>
      </w:r>
      <w:r>
        <w:rPr>
          <w:i/>
          <w:iCs/>
        </w:rPr>
        <w:t>21</w:t>
      </w:r>
      <w:r>
        <w:t>(4), 365-385</w:t>
      </w:r>
    </w:p>
    <w:p w14:paraId="7A80E4B4" w14:textId="0B033737" w:rsidR="00002D7F" w:rsidRDefault="00002D7F">
      <w:proofErr w:type="spellStart"/>
      <w:r>
        <w:t>Ravid</w:t>
      </w:r>
      <w:proofErr w:type="spellEnd"/>
      <w:r>
        <w:t xml:space="preserve">, D., &amp; Schiff, R. (2012). From dichotomy to divergence: Number/gender marking on Hebrew nouns and adjectives across school ages. </w:t>
      </w:r>
      <w:r>
        <w:rPr>
          <w:i/>
          <w:iCs/>
        </w:rPr>
        <w:t>Language Learning</w:t>
      </w:r>
      <w:r>
        <w:t xml:space="preserve">, </w:t>
      </w:r>
      <w:r>
        <w:rPr>
          <w:i/>
          <w:iCs/>
        </w:rPr>
        <w:t>62</w:t>
      </w:r>
      <w:r>
        <w:t>(1), 133-169.</w:t>
      </w:r>
    </w:p>
    <w:p w14:paraId="1569FDEB" w14:textId="35DDE89F" w:rsidR="00002D7F" w:rsidRDefault="00002D7F">
      <w:r>
        <w:t xml:space="preserve">Gollan, T. H., &amp; Frost, R. (2001). Two routes to grammatical gender: Evidence from Hebrew. </w:t>
      </w:r>
      <w:r>
        <w:rPr>
          <w:i/>
          <w:iCs/>
        </w:rPr>
        <w:t>Journal of psycholinguistic research</w:t>
      </w:r>
      <w:r>
        <w:t xml:space="preserve">, </w:t>
      </w:r>
      <w:r>
        <w:rPr>
          <w:i/>
          <w:iCs/>
        </w:rPr>
        <w:t>30</w:t>
      </w:r>
      <w:r>
        <w:t>(6), 627-651.</w:t>
      </w:r>
    </w:p>
    <w:p w14:paraId="1D31DE00" w14:textId="05E69B0D" w:rsidR="00F022F2" w:rsidRDefault="00F022F2">
      <w:proofErr w:type="spellStart"/>
      <w:r>
        <w:t>Haspelmath</w:t>
      </w:r>
      <w:proofErr w:type="spellEnd"/>
      <w:r>
        <w:t xml:space="preserve">, M. (2009). The typological database of the World Atlas of Language Structures. </w:t>
      </w:r>
      <w:r>
        <w:rPr>
          <w:i/>
          <w:iCs/>
        </w:rPr>
        <w:t>The Use of Databases in Cross-Linguistic Studies</w:t>
      </w:r>
      <w:r>
        <w:t xml:space="preserve">, </w:t>
      </w:r>
      <w:r>
        <w:rPr>
          <w:i/>
          <w:iCs/>
        </w:rPr>
        <w:t>41</w:t>
      </w:r>
      <w:r>
        <w:t>, 283.</w:t>
      </w:r>
    </w:p>
    <w:p w14:paraId="04D82C1F" w14:textId="77777777" w:rsidR="00C916EC" w:rsidRDefault="00C916EC" w:rsidP="00C916EC">
      <w:pPr>
        <w:pStyle w:val="NormalWeb"/>
        <w:spacing w:before="0" w:beforeAutospacing="0" w:after="200" w:afterAutospacing="0" w:line="480" w:lineRule="auto"/>
        <w:ind w:firstLine="720"/>
      </w:pPr>
      <w:r>
        <w:rPr>
          <w:color w:val="000000"/>
        </w:rPr>
        <w:t>Abney, S. P. (1987). The English noun phrase in its sentential aspect (Doctoral dissertation, Massachusetts Institute of Technology).</w:t>
      </w:r>
    </w:p>
    <w:p w14:paraId="65F47774" w14:textId="59C55325" w:rsidR="00C916EC" w:rsidRDefault="00C916EC" w:rsidP="00C916EC">
      <w:pPr>
        <w:pStyle w:val="NormalWeb"/>
        <w:spacing w:before="0" w:beforeAutospacing="0" w:after="200" w:afterAutospacing="0" w:line="480" w:lineRule="auto"/>
        <w:ind w:firstLine="720"/>
        <w:rPr>
          <w:color w:val="000000"/>
        </w:rPr>
      </w:pPr>
      <w:proofErr w:type="spellStart"/>
      <w:r>
        <w:rPr>
          <w:color w:val="000000"/>
        </w:rPr>
        <w:t>Wintner</w:t>
      </w:r>
      <w:proofErr w:type="spellEnd"/>
      <w:r>
        <w:rPr>
          <w:color w:val="000000"/>
        </w:rPr>
        <w:t>, S. (2000). Definiteness in the Hebrew noun phrase. Journal of Linguistics, 36(2), 319-363.</w:t>
      </w:r>
    </w:p>
    <w:p w14:paraId="02138DA2" w14:textId="1F17EC4F" w:rsidR="006556A1" w:rsidRDefault="006556A1" w:rsidP="00C916EC">
      <w:pPr>
        <w:pStyle w:val="NormalWeb"/>
        <w:spacing w:before="0" w:beforeAutospacing="0" w:after="200" w:afterAutospacing="0" w:line="480" w:lineRule="auto"/>
        <w:ind w:firstLine="720"/>
      </w:pPr>
      <w:bookmarkStart w:id="1" w:name="_Hlk70061222"/>
      <w:r>
        <w:t xml:space="preserve">Gollan, T. H., Slattery, T. J., Goldenberg, D., Van </w:t>
      </w:r>
      <w:proofErr w:type="spellStart"/>
      <w:r>
        <w:t>Assche</w:t>
      </w:r>
      <w:proofErr w:type="spellEnd"/>
      <w:r>
        <w:t xml:space="preserve">, E., </w:t>
      </w:r>
      <w:proofErr w:type="spellStart"/>
      <w:r>
        <w:t>Duyck</w:t>
      </w:r>
      <w:proofErr w:type="spellEnd"/>
      <w:r>
        <w:t>, W., &amp; Rayner, K. (2011).</w:t>
      </w:r>
      <w:bookmarkEnd w:id="1"/>
      <w:r>
        <w:t xml:space="preserve"> Frequency drives lexical access in reading but not in speaking: The frequency-lag hypothesis. </w:t>
      </w:r>
      <w:r>
        <w:rPr>
          <w:i/>
          <w:iCs/>
        </w:rPr>
        <w:t>Journal of Experimental Psychology: General</w:t>
      </w:r>
      <w:r>
        <w:t xml:space="preserve">, </w:t>
      </w:r>
      <w:r>
        <w:rPr>
          <w:i/>
          <w:iCs/>
        </w:rPr>
        <w:t>140</w:t>
      </w:r>
      <w:r>
        <w:t>(2), 186</w:t>
      </w:r>
    </w:p>
    <w:p w14:paraId="577297E8" w14:textId="39956837" w:rsidR="00D61A11" w:rsidRDefault="00D61A11">
      <w:r>
        <w:t xml:space="preserve">Dryer, Matthew S. &amp; </w:t>
      </w:r>
      <w:proofErr w:type="spellStart"/>
      <w:r>
        <w:t>Haspelmath</w:t>
      </w:r>
      <w:proofErr w:type="spellEnd"/>
      <w:r>
        <w:t xml:space="preserve">, Martin (eds.) 2013. </w:t>
      </w:r>
      <w:r>
        <w:br/>
        <w:t xml:space="preserve">The World Atlas of Language Structures Online. </w:t>
      </w:r>
      <w:r>
        <w:br/>
        <w:t xml:space="preserve">Leipzig: Max Planck Institute for Evolutionary Anthropology. </w:t>
      </w:r>
      <w:r>
        <w:br/>
        <w:t xml:space="preserve">(Available online at </w:t>
      </w:r>
      <w:r w:rsidRPr="00D61A11">
        <w:t>https://wals.info/languoid/genealogy</w:t>
      </w:r>
      <w:r>
        <w:t>, Accessed on 2021-04-23.)</w:t>
      </w:r>
      <w:bookmarkEnd w:id="0"/>
    </w:p>
    <w:sectPr w:rsidR="00D6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6A"/>
    <w:rsid w:val="00002D7F"/>
    <w:rsid w:val="00260398"/>
    <w:rsid w:val="0039266A"/>
    <w:rsid w:val="006556A1"/>
    <w:rsid w:val="00690C0D"/>
    <w:rsid w:val="00936678"/>
    <w:rsid w:val="00C916EC"/>
    <w:rsid w:val="00D61A11"/>
    <w:rsid w:val="00F022F2"/>
    <w:rsid w:val="00F6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63E4"/>
  <w15:chartTrackingRefBased/>
  <w15:docId w15:val="{18E3FBD1-FF7D-469E-9F5F-5427EB6D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1A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0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Rosanna Markovits Rojas</dc:creator>
  <cp:keywords/>
  <dc:description/>
  <cp:lastModifiedBy>Jennifer Rosanna Markovits Rojas</cp:lastModifiedBy>
  <cp:revision>3</cp:revision>
  <dcterms:created xsi:type="dcterms:W3CDTF">2021-04-22T11:19:00Z</dcterms:created>
  <dcterms:modified xsi:type="dcterms:W3CDTF">2021-04-23T18:07:00Z</dcterms:modified>
</cp:coreProperties>
</file>