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footer6.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b/>
          <w:bCs/>
          <w:color w:themeColor="background2" w:themeShade="80" w:val="767171"/>
          <w:sz w:val="28"/>
          <w:szCs w:val="28"/>
        </w:rPr>
      </w:pPr>
      <w:r>
        <w:rPr>
          <w:b/>
          <w:bCs/>
          <w:sz w:val="28"/>
          <w:szCs w:val="28"/>
        </w:rPr>
        <w:t>FAMILIA PROFESIONAL / DEPARTAMENTO</w:t>
      </w:r>
    </w:p>
    <w:p>
      <w:pPr>
        <w:pStyle w:val="Normal"/>
        <w:jc w:val="center"/>
        <w:rPr>
          <w:b/>
          <w:bCs/>
          <w:sz w:val="28"/>
          <w:szCs w:val="28"/>
        </w:rPr>
      </w:pPr>
      <w:r>
        <w:rPr>
          <w:b/>
          <w:bCs/>
          <w:sz w:val="28"/>
          <w:szCs w:val="28"/>
        </w:rPr>
        <w:t>INFORMÁTICA Y COMUNICACIONES</w:t>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t>FORMACIÓN PROFESIONAL DE GRADO SUPERIOR</w:t>
      </w:r>
    </w:p>
    <w:p>
      <w:pPr>
        <w:pStyle w:val="Normal"/>
        <w:jc w:val="center"/>
        <w:rPr>
          <w:b/>
          <w:bCs/>
          <w:sz w:val="28"/>
          <w:szCs w:val="28"/>
        </w:rPr>
      </w:pPr>
      <w:r>
        <w:rPr>
          <w:b/>
          <w:bCs/>
          <w:sz w:val="28"/>
          <w:szCs w:val="28"/>
        </w:rPr>
        <w:t>ADMINISTRACIÓN DE SISTEMAS INFORMÁTICOS EN RED</w:t>
      </w:r>
    </w:p>
    <w:p>
      <w:pPr>
        <w:pStyle w:val="Normal"/>
        <w:jc w:val="center"/>
        <w:rPr>
          <w:sz w:val="28"/>
          <w:szCs w:val="28"/>
        </w:rPr>
      </w:pPr>
      <w:r>
        <w:rPr>
          <w:sz w:val="28"/>
          <w:szCs w:val="28"/>
        </w:rPr>
      </w:r>
    </w:p>
    <w:p>
      <w:pPr>
        <w:pStyle w:val="Normal"/>
        <w:pBdr>
          <w:top w:val="single" w:sz="12" w:space="8" w:color="000000"/>
          <w:left w:val="single" w:sz="12" w:space="4" w:color="000000"/>
          <w:bottom w:val="single" w:sz="12" w:space="8" w:color="000000"/>
          <w:right w:val="single" w:sz="12" w:space="4" w:color="000000"/>
        </w:pBdr>
        <w:jc w:val="center"/>
        <w:rPr>
          <w:b/>
          <w:bCs/>
          <w:sz w:val="32"/>
          <w:szCs w:val="32"/>
        </w:rPr>
      </w:pPr>
      <w:r>
        <w:rPr>
          <w:b/>
          <w:bCs/>
          <w:sz w:val="32"/>
          <w:szCs w:val="32"/>
        </w:rPr>
        <w:t>PROPUESTA DIDÁCTICA</w:t>
      </w:r>
    </w:p>
    <w:p>
      <w:pPr>
        <w:pStyle w:val="Normal"/>
        <w:pBdr>
          <w:top w:val="single" w:sz="12" w:space="8" w:color="000000"/>
          <w:left w:val="single" w:sz="12" w:space="4" w:color="000000"/>
          <w:bottom w:val="single" w:sz="12" w:space="8" w:color="000000"/>
          <w:right w:val="single" w:sz="12" w:space="4" w:color="000000"/>
        </w:pBdr>
        <w:jc w:val="center"/>
        <w:rPr>
          <w:b/>
          <w:bCs/>
          <w:color w:themeColor="background2" w:themeShade="80" w:val="767171"/>
          <w:sz w:val="28"/>
          <w:szCs w:val="28"/>
        </w:rPr>
      </w:pPr>
      <w:r>
        <w:rPr>
          <w:b/>
          <w:bCs/>
          <w:sz w:val="28"/>
          <w:szCs w:val="28"/>
        </w:rPr>
        <w:t>MÓDULO / UNIDAD FORMATIVA</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t>ADMINISTRACIÓN DE SISTEMAS OPERATIVOS</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r>
    </w:p>
    <w:p>
      <w:pPr>
        <w:pStyle w:val="Normal"/>
        <w:pBdr>
          <w:top w:val="single" w:sz="12" w:space="8" w:color="000000"/>
          <w:left w:val="single" w:sz="12" w:space="4" w:color="000000"/>
          <w:bottom w:val="single" w:sz="12" w:space="8" w:color="000000"/>
          <w:right w:val="single" w:sz="12" w:space="4" w:color="000000"/>
        </w:pBdr>
        <w:tabs>
          <w:tab w:val="clear" w:pos="708"/>
          <w:tab w:val="left" w:pos="2127" w:leader="none"/>
          <w:tab w:val="left" w:pos="4678" w:leader="none"/>
          <w:tab w:val="left" w:pos="6946" w:leader="none"/>
        </w:tabs>
        <w:jc w:val="center"/>
        <w:rPr>
          <w:b/>
          <w:bCs/>
          <w:sz w:val="28"/>
          <w:szCs w:val="28"/>
        </w:rPr>
      </w:pPr>
      <w:r>
        <w:rPr>
          <w:b/>
          <w:bCs/>
          <w:sz w:val="28"/>
          <w:szCs w:val="28"/>
        </w:rPr>
        <w:t>Código: 0374</w:t>
      </w:r>
      <w:r>
        <w:rPr/>
        <w:tab/>
      </w:r>
      <w:r>
        <w:rPr>
          <w:b/>
          <w:bCs/>
          <w:sz w:val="28"/>
          <w:szCs w:val="28"/>
        </w:rPr>
        <w:t>Nº Horas: 133</w:t>
      </w:r>
      <w:r>
        <w:rPr/>
        <w:tab/>
      </w:r>
      <w:r>
        <w:rPr>
          <w:b/>
          <w:bCs/>
          <w:sz w:val="28"/>
          <w:szCs w:val="28"/>
        </w:rPr>
        <w:t>Modalidad: Presencial</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t>Curso: 2026/2027 · Aclaración horaria e índice: 24/09/2026</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TOCHeading"/>
        <w:spacing w:before="0" w:after="120"/>
        <w:rPr/>
      </w:pPr>
      <w:r>
        <w:rPr/>
        <w:t>ÍNDICE DE CONTENIDOS</w:t>
      </w:r>
    </w:p>
    <w:p>
      <w:pPr>
        <w:pStyle w:val="Normal"/>
        <w:rPr/>
      </w:pPr>
      <w:r>
        <w:rPr/>
        <w:t>Índice con enlaces a los apartados. Incluye la conexión con el proyecto Proxmox existente y la previsión provisional de formación en empresa.</w:t>
      </w:r>
    </w:p>
    <w:p>
      <w:pPr>
        <w:pStyle w:val="Normal"/>
        <w:spacing w:before="0" w:after="60"/>
        <w:rPr/>
      </w:pPr>
      <w:hyperlink w:anchor="ASOIndice0">
        <w:r>
          <w:rPr>
            <w:rStyle w:val="Hyperlink"/>
          </w:rPr>
          <w:t>0. PROPUESTAS DE MEJORA DEL CURSO ANTERIOR</w:t>
        </w:r>
      </w:hyperlink>
    </w:p>
    <w:p>
      <w:pPr>
        <w:pStyle w:val="Normal"/>
        <w:spacing w:before="0" w:after="60"/>
        <w:rPr/>
      </w:pPr>
      <w:hyperlink w:anchor="ASOIndice1">
        <w:r>
          <w:rPr>
            <w:rStyle w:val="Hyperlink"/>
          </w:rPr>
          <w:t>1. INTRODUCCIÓN Y JUSTIFICACIÓN TEÓRICA CONTEXTUALIZADA</w:t>
        </w:r>
      </w:hyperlink>
    </w:p>
    <w:p>
      <w:pPr>
        <w:pStyle w:val="Normal"/>
        <w:spacing w:before="0" w:after="60"/>
        <w:ind w:left="360"/>
        <w:rPr/>
      </w:pPr>
      <w:hyperlink w:anchor="ASOIndice2">
        <w:r>
          <w:rPr>
            <w:rStyle w:val="Hyperlink"/>
          </w:rPr>
          <w:t>1.1. Normativa de referencia</w:t>
        </w:r>
      </w:hyperlink>
    </w:p>
    <w:p>
      <w:pPr>
        <w:pStyle w:val="Normal"/>
        <w:spacing w:before="0" w:after="60"/>
        <w:ind w:left="360"/>
        <w:rPr/>
      </w:pPr>
      <w:hyperlink w:anchor="ASOIndice3">
        <w:r>
          <w:rPr>
            <w:rStyle w:val="Hyperlink"/>
          </w:rPr>
          <w:t>1.2. Identificación del título</w:t>
        </w:r>
      </w:hyperlink>
    </w:p>
    <w:p>
      <w:pPr>
        <w:pStyle w:val="Normal"/>
        <w:spacing w:before="0" w:after="60"/>
        <w:ind w:left="360"/>
        <w:rPr/>
      </w:pPr>
      <w:hyperlink w:anchor="ASOIndice4">
        <w:r>
          <w:rPr>
            <w:rStyle w:val="Hyperlink"/>
          </w:rPr>
          <w:t>1.3. Cuadro horario del módulo ASO — currículo vigente</w:t>
        </w:r>
      </w:hyperlink>
    </w:p>
    <w:p>
      <w:pPr>
        <w:pStyle w:val="Normal"/>
        <w:spacing w:before="0" w:after="60"/>
        <w:ind w:left="360"/>
        <w:rPr/>
      </w:pPr>
      <w:hyperlink w:anchor="ASOIndice5">
        <w:r>
          <w:rPr>
            <w:rStyle w:val="Hyperlink"/>
          </w:rPr>
          <w:t>1.4. Identificación del módulo / unidad formativa</w:t>
        </w:r>
      </w:hyperlink>
    </w:p>
    <w:p>
      <w:pPr>
        <w:pStyle w:val="Normal"/>
        <w:spacing w:before="0" w:after="60"/>
        <w:ind w:left="360"/>
        <w:rPr/>
      </w:pPr>
      <w:hyperlink w:anchor="ASOIndice6">
        <w:r>
          <w:rPr>
            <w:rStyle w:val="Hyperlink"/>
          </w:rPr>
          <w:t>1.5. Características del alumnado</w:t>
        </w:r>
      </w:hyperlink>
    </w:p>
    <w:p>
      <w:pPr>
        <w:pStyle w:val="Normal"/>
        <w:spacing w:before="0" w:after="60"/>
        <w:ind w:left="360"/>
        <w:rPr/>
      </w:pPr>
      <w:hyperlink w:anchor="ASOIndice7">
        <w:r>
          <w:rPr>
            <w:rStyle w:val="Hyperlink"/>
          </w:rPr>
          <w:t>1.6. Del sector productivo</w:t>
        </w:r>
      </w:hyperlink>
    </w:p>
    <w:p>
      <w:pPr>
        <w:pStyle w:val="Normal"/>
        <w:spacing w:before="0" w:after="60"/>
        <w:rPr/>
      </w:pPr>
      <w:hyperlink w:anchor="ASOIndice8">
        <w:r>
          <w:rPr>
            <w:rStyle w:val="Hyperlink"/>
          </w:rPr>
          <w:t>2. DESARROLLO CURRICULAR</w:t>
        </w:r>
      </w:hyperlink>
    </w:p>
    <w:p>
      <w:pPr>
        <w:pStyle w:val="Normal"/>
        <w:spacing w:before="0" w:after="60"/>
        <w:ind w:left="360"/>
        <w:rPr/>
      </w:pPr>
      <w:hyperlink w:anchor="ASOIndice9">
        <w:r>
          <w:rPr>
            <w:rStyle w:val="Hyperlink"/>
          </w:rPr>
          <w:t>2.1. Competencias y Objetivos</w:t>
        </w:r>
      </w:hyperlink>
    </w:p>
    <w:p>
      <w:pPr>
        <w:pStyle w:val="Normal"/>
        <w:spacing w:before="0" w:after="60"/>
        <w:ind w:left="360"/>
        <w:rPr/>
      </w:pPr>
      <w:hyperlink w:anchor="ASOIndice10">
        <w:r>
          <w:rPr>
            <w:rStyle w:val="Hyperlink"/>
          </w:rPr>
          <w:t>2.2. Resultados de aprendizaje y Criterios de evaluación</w:t>
        </w:r>
      </w:hyperlink>
    </w:p>
    <w:p>
      <w:pPr>
        <w:pStyle w:val="Normal"/>
        <w:spacing w:before="0" w:after="60"/>
        <w:ind w:left="360"/>
        <w:rPr/>
      </w:pPr>
      <w:r>
        <w:rPr>
          <w:rStyle w:val="Hyperlink"/>
        </w:rPr>
        <w:t>2.3. Relación entre competencias y resultados de aprendizaje</w:t>
      </w:r>
    </w:p>
    <w:p>
      <w:pPr>
        <w:pStyle w:val="Normal"/>
        <w:spacing w:before="0" w:after="60"/>
        <w:ind w:left="360"/>
        <w:rPr/>
      </w:pPr>
      <w:hyperlink w:anchor="ASOIndice11">
        <w:r>
          <w:rPr>
            <w:rStyle w:val="Hyperlink"/>
          </w:rPr>
          <w:t>2.4. Contenidos básicos de referencia del módulo</w:t>
        </w:r>
      </w:hyperlink>
    </w:p>
    <w:p>
      <w:pPr>
        <w:pStyle w:val="Normal"/>
        <w:spacing w:before="0" w:after="60"/>
        <w:rPr/>
      </w:pPr>
      <w:hyperlink w:anchor="ASOIndice12">
        <w:r>
          <w:rPr>
            <w:rStyle w:val="Hyperlink"/>
          </w:rPr>
          <w:t>3. METODOLOGÍA DIDÁCTICA</w:t>
        </w:r>
      </w:hyperlink>
    </w:p>
    <w:p>
      <w:pPr>
        <w:pStyle w:val="Normal"/>
        <w:spacing w:before="0" w:after="60"/>
        <w:ind w:left="360"/>
        <w:rPr/>
      </w:pPr>
      <w:hyperlink w:anchor="ASOIndice13">
        <w:r>
          <w:rPr>
            <w:rStyle w:val="Hyperlink"/>
          </w:rPr>
          <w:t>3.1. Estrategias metodológicas</w:t>
        </w:r>
      </w:hyperlink>
    </w:p>
    <w:p>
      <w:pPr>
        <w:pStyle w:val="Normal"/>
        <w:spacing w:before="0" w:after="60"/>
        <w:ind w:left="360"/>
        <w:rPr/>
      </w:pPr>
      <w:hyperlink w:anchor="ASOIndice14">
        <w:r>
          <w:rPr>
            <w:rStyle w:val="Hyperlink"/>
          </w:rPr>
          <w:t>3.2. Líneas pedagógicas del centro</w:t>
        </w:r>
      </w:hyperlink>
    </w:p>
    <w:p>
      <w:pPr>
        <w:pStyle w:val="Normal"/>
        <w:spacing w:before="0" w:after="60"/>
        <w:ind w:left="360"/>
        <w:rPr/>
      </w:pPr>
      <w:hyperlink w:anchor="ASOIndice15">
        <w:r>
          <w:rPr>
            <w:rStyle w:val="Hyperlink"/>
          </w:rPr>
          <w:t>3.3. Recursos</w:t>
        </w:r>
      </w:hyperlink>
    </w:p>
    <w:p>
      <w:pPr>
        <w:pStyle w:val="Normal"/>
        <w:spacing w:before="0" w:after="60"/>
        <w:rPr/>
      </w:pPr>
      <w:hyperlink w:anchor="ASOIndice16">
        <w:r>
          <w:rPr>
            <w:rStyle w:val="Hyperlink"/>
          </w:rPr>
          <w:t>4. UNIDADES</w:t>
        </w:r>
      </w:hyperlink>
    </w:p>
    <w:p>
      <w:pPr>
        <w:pStyle w:val="Normal"/>
        <w:spacing w:before="0" w:after="60"/>
        <w:rPr/>
      </w:pPr>
      <w:hyperlink w:anchor="ASOPIEmpresa0">
        <w:r>
          <w:rPr>
            <w:rStyle w:val="Hyperlink"/>
          </w:rPr>
          <w:t>5. PROYECTO INTERMODULAR</w:t>
        </w:r>
      </w:hyperlink>
    </w:p>
    <w:p>
      <w:pPr>
        <w:pStyle w:val="Normal"/>
        <w:spacing w:before="0" w:after="60"/>
        <w:ind w:left="360"/>
        <w:rPr/>
      </w:pPr>
      <w:hyperlink w:anchor="ASOPIEmpresa1">
        <w:r>
          <w:rPr>
            <w:rStyle w:val="Hyperlink"/>
          </w:rPr>
          <w:t>5.1. Especificaciones</w:t>
        </w:r>
      </w:hyperlink>
    </w:p>
    <w:p>
      <w:pPr>
        <w:pStyle w:val="Normal"/>
        <w:spacing w:before="0" w:after="60"/>
        <w:ind w:left="360"/>
        <w:rPr/>
      </w:pPr>
      <w:hyperlink w:anchor="ASOPIEmpresa2">
        <w:r>
          <w:rPr>
            <w:rStyle w:val="Hyperlink"/>
          </w:rPr>
          <w:t>5.2. Distribución de elementos curriculares</w:t>
        </w:r>
      </w:hyperlink>
    </w:p>
    <w:p>
      <w:pPr>
        <w:pStyle w:val="Normal"/>
        <w:spacing w:before="0" w:after="60"/>
        <w:rPr/>
      </w:pPr>
      <w:hyperlink w:anchor="ASOPIEmpresa3">
        <w:r>
          <w:rPr>
            <w:rStyle w:val="Hyperlink"/>
          </w:rPr>
          <w:t>6. PLAN FORMATIVO EN EMPRESA</w:t>
        </w:r>
      </w:hyperlink>
    </w:p>
    <w:p>
      <w:pPr>
        <w:pStyle w:val="Normal"/>
        <w:spacing w:before="0" w:after="60"/>
        <w:rPr/>
      </w:pPr>
      <w:hyperlink w:anchor="ASOIndice17">
        <w:r>
          <w:rPr>
            <w:rStyle w:val="Hyperlink"/>
          </w:rPr>
          <w:t>7. EVALUACIÓN Y CALIFICACIÓN</w:t>
        </w:r>
      </w:hyperlink>
    </w:p>
    <w:p>
      <w:pPr>
        <w:pStyle w:val="Normal"/>
        <w:spacing w:before="0" w:after="60"/>
        <w:ind w:left="360"/>
        <w:rPr/>
      </w:pPr>
      <w:hyperlink w:anchor="ASOIndice18">
        <w:r>
          <w:rPr>
            <w:rStyle w:val="Hyperlink"/>
          </w:rPr>
          <w:t>7.1. Instrumentos de evaluación</w:t>
        </w:r>
      </w:hyperlink>
    </w:p>
    <w:p>
      <w:pPr>
        <w:pStyle w:val="Normal"/>
        <w:spacing w:before="0" w:after="60"/>
        <w:ind w:left="360"/>
        <w:rPr/>
      </w:pPr>
      <w:hyperlink w:anchor="ASOIndice19">
        <w:r>
          <w:rPr>
            <w:rStyle w:val="Hyperlink"/>
          </w:rPr>
          <w:t>7.2. Criterios de calificación</w:t>
        </w:r>
      </w:hyperlink>
    </w:p>
    <w:p>
      <w:pPr>
        <w:pStyle w:val="Normal"/>
        <w:spacing w:before="0" w:after="60"/>
        <w:ind w:left="360"/>
        <w:rPr/>
      </w:pPr>
      <w:hyperlink w:anchor="ASOIndice20">
        <w:r>
          <w:rPr>
            <w:rStyle w:val="Hyperlink"/>
          </w:rPr>
          <w:t>7.3. Recuperación de los resultados de aprendizaje</w:t>
        </w:r>
      </w:hyperlink>
    </w:p>
    <w:p>
      <w:pPr>
        <w:pStyle w:val="Normal"/>
        <w:spacing w:before="0" w:after="60"/>
        <w:ind w:left="360"/>
        <w:rPr/>
      </w:pPr>
      <w:hyperlink w:anchor="ASOIndice21">
        <w:r>
          <w:rPr>
            <w:rStyle w:val="Hyperlink"/>
          </w:rPr>
          <w:t>7.4. Criterios de inasistencia</w:t>
        </w:r>
      </w:hyperlink>
    </w:p>
    <w:p>
      <w:pPr>
        <w:pStyle w:val="Normal"/>
        <w:spacing w:before="0" w:after="60"/>
        <w:rPr/>
      </w:pPr>
      <w:hyperlink w:anchor="ASOIndice22">
        <w:r>
          <w:rPr>
            <w:rStyle w:val="Hyperlink"/>
          </w:rPr>
          <w:t>8. Evaluación de la práctica docente</w:t>
        </w:r>
      </w:hyperlink>
    </w:p>
    <w:p>
      <w:pPr>
        <w:pStyle w:val="Normal"/>
        <w:spacing w:before="0" w:after="60"/>
        <w:rPr/>
      </w:pPr>
      <w:hyperlink w:anchor="ASOIndice23">
        <w:r>
          <w:rPr>
            <w:rStyle w:val="Hyperlink"/>
          </w:rPr>
          <w:t>9. Medidas de atención a la diversidad</w:t>
        </w:r>
      </w:hyperlink>
    </w:p>
    <w:p>
      <w:pPr>
        <w:pStyle w:val="Normal"/>
        <w:spacing w:before="0" w:after="60"/>
        <w:rPr/>
      </w:pPr>
      <w:hyperlink w:anchor="ASOIndice24">
        <w:r>
          <w:rPr>
            <w:rStyle w:val="Hyperlink"/>
          </w:rPr>
          <w:t>10. ANEXO I</w:t>
        </w:r>
      </w:hyperlink>
      <w:r>
        <w:br w:type="page"/>
      </w:r>
    </w:p>
    <w:p>
      <w:pPr>
        <w:pStyle w:val="Heading1"/>
        <w:spacing w:before="0" w:after="240"/>
        <w:rPr/>
      </w:pPr>
      <w:bookmarkStart w:id="0" w:name="ASOIndice0"/>
      <w:r>
        <w:rPr/>
        <w:t>PROPUESTAS DE MEJORA DEL CURSO ANTERIOR</w:t>
      </w:r>
      <w:bookmarkEnd w:id="0"/>
    </w:p>
    <w:p>
      <w:pPr>
        <w:pStyle w:val="Normal"/>
        <w:rPr>
          <w:color w:themeColor="background2" w:themeShade="bf" w:val="AEAAAA"/>
        </w:rPr>
      </w:pPr>
      <w:r>
        <w:rPr>
          <w:color w:themeColor="background2" w:themeShade="bf" w:val="AEAAAA"/>
        </w:rPr>
        <w:t>Se propone reforzar en el primer curso del ciclo la base de Linux y Windows, con especial atención al manejo de la línea de comandos en ambos sistemas. Así, el alumnado llegará a segundo curso con los conocimientos previos necesarios para abordar las tareas de administración de sistemas operativos.</w:t>
      </w:r>
    </w:p>
    <w:p>
      <w:pPr>
        <w:pStyle w:val="Heading1"/>
        <w:pBdr>
          <w:top w:val="single" w:sz="12" w:space="1" w:color="C00000"/>
          <w:left w:val="single" w:sz="12" w:space="4" w:color="C00000"/>
          <w:bottom w:val="single" w:sz="12" w:space="1" w:color="C00000"/>
          <w:right w:val="single" w:sz="12" w:space="4" w:color="C00000"/>
        </w:pBdr>
        <w:jc w:val="left"/>
        <w:rPr/>
      </w:pPr>
      <w:bookmarkStart w:id="1" w:name="ASOIndice1"/>
      <w:r>
        <w:rPr/>
        <w:t>INTRODUCCIÓN Y JUSTIFICACIÓN TEÓRICA CONTEXTUALIZADA</w:t>
      </w:r>
      <w:bookmarkEnd w:id="1"/>
    </w:p>
    <w:p>
      <w:pPr>
        <w:pStyle w:val="Normal"/>
        <w:rPr/>
      </w:pPr>
      <w:r>
        <w:rPr/>
      </w:r>
    </w:p>
    <w:p>
      <w:pPr>
        <w:pStyle w:val="Heading2"/>
        <w:rPr/>
      </w:pPr>
      <w:bookmarkStart w:id="2" w:name="ASOIndice2"/>
      <w:r>
        <w:rPr/>
        <w:t>Normativa de referencia</w:t>
      </w:r>
      <w:bookmarkEnd w:id="2"/>
    </w:p>
    <w:tbl>
      <w:tblPr>
        <w:tblStyle w:val="Tablaconcuadrcula"/>
        <w:tblpPr w:vertAnchor="text" w:horzAnchor="margin" w:tblpXSpec="center" w:leftFromText="141" w:rightFromText="141" w:tblpY="103"/>
        <w:tblW w:w="9960"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464"/>
        <w:gridCol w:w="2356"/>
        <w:gridCol w:w="2392"/>
        <w:gridCol w:w="2362"/>
        <w:gridCol w:w="2386"/>
      </w:tblGrid>
      <w:tr>
        <w:trPr>
          <w:trHeight w:val="360" w:hRule="atLeast"/>
        </w:trPr>
        <w:tc>
          <w:tcPr>
            <w:tcW w:w="464" w:type="dxa"/>
            <w:tcBorders>
              <w:top w:val="nil"/>
              <w:left w:val="nil"/>
            </w:tcBorders>
            <w:vAlign w:val="center"/>
          </w:tcPr>
          <w:p>
            <w:pPr>
              <w:pStyle w:val="Normal"/>
              <w:widowControl w:val="false"/>
              <w:suppressAutoHyphens w:val="true"/>
              <w:spacing w:before="0" w:after="120"/>
              <w:rPr>
                <w:sz w:val="20"/>
                <w:lang w:val="es-ES" w:bidi="hi-IN"/>
              </w:rPr>
            </w:pPr>
            <w:r>
              <w:rPr>
                <w:sz w:val="20"/>
                <w:lang w:val="es-ES" w:bidi="hi-IN"/>
              </w:rPr>
            </w:r>
          </w:p>
        </w:tc>
        <w:tc>
          <w:tcPr>
            <w:tcW w:w="2356" w:type="dxa"/>
            <w:tcBorders/>
            <w:shd w:color="auto" w:fill="808080" w:themeFill="background1" w:themeFillShade="80" w:val="clear"/>
            <w:vAlign w:val="center"/>
          </w:tcPr>
          <w:p>
            <w:pPr>
              <w:pStyle w:val="Normal"/>
              <w:widowControl w:val="false"/>
              <w:suppressAutoHyphens w:val="true"/>
              <w:spacing w:before="0" w:after="0"/>
              <w:jc w:val="center"/>
              <w:rPr>
                <w:b/>
                <w:bCs/>
                <w:color w:themeColor="background1" w:val="FFFFFF"/>
              </w:rPr>
            </w:pPr>
            <w:r>
              <w:rPr>
                <w:b/>
                <w:bCs/>
                <w:color w:themeColor="background1" w:val="FFFFFF"/>
                <w:sz w:val="20"/>
                <w:lang w:val="es-ES" w:bidi="hi-IN"/>
              </w:rPr>
              <w:t>Ordenación</w:t>
            </w:r>
          </w:p>
        </w:tc>
        <w:tc>
          <w:tcPr>
            <w:tcW w:w="2392" w:type="dxa"/>
            <w:tcBorders/>
            <w:shd w:color="auto" w:fill="808080" w:themeFill="background1" w:themeFillShade="80" w:val="clear"/>
            <w:vAlign w:val="center"/>
          </w:tcPr>
          <w:p>
            <w:pPr>
              <w:pStyle w:val="Normal"/>
              <w:widowControl w:val="false"/>
              <w:suppressAutoHyphens w:val="true"/>
              <w:spacing w:before="0" w:after="0"/>
              <w:jc w:val="center"/>
              <w:rPr>
                <w:b/>
                <w:bCs/>
                <w:color w:themeColor="background1" w:val="FFFFFF"/>
              </w:rPr>
            </w:pPr>
            <w:r>
              <w:rPr>
                <w:b/>
                <w:bCs/>
                <w:color w:themeColor="background1" w:val="FFFFFF"/>
                <w:sz w:val="20"/>
                <w:lang w:val="es-ES" w:bidi="hi-IN"/>
              </w:rPr>
              <w:t>Perfil profesional</w:t>
            </w:r>
          </w:p>
        </w:tc>
        <w:tc>
          <w:tcPr>
            <w:tcW w:w="2362" w:type="dxa"/>
            <w:tcBorders/>
            <w:shd w:color="auto" w:fill="808080" w:themeFill="background1" w:themeFillShade="80" w:val="clear"/>
            <w:vAlign w:val="center"/>
          </w:tcPr>
          <w:p>
            <w:pPr>
              <w:pStyle w:val="Normal"/>
              <w:widowControl w:val="false"/>
              <w:suppressAutoHyphens w:val="true"/>
              <w:spacing w:before="0" w:after="0"/>
              <w:jc w:val="center"/>
              <w:rPr>
                <w:b/>
                <w:bCs/>
                <w:color w:themeColor="background1" w:val="FFFFFF"/>
              </w:rPr>
            </w:pPr>
            <w:r>
              <w:rPr>
                <w:b/>
                <w:bCs/>
                <w:color w:themeColor="background1" w:val="FFFFFF"/>
                <w:sz w:val="20"/>
                <w:lang w:val="es-ES" w:bidi="hi-IN"/>
              </w:rPr>
              <w:t>Título</w:t>
            </w:r>
          </w:p>
        </w:tc>
        <w:tc>
          <w:tcPr>
            <w:tcW w:w="2386" w:type="dxa"/>
            <w:tcBorders/>
            <w:shd w:color="auto" w:fill="808080" w:themeFill="background1" w:themeFillShade="80" w:val="clear"/>
            <w:vAlign w:val="center"/>
          </w:tcPr>
          <w:p>
            <w:pPr>
              <w:pStyle w:val="Normal"/>
              <w:widowControl w:val="false"/>
              <w:suppressAutoHyphens w:val="true"/>
              <w:spacing w:before="0" w:after="0"/>
              <w:jc w:val="center"/>
              <w:rPr>
                <w:b/>
                <w:bCs/>
                <w:color w:themeColor="background1" w:val="FFFFFF"/>
              </w:rPr>
            </w:pPr>
            <w:r>
              <w:rPr>
                <w:b/>
                <w:bCs/>
                <w:color w:themeColor="background1" w:val="FFFFFF"/>
                <w:sz w:val="20"/>
                <w:lang w:val="es-ES" w:bidi="hi-IN"/>
              </w:rPr>
              <w:t>Evaluación</w:t>
            </w:r>
          </w:p>
        </w:tc>
      </w:tr>
      <w:tr>
        <w:trPr>
          <w:trHeight w:val="1147" w:hRule="atLeast"/>
          <w:cantSplit/>
        </w:trPr>
        <w:tc>
          <w:tcPr>
            <w:tcW w:w="464" w:type="dxa"/>
            <w:tcBorders/>
            <w:shd w:color="auto" w:fill="808080" w:themeFill="background1" w:themeFillShade="80" w:val="clear"/>
            <w:textDirection w:val="btLr"/>
            <w:vAlign w:val="center"/>
          </w:tcPr>
          <w:p>
            <w:pPr>
              <w:pStyle w:val="Normal"/>
              <w:widowControl w:val="false"/>
              <w:suppressAutoHyphens w:val="true"/>
              <w:spacing w:before="0" w:after="0"/>
              <w:jc w:val="center"/>
              <w:rPr>
                <w:b/>
                <w:bCs/>
                <w:color w:themeColor="background1" w:val="FFFFFF"/>
              </w:rPr>
            </w:pPr>
            <w:r>
              <w:rPr>
                <w:b/>
                <w:bCs/>
                <w:color w:themeColor="background1" w:val="FFFFFF"/>
                <w:sz w:val="20"/>
                <w:lang w:val="es-ES" w:bidi="hi-IN"/>
              </w:rPr>
              <w:t>Estatal</w:t>
            </w:r>
          </w:p>
        </w:tc>
        <w:tc>
          <w:tcPr>
            <w:tcW w:w="2356" w:type="dxa"/>
            <w:tcBorders/>
            <w:shd w:color="auto" w:fill="FFFFFF" w:themeFill="background1" w:val="clear"/>
          </w:tcPr>
          <w:p>
            <w:pPr>
              <w:pStyle w:val="Normal"/>
              <w:widowControl w:val="false"/>
              <w:suppressAutoHyphens w:val="true"/>
              <w:spacing w:before="0" w:after="120"/>
              <w:jc w:val="left"/>
              <w:rPr>
                <w:rFonts w:eastAsia="Arial" w:cs="Arial"/>
                <w:color w:themeColor="text1" w:val="000000"/>
                <w:sz w:val="18"/>
                <w:szCs w:val="18"/>
              </w:rPr>
            </w:pPr>
            <w:hyperlink r:id="rId2">
              <w:r>
                <w:rPr>
                  <w:rStyle w:val="Hyperlink"/>
                  <w:rFonts w:eastAsia="Arial" w:cs="Arial"/>
                  <w:sz w:val="18"/>
                  <w:szCs w:val="18"/>
                  <w:lang w:val="es-ES" w:bidi="hi-IN"/>
                </w:rPr>
                <w:t>Ley Orgánica 3/2022</w:t>
              </w:r>
            </w:hyperlink>
            <w:r>
              <w:rPr>
                <w:rFonts w:eastAsia="Arial" w:cs="Arial"/>
                <w:color w:themeColor="text1" w:val="000000"/>
                <w:sz w:val="18"/>
                <w:szCs w:val="18"/>
                <w:lang w:val="es-ES" w:bidi="hi-IN"/>
              </w:rPr>
              <w:t>, de 31 de marzo, de ordenación e integración de la Formación Profesional.</w:t>
            </w:r>
          </w:p>
          <w:p>
            <w:pPr>
              <w:pStyle w:val="Normal"/>
              <w:widowControl w:val="false"/>
              <w:suppressAutoHyphens w:val="true"/>
              <w:spacing w:before="0" w:after="120"/>
              <w:jc w:val="left"/>
              <w:rPr>
                <w:rFonts w:eastAsia="Arial" w:cs="Arial"/>
                <w:color w:themeColor="text1" w:val="000000"/>
                <w:sz w:val="18"/>
                <w:szCs w:val="18"/>
              </w:rPr>
            </w:pPr>
            <w:r>
              <w:rPr>
                <w:rFonts w:eastAsia="Arial" w:cs="Arial"/>
                <w:color w:themeColor="text1" w:val="000000"/>
                <w:sz w:val="18"/>
                <w:szCs w:val="18"/>
              </w:rPr>
            </w:r>
          </w:p>
          <w:p>
            <w:pPr>
              <w:pStyle w:val="Normal"/>
              <w:widowControl w:val="false"/>
              <w:suppressAutoHyphens w:val="true"/>
              <w:spacing w:before="0" w:after="120"/>
              <w:jc w:val="left"/>
              <w:rPr>
                <w:rFonts w:eastAsia="Arial" w:cs="Arial"/>
                <w:color w:themeColor="text1" w:val="000000"/>
                <w:sz w:val="18"/>
                <w:szCs w:val="18"/>
              </w:rPr>
            </w:pPr>
            <w:hyperlink r:id="rId3">
              <w:r>
                <w:rPr>
                  <w:rStyle w:val="Hyperlink"/>
                  <w:rFonts w:eastAsia="Arial" w:cs="Arial"/>
                  <w:sz w:val="18"/>
                  <w:szCs w:val="18"/>
                  <w:lang w:val="es-ES" w:bidi="hi-IN"/>
                </w:rPr>
                <w:t xml:space="preserve">Real Decreto </w:t>
              </w:r>
            </w:hyperlink>
            <w:hyperlink r:id="rId4">
              <w:r>
                <w:rPr>
                  <w:rStyle w:val="Hyperlink"/>
                  <w:rFonts w:eastAsia="Arial" w:cs="Arial"/>
                  <w:sz w:val="18"/>
                  <w:szCs w:val="18"/>
                  <w:lang w:val="es-ES" w:bidi="hi-IN"/>
                </w:rPr>
                <w:t>659</w:t>
              </w:r>
            </w:hyperlink>
            <w:hyperlink r:id="rId5">
              <w:r>
                <w:rPr>
                  <w:rStyle w:val="Hyperlink"/>
                  <w:rFonts w:eastAsia="Arial" w:cs="Arial"/>
                  <w:sz w:val="18"/>
                  <w:szCs w:val="18"/>
                  <w:lang w:val="es-ES" w:bidi="hi-IN"/>
                </w:rPr>
                <w:t>/20</w:t>
              </w:r>
            </w:hyperlink>
            <w:hyperlink r:id="rId6">
              <w:r>
                <w:rPr>
                  <w:rStyle w:val="Hyperlink"/>
                  <w:rFonts w:eastAsia="Arial" w:cs="Arial"/>
                  <w:sz w:val="18"/>
                  <w:szCs w:val="18"/>
                  <w:lang w:val="es-ES" w:bidi="hi-IN"/>
                </w:rPr>
                <w:t>23</w:t>
              </w:r>
            </w:hyperlink>
            <w:r>
              <w:rPr>
                <w:rFonts w:eastAsia="Arial" w:cs="Arial"/>
                <w:color w:themeColor="text1" w:val="000000"/>
                <w:sz w:val="18"/>
                <w:szCs w:val="18"/>
                <w:lang w:val="es-ES" w:bidi="hi-IN"/>
              </w:rPr>
              <w:t>, de 18 de julio, por el que se desarrolla la ordenación del Sistema de Formación Profesional.</w:t>
            </w:r>
          </w:p>
          <w:p>
            <w:pPr>
              <w:pStyle w:val="Normal"/>
              <w:widowControl w:val="false"/>
              <w:suppressAutoHyphens w:val="true"/>
              <w:spacing w:lineRule="auto" w:line="252" w:before="0" w:after="160"/>
              <w:jc w:val="left"/>
              <w:rPr>
                <w:rFonts w:eastAsia="Arial" w:cs="Arial"/>
                <w:color w:themeColor="text1" w:val="000000"/>
                <w:sz w:val="18"/>
                <w:szCs w:val="18"/>
              </w:rPr>
            </w:pPr>
            <w:hyperlink r:id="rId7">
              <w:r>
                <w:rPr>
                  <w:rStyle w:val="Hyperlink"/>
                  <w:rFonts w:eastAsia="Arial" w:cs="Arial"/>
                  <w:sz w:val="18"/>
                  <w:szCs w:val="18"/>
                  <w:lang w:val="es-ES" w:bidi="hi-IN"/>
                </w:rPr>
                <w:t>Enlace a INCUAL</w:t>
              </w:r>
            </w:hyperlink>
          </w:p>
        </w:tc>
        <w:tc>
          <w:tcPr>
            <w:tcW w:w="2392" w:type="dxa"/>
            <w:tcBorders/>
            <w:shd w:color="auto" w:fill="FFFFFF" w:themeFill="background1" w:val="clear"/>
          </w:tcPr>
          <w:p>
            <w:pPr>
              <w:pStyle w:val="Normal"/>
              <w:widowControl w:val="false"/>
              <w:suppressAutoHyphens w:val="true"/>
              <w:spacing w:before="0" w:after="120"/>
              <w:jc w:val="left"/>
              <w:rPr>
                <w:rFonts w:eastAsia="Arial" w:cs="Arial"/>
                <w:color w:themeColor="text1" w:val="000000"/>
                <w:sz w:val="18"/>
                <w:szCs w:val="18"/>
              </w:rPr>
            </w:pPr>
            <w:hyperlink r:id="rId8">
              <w:r>
                <w:rPr>
                  <w:rStyle w:val="Hyperlink"/>
                  <w:rFonts w:eastAsia="Arial" w:cs="Arial"/>
                  <w:sz w:val="18"/>
                  <w:szCs w:val="18"/>
                  <w:lang w:val="es-ES" w:bidi="hi-IN"/>
                </w:rPr>
                <w:t>Ley Orgánica 3/2020</w:t>
              </w:r>
            </w:hyperlink>
            <w:r>
              <w:rPr>
                <w:rFonts w:eastAsia="Arial" w:cs="Arial"/>
                <w:color w:themeColor="text1" w:val="000000"/>
                <w:sz w:val="18"/>
                <w:szCs w:val="18"/>
                <w:lang w:val="es-ES" w:bidi="hi-IN"/>
              </w:rPr>
              <w:t>, de 29 de diciembre, por la que se modifica la Ley Orgánica 2/2006, de 3 de mayo, de Educación.</w:t>
            </w:r>
          </w:p>
          <w:p>
            <w:pPr>
              <w:pStyle w:val="Normal"/>
              <w:widowControl w:val="false"/>
              <w:suppressAutoHyphens w:val="true"/>
              <w:spacing w:lineRule="auto" w:line="252" w:before="0" w:after="160"/>
              <w:rPr>
                <w:rFonts w:eastAsia="Arial" w:cs="Arial"/>
                <w:color w:val="5A5A5A"/>
                <w:sz w:val="16"/>
                <w:szCs w:val="16"/>
              </w:rPr>
            </w:pPr>
            <w:r>
              <w:rPr>
                <w:rFonts w:eastAsia="Arial" w:cs="Arial"/>
                <w:color w:val="5A5A5A"/>
                <w:sz w:val="16"/>
                <w:szCs w:val="16"/>
              </w:rPr>
            </w:r>
          </w:p>
          <w:p>
            <w:pPr>
              <w:pStyle w:val="Normal"/>
              <w:widowControl w:val="false"/>
              <w:suppressAutoHyphens w:val="true"/>
              <w:spacing w:lineRule="auto" w:line="252" w:before="0" w:after="160"/>
              <w:rPr>
                <w:rFonts w:eastAsia="Arial" w:cs="Arial"/>
                <w:color w:val="5A5A5A"/>
                <w:szCs w:val="20"/>
              </w:rPr>
            </w:pPr>
            <w:r>
              <w:rPr>
                <w:rFonts w:eastAsia="Arial" w:cs="Arial"/>
                <w:color w:val="5A5A5A"/>
                <w:szCs w:val="20"/>
              </w:rPr>
            </w:r>
          </w:p>
        </w:tc>
        <w:tc>
          <w:tcPr>
            <w:tcW w:w="2362" w:type="dxa"/>
            <w:tcBorders/>
            <w:shd w:color="auto" w:fill="FFFFFF" w:themeFill="background1" w:val="clear"/>
          </w:tcPr>
          <w:p>
            <w:pPr>
              <w:pStyle w:val="Normal"/>
              <w:widowControl w:val="false"/>
              <w:suppressAutoHyphens w:val="true"/>
              <w:spacing w:lineRule="auto" w:line="252" w:before="0" w:after="160"/>
              <w:jc w:val="left"/>
              <w:rPr>
                <w:rFonts w:eastAsia="Arial" w:cs="Arial"/>
                <w:sz w:val="18"/>
                <w:szCs w:val="18"/>
                <w:lang w:val="es-MX"/>
              </w:rPr>
            </w:pPr>
            <w:hyperlink r:id="rId9">
              <w:r>
                <w:rPr>
                  <w:rStyle w:val="Hyperlink"/>
                  <w:rFonts w:eastAsia="Arial" w:cs="Arial"/>
                  <w:sz w:val="18"/>
                  <w:szCs w:val="18"/>
                  <w:lang w:val="es-MX" w:bidi="hi-IN"/>
                </w:rPr>
                <w:t>Real Decreto 1629/2009</w:t>
              </w:r>
            </w:hyperlink>
            <w:r>
              <w:rPr>
                <w:rFonts w:eastAsia="Arial" w:cs="Arial"/>
                <w:sz w:val="18"/>
                <w:szCs w:val="18"/>
                <w:lang w:val="es-MX" w:bidi="hi-IN"/>
              </w:rPr>
              <w:t>, de 30 de octubre, por el que se establece el título de Técnico Superior en Administración de Sistemas Informáticos en Red y se fijan sus enseñanzas mínimas.</w:t>
            </w:r>
          </w:p>
        </w:tc>
        <w:tc>
          <w:tcPr>
            <w:tcW w:w="2386" w:type="dxa"/>
            <w:tcBorders/>
            <w:shd w:color="auto" w:fill="FFFFFF" w:themeFill="background1" w:val="clear"/>
          </w:tcPr>
          <w:p>
            <w:pPr>
              <w:pStyle w:val="Normal"/>
              <w:widowControl w:val="false"/>
              <w:suppressAutoHyphens w:val="true"/>
              <w:spacing w:before="0" w:after="120"/>
              <w:rPr>
                <w:rFonts w:eastAsia="Arial" w:cs="Arial"/>
                <w:szCs w:val="20"/>
              </w:rPr>
            </w:pPr>
            <w:r>
              <w:rPr>
                <w:rFonts w:eastAsia="Arial" w:cs="Arial"/>
                <w:szCs w:val="20"/>
              </w:rPr>
            </w:r>
          </w:p>
        </w:tc>
      </w:tr>
      <w:tr>
        <w:trPr>
          <w:trHeight w:val="1724" w:hRule="atLeast"/>
          <w:cantSplit/>
        </w:trPr>
        <w:tc>
          <w:tcPr>
            <w:tcW w:w="464" w:type="dxa"/>
            <w:tcBorders/>
            <w:shd w:color="auto" w:fill="808080" w:themeFill="background1" w:themeFillShade="80" w:val="clear"/>
            <w:textDirection w:val="btLr"/>
            <w:vAlign w:val="center"/>
          </w:tcPr>
          <w:p>
            <w:pPr>
              <w:pStyle w:val="Normal"/>
              <w:widowControl w:val="false"/>
              <w:suppressAutoHyphens w:val="true"/>
              <w:spacing w:before="0" w:after="0"/>
              <w:jc w:val="center"/>
              <w:rPr>
                <w:b/>
                <w:bCs/>
                <w:color w:themeColor="background1" w:val="FFFFFF"/>
              </w:rPr>
            </w:pPr>
            <w:r>
              <w:rPr>
                <w:b/>
                <w:bCs/>
                <w:color w:themeColor="background1" w:val="FFFFFF"/>
                <w:sz w:val="20"/>
                <w:lang w:val="es-ES" w:bidi="hi-IN"/>
              </w:rPr>
              <w:t>Autonómica</w:t>
            </w:r>
          </w:p>
        </w:tc>
        <w:tc>
          <w:tcPr>
            <w:tcW w:w="2356" w:type="dxa"/>
            <w:tcBorders/>
            <w:shd w:color="auto" w:fill="FFFFFF" w:themeFill="background1" w:val="clear"/>
          </w:tcPr>
          <w:p>
            <w:pPr>
              <w:pStyle w:val="Normal"/>
              <w:widowControl w:val="false"/>
              <w:suppressAutoHyphens w:val="true"/>
              <w:spacing w:before="0" w:after="120"/>
              <w:rPr>
                <w:rFonts w:eastAsia="Arial" w:cs="Arial"/>
                <w:sz w:val="16"/>
                <w:szCs w:val="16"/>
              </w:rPr>
            </w:pPr>
            <w:r>
              <w:rPr>
                <w:rFonts w:eastAsia="Arial" w:cs="Arial"/>
                <w:sz w:val="16"/>
                <w:szCs w:val="16"/>
              </w:rPr>
            </w:r>
          </w:p>
        </w:tc>
        <w:tc>
          <w:tcPr>
            <w:tcW w:w="2392" w:type="dxa"/>
            <w:tcBorders/>
            <w:shd w:color="auto" w:fill="FFFFFF" w:themeFill="background1" w:val="clear"/>
          </w:tcPr>
          <w:p>
            <w:pPr>
              <w:pStyle w:val="Normal"/>
              <w:widowControl w:val="false"/>
              <w:suppressAutoHyphens w:val="true"/>
              <w:spacing w:before="0" w:after="120"/>
              <w:jc w:val="left"/>
              <w:rPr>
                <w:rFonts w:eastAsia="Arial" w:cs="Arial"/>
                <w:color w:themeColor="text1" w:val="000000"/>
                <w:sz w:val="18"/>
                <w:szCs w:val="18"/>
              </w:rPr>
            </w:pPr>
            <w:hyperlink r:id="rId10">
              <w:r>
                <w:rPr>
                  <w:rStyle w:val="Hyperlink"/>
                  <w:rFonts w:eastAsia="Arial" w:cs="Arial"/>
                  <w:sz w:val="18"/>
                  <w:szCs w:val="18"/>
                  <w:lang w:val="es-ES" w:bidi="hi-IN"/>
                </w:rPr>
                <w:t>DECRETO 252/2019</w:t>
              </w:r>
            </w:hyperlink>
            <w:r>
              <w:rPr>
                <w:rFonts w:eastAsia="Arial" w:cs="Arial"/>
                <w:color w:themeColor="text1" w:val="000000"/>
                <w:sz w:val="18"/>
                <w:szCs w:val="18"/>
                <w:lang w:val="es-ES" w:bidi="hi-IN"/>
              </w:rPr>
              <w:t>, de 29 de noviembre, del Consell, de regulación de la organización y el funcionamiento de los centros públicos que imparten enseñanzas de Educación Secundaria Obligatoria, Bachillerato y Formación Profesional.</w:t>
            </w:r>
          </w:p>
        </w:tc>
        <w:tc>
          <w:tcPr>
            <w:tcW w:w="2362" w:type="dxa"/>
            <w:tcBorders/>
            <w:shd w:color="auto" w:fill="FFFFFF" w:themeFill="background1" w:val="clear"/>
          </w:tcPr>
          <w:p>
            <w:pPr>
              <w:pStyle w:val="Normal"/>
              <w:widowControl w:val="false"/>
              <w:suppressAutoHyphens w:val="true"/>
              <w:spacing w:lineRule="auto" w:line="252" w:before="0" w:after="160"/>
              <w:jc w:val="left"/>
              <w:rPr>
                <w:rFonts w:eastAsia="Arial" w:cs="Arial"/>
                <w:sz w:val="18"/>
                <w:szCs w:val="18"/>
                <w:lang w:val="es-MX"/>
              </w:rPr>
            </w:pPr>
            <w:hyperlink r:id="rId11">
              <w:r>
                <w:rPr>
                  <w:rStyle w:val="Hyperlink"/>
                  <w:rFonts w:eastAsia="Arial" w:cs="Arial"/>
                  <w:sz w:val="18"/>
                  <w:szCs w:val="18"/>
                  <w:lang w:val="es-MX" w:bidi="hi-IN"/>
                </w:rPr>
                <w:t>ORDEN 36/2012, de 22 de junio, de la Conselleria de Educación, por la que se establece el currículo del ciclo formativo de grado superior correspondiente al título de Técnico Superior en Administración de Sistemas Informáticos en Red. Distribución horaria actualizada por el DECRETO 114/2025, de 29 de julio, del Consell, anexo de ASIR (DOGV 10165, 04/08/2025, p. 72): 0374, 133 horas y 4 horas semanales. https://dogv.gva.es/datos/2025/08/04/pdf/2025_29742_es.pdf</w:t>
              </w:r>
            </w:hyperlink>
          </w:p>
        </w:tc>
        <w:tc>
          <w:tcPr>
            <w:tcW w:w="2386" w:type="dxa"/>
            <w:tcBorders/>
            <w:shd w:color="auto" w:fill="FFFFFF" w:themeFill="background1" w:val="clear"/>
          </w:tcPr>
          <w:p>
            <w:pPr>
              <w:pStyle w:val="Normal"/>
              <w:widowControl w:val="false"/>
              <w:suppressAutoHyphens w:val="true"/>
              <w:spacing w:before="0" w:after="120"/>
              <w:jc w:val="left"/>
              <w:rPr>
                <w:rFonts w:eastAsia="Arial" w:cs="Arial"/>
                <w:sz w:val="18"/>
                <w:szCs w:val="18"/>
              </w:rPr>
            </w:pPr>
            <w:hyperlink r:id="rId12">
              <w:r>
                <w:rPr>
                  <w:rStyle w:val="Hyperlink"/>
                  <w:rFonts w:eastAsia="Arial" w:cs="Arial"/>
                  <w:sz w:val="18"/>
                  <w:szCs w:val="18"/>
                  <w:lang w:val="es-ES" w:bidi="hi-IN"/>
                </w:rPr>
                <w:t>Orden 8/2025, de 22 de abril, sobre evaluación de FP, modificada por la Orden 5/2026, de 1 de abril (corrección de errores publicada el 11/05/2026). Resolución de 16 de julio de 2026, instrucciones de inicio de curso de los grados D y E de FP para 2026/2027 (apartados 8, 9, 12 y 19).</w:t>
              </w:r>
            </w:hyperlink>
          </w:p>
        </w:tc>
      </w:tr>
    </w:tbl>
    <w:p>
      <w:pPr>
        <w:pStyle w:val="Normal"/>
        <w:rPr/>
      </w:pPr>
      <w:r>
        <w:rPr/>
      </w:r>
    </w:p>
    <w:p>
      <w:pPr>
        <w:pStyle w:val="Normal"/>
        <w:rPr/>
      </w:pPr>
      <w:r>
        <w:rPr/>
      </w:r>
    </w:p>
    <w:p>
      <w:pPr>
        <w:pStyle w:val="Heading2"/>
        <w:spacing w:before="0" w:after="120"/>
        <w:rPr/>
      </w:pPr>
      <w:bookmarkStart w:id="3" w:name="ASOIndice3"/>
      <w:r>
        <w:rPr/>
        <w:t>Identificación del título</w:t>
      </w:r>
      <w:bookmarkEnd w:id="3"/>
    </w:p>
    <w:p>
      <w:pPr>
        <w:pStyle w:val="Normal"/>
        <w:rPr/>
      </w:pPr>
      <w:hyperlink r:id="rId13" w:tgtFrame="_blank">
        <w:r>
          <w:rPr>
            <w:rStyle w:val="Style"/>
            <w:rFonts w:cs="Arial"/>
            <w:color w:val="0563C1"/>
            <w:szCs w:val="22"/>
            <w:u w:val="single"/>
            <w:shd w:fill="FFFFFF" w:val="clear"/>
          </w:rPr>
          <w:t>Real Decreto 1629/2009</w:t>
        </w:r>
      </w:hyperlink>
      <w:r>
        <w:rPr>
          <w:rStyle w:val="normaltextrun"/>
          <w:rFonts w:cs="Arial"/>
          <w:color w:val="000000"/>
          <w:szCs w:val="22"/>
          <w:shd w:fill="FFFFFF" w:val="clear"/>
        </w:rPr>
        <w:t>, de 30 de octubre, por el que se establece el título de Técnico Superior en Administración de Sistemas Informáticos en Red.</w:t>
      </w:r>
      <w:r>
        <w:rPr>
          <w:rStyle w:val="eop"/>
          <w:rFonts w:eastAsia="" w:cs="Arial" w:eastAsiaTheme="majorEastAsia"/>
          <w:color w:val="000000"/>
          <w:szCs w:val="22"/>
          <w:shd w:fill="FFFFFF" w:val="clear"/>
        </w:rPr>
        <w:t> </w:t>
      </w:r>
    </w:p>
    <w:tbl>
      <w:tblPr>
        <w:tblStyle w:val="Tablaconcuadrcula1"/>
        <w:tblW w:w="9629" w:type="dxa"/>
        <w:jc w:val="left"/>
        <w:tblInd w:w="-5" w:type="dxa"/>
        <w:tblLayout w:type="fixed"/>
        <w:tblCellMar>
          <w:top w:w="0" w:type="dxa"/>
          <w:left w:w="108" w:type="dxa"/>
          <w:bottom w:w="0" w:type="dxa"/>
          <w:right w:w="108" w:type="dxa"/>
        </w:tblCellMar>
        <w:tblLook w:noHBand="0" w:noVBand="1" w:firstColumn="1" w:lastRow="0" w:lastColumn="0" w:firstRow="1" w:val="04a0"/>
      </w:tblPr>
      <w:tblGrid>
        <w:gridCol w:w="1842"/>
        <w:gridCol w:w="2263"/>
        <w:gridCol w:w="5524"/>
      </w:tblGrid>
      <w:tr>
        <w:trPr>
          <w:trHeight w:val="268" w:hRule="atLeast"/>
        </w:trPr>
        <w:tc>
          <w:tcPr>
            <w:tcW w:w="1842" w:type="dxa"/>
            <w:vMerge w:val="restart"/>
            <w:tcBorders/>
            <w:shd w:color="auto" w:fill="808080" w:themeFill="background1" w:themeFillShade="80" w:val="clear"/>
            <w:vAlign w:val="center"/>
          </w:tcPr>
          <w:p>
            <w:pPr>
              <w:pStyle w:val="Normal"/>
              <w:widowControl/>
              <w:suppressAutoHyphens w:val="false"/>
              <w:spacing w:before="0" w:after="120"/>
              <w:rPr>
                <w:b/>
                <w:bCs/>
                <w:color w:themeColor="background1" w:val="FFFFFF"/>
              </w:rPr>
            </w:pPr>
            <w:r>
              <w:rPr>
                <w:b/>
                <w:bCs/>
                <w:color w:themeColor="background1" w:val="FFFFFF"/>
              </w:rPr>
            </w:r>
          </w:p>
          <w:p>
            <w:pPr>
              <w:pStyle w:val="Normal"/>
              <w:widowControl/>
              <w:suppressAutoHyphens w:val="false"/>
              <w:spacing w:before="0" w:after="0"/>
              <w:rPr>
                <w:b/>
                <w:bCs/>
                <w:color w:themeColor="background1" w:val="FFFFFF"/>
              </w:rPr>
            </w:pPr>
            <w:r>
              <w:rPr>
                <w:b/>
                <w:bCs/>
                <w:color w:themeColor="background1" w:val="FFFFFF"/>
                <w:sz w:val="20"/>
                <w:lang w:val="es-ES" w:bidi="hi-IN"/>
              </w:rPr>
              <w:t>Identificación</w:t>
            </w:r>
          </w:p>
        </w:tc>
        <w:tc>
          <w:tcPr>
            <w:tcW w:w="7787" w:type="dxa"/>
            <w:gridSpan w:val="2"/>
            <w:tcBorders/>
            <w:shd w:color="auto" w:fill="D9D9D9" w:themeFill="background1" w:themeFillShade="d9" w:val="clear"/>
            <w:vAlign w:val="center"/>
          </w:tcPr>
          <w:p>
            <w:pPr>
              <w:pStyle w:val="Normal"/>
              <w:widowControl/>
              <w:suppressAutoHyphens w:val="false"/>
              <w:spacing w:before="0" w:after="120"/>
              <w:jc w:val="left"/>
              <w:rPr>
                <w:b/>
                <w:bCs/>
              </w:rPr>
            </w:pPr>
            <w:r>
              <w:rPr>
                <w:b/>
                <w:bCs/>
                <w:sz w:val="20"/>
                <w:lang w:val="es-ES" w:bidi="hi-IN"/>
              </w:rPr>
              <w:t>Grado D</w:t>
            </w:r>
          </w:p>
        </w:tc>
      </w:tr>
      <w:tr>
        <w:trPr>
          <w:trHeight w:val="268" w:hRule="atLeast"/>
        </w:trPr>
        <w:tc>
          <w:tcPr>
            <w:tcW w:w="1842"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sz w:val="20"/>
                <w:lang w:val="es-ES" w:bidi="hi-IN"/>
              </w:rPr>
              <w:t>Identificación</w:t>
            </w:r>
          </w:p>
        </w:tc>
        <w:tc>
          <w:tcPr>
            <w:tcW w:w="2263"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Ciclo Formativo</w:t>
            </w:r>
          </w:p>
        </w:tc>
        <w:tc>
          <w:tcPr>
            <w:tcW w:w="5524"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Técnico Superior en Administración de Sistemas Informáticos en Red</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3"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Denominación</w:t>
            </w:r>
          </w:p>
        </w:tc>
        <w:tc>
          <w:tcPr>
            <w:tcW w:w="5524"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Administración de Sistemas Informáticos en Red</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3"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Duración</w:t>
            </w:r>
          </w:p>
        </w:tc>
        <w:tc>
          <w:tcPr>
            <w:tcW w:w="5524"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2000 horas</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3"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Familia profesional</w:t>
            </w:r>
          </w:p>
        </w:tc>
        <w:tc>
          <w:tcPr>
            <w:tcW w:w="5524"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Informática y comunicaciones.</w:t>
            </w:r>
          </w:p>
        </w:tc>
      </w:tr>
      <w:tr>
        <w:trPr>
          <w:trHeight w:val="526" w:hRule="atLeast"/>
        </w:trPr>
        <w:tc>
          <w:tcPr>
            <w:tcW w:w="1842" w:type="dxa"/>
            <w:vMerge w:val="restart"/>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sz w:val="20"/>
                <w:lang w:val="es-ES" w:bidi="hi-IN"/>
              </w:rPr>
              <w:t>Perfil profesional</w:t>
            </w:r>
          </w:p>
        </w:tc>
        <w:tc>
          <w:tcPr>
            <w:tcW w:w="2263"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Competencia general</w:t>
            </w:r>
          </w:p>
        </w:tc>
        <w:tc>
          <w:tcPr>
            <w:tcW w:w="5524"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Configurar, administrar y mantener sistemas informáticos, garantizando la funcionalidad, la integridad de los recursos y servicios del sistema, con la calidad exigida y cumpliendo la reglamentación vigente.</w:t>
            </w:r>
          </w:p>
        </w:tc>
      </w:tr>
      <w:tr>
        <w:trPr>
          <w:trHeight w:val="795"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3"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Unidades de competencia completas</w:t>
            </w:r>
            <w:r>
              <w:rPr>
                <w:rStyle w:val="FootnoteReference"/>
                <w:b/>
                <w:bCs/>
                <w:color w:val="FF0000"/>
                <w:sz w:val="20"/>
                <w:vertAlign w:val="superscript"/>
                <w:lang w:val="es-ES" w:bidi="hi-IN"/>
              </w:rPr>
              <w:footnoteReference w:id="2"/>
            </w:r>
          </w:p>
        </w:tc>
        <w:tc>
          <w:tcPr>
            <w:tcW w:w="5524"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UC0484_3 Administrar los dispositivos hardware del sistema.</w:t>
            </w:r>
          </w:p>
          <w:p>
            <w:pPr>
              <w:pStyle w:val="Normal"/>
              <w:widowControl/>
              <w:suppressAutoHyphens w:val="false"/>
              <w:spacing w:before="0" w:after="0"/>
              <w:jc w:val="left"/>
              <w:rPr>
                <w:sz w:val="20"/>
                <w:lang w:val="es-ES" w:bidi="hi-IN"/>
              </w:rPr>
            </w:pPr>
            <w:r>
              <w:rPr>
                <w:sz w:val="20"/>
                <w:lang w:val="es-ES" w:bidi="hi-IN"/>
              </w:rPr>
              <w:t>UC0485_3 Instalar, configurar y administrar el software de base y de aplicación del sistema.</w:t>
            </w:r>
          </w:p>
          <w:p>
            <w:pPr>
              <w:pStyle w:val="Normal"/>
              <w:widowControl/>
              <w:suppressAutoHyphens w:val="false"/>
              <w:spacing w:before="0" w:after="0"/>
              <w:jc w:val="left"/>
              <w:rPr>
                <w:sz w:val="20"/>
                <w:lang w:val="es-ES" w:bidi="hi-IN"/>
              </w:rPr>
            </w:pPr>
            <w:r>
              <w:rPr>
                <w:sz w:val="20"/>
                <w:lang w:val="es-ES" w:bidi="hi-IN"/>
              </w:rPr>
              <w:t>UC0486_3 Asegurar equipos informáticos.</w:t>
            </w:r>
          </w:p>
          <w:p>
            <w:pPr>
              <w:pStyle w:val="Normal"/>
              <w:widowControl/>
              <w:suppressAutoHyphens w:val="false"/>
              <w:spacing w:before="0" w:after="0"/>
              <w:jc w:val="left"/>
              <w:rPr>
                <w:sz w:val="20"/>
                <w:lang w:val="es-ES" w:bidi="hi-IN"/>
              </w:rPr>
            </w:pPr>
            <w:r>
              <w:rPr>
                <w:sz w:val="20"/>
                <w:lang w:val="es-ES" w:bidi="hi-IN"/>
              </w:rPr>
              <w:t>UC0495_3 Instalar, configurar y administrar el software para gestionar un entorno web.</w:t>
            </w:r>
          </w:p>
          <w:p>
            <w:pPr>
              <w:pStyle w:val="Normal"/>
              <w:widowControl/>
              <w:suppressAutoHyphens w:val="false"/>
              <w:spacing w:before="0" w:after="0"/>
              <w:jc w:val="left"/>
              <w:rPr>
                <w:sz w:val="20"/>
                <w:lang w:val="es-ES" w:bidi="hi-IN"/>
              </w:rPr>
            </w:pPr>
            <w:r>
              <w:rPr>
                <w:sz w:val="20"/>
                <w:lang w:val="es-ES" w:bidi="hi-IN"/>
              </w:rPr>
              <w:t>UC0496_3 Instalar, configurar y administrar servicios de mensajería electrónica.</w:t>
            </w:r>
          </w:p>
          <w:p>
            <w:pPr>
              <w:pStyle w:val="Normal"/>
              <w:widowControl/>
              <w:suppressAutoHyphens w:val="false"/>
              <w:spacing w:before="0" w:after="0"/>
              <w:jc w:val="left"/>
              <w:rPr>
                <w:sz w:val="20"/>
                <w:lang w:val="es-ES" w:bidi="hi-IN"/>
              </w:rPr>
            </w:pPr>
            <w:r>
              <w:rPr>
                <w:sz w:val="20"/>
                <w:lang w:val="es-ES" w:bidi="hi-IN"/>
              </w:rPr>
              <w:t>UC0497_3 Instalar, configurar y administrar servicios de transferencia de archivos y multimedia.</w:t>
            </w:r>
          </w:p>
          <w:p>
            <w:pPr>
              <w:pStyle w:val="Normal"/>
              <w:widowControl/>
              <w:suppressAutoHyphens w:val="false"/>
              <w:spacing w:before="0" w:after="0"/>
              <w:jc w:val="left"/>
              <w:rPr>
                <w:sz w:val="20"/>
                <w:lang w:val="es-ES" w:bidi="hi-IN"/>
              </w:rPr>
            </w:pPr>
            <w:r>
              <w:rPr>
                <w:sz w:val="20"/>
                <w:lang w:val="es-ES" w:bidi="hi-IN"/>
              </w:rPr>
              <w:t>UC0490_3 Gestionar servicios en el sistema informático.</w:t>
            </w:r>
          </w:p>
          <w:p>
            <w:pPr>
              <w:pStyle w:val="Normal"/>
              <w:widowControl/>
              <w:suppressAutoHyphens w:val="false"/>
              <w:spacing w:before="0" w:after="0"/>
              <w:jc w:val="left"/>
              <w:rPr>
                <w:sz w:val="20"/>
                <w:lang w:val="es-ES" w:bidi="hi-IN"/>
              </w:rPr>
            </w:pPr>
            <w:r>
              <w:rPr>
                <w:sz w:val="20"/>
                <w:lang w:val="es-ES" w:bidi="hi-IN"/>
              </w:rPr>
              <w:t>UC0223_3. Configurar y explotar sistemas informáticos.</w:t>
            </w:r>
          </w:p>
          <w:p>
            <w:pPr>
              <w:pStyle w:val="Normal"/>
              <w:widowControl/>
              <w:suppressAutoHyphens w:val="false"/>
              <w:spacing w:before="0" w:after="0"/>
              <w:jc w:val="left"/>
              <w:rPr>
                <w:sz w:val="20"/>
                <w:lang w:val="es-ES" w:bidi="hi-IN"/>
              </w:rPr>
            </w:pPr>
            <w:r>
              <w:rPr>
                <w:sz w:val="20"/>
                <w:lang w:val="es-ES" w:bidi="hi-IN"/>
              </w:rPr>
              <w:t>UC0224_3. Configurar y gestionar un sistema gestor de bases de datos.</w:t>
            </w:r>
          </w:p>
          <w:p>
            <w:pPr>
              <w:pStyle w:val="Normal"/>
              <w:widowControl/>
              <w:suppressAutoHyphens w:val="false"/>
              <w:spacing w:before="0" w:after="0"/>
              <w:jc w:val="left"/>
              <w:rPr>
                <w:sz w:val="20"/>
                <w:lang w:val="es-ES" w:bidi="hi-IN"/>
              </w:rPr>
            </w:pPr>
            <w:r>
              <w:rPr>
                <w:sz w:val="20"/>
                <w:lang w:val="es-ES" w:bidi="hi-IN"/>
              </w:rPr>
              <w:t>UC0225_3. Configurar y gestionar la base de datos.</w:t>
            </w:r>
          </w:p>
        </w:tc>
      </w:tr>
      <w:tr>
        <w:trPr>
          <w:trHeight w:val="795"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3"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Unidades de competencia incompletas</w:t>
            </w:r>
          </w:p>
        </w:tc>
        <w:tc>
          <w:tcPr>
            <w:tcW w:w="5524"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UC0493_3 Implementar, verificar y documentar aplicaciones web en entornos internet, intranet y extranet.</w:t>
            </w:r>
            <w:bookmarkStart w:id="4" w:name="_Hlk171504246"/>
            <w:bookmarkStart w:id="5" w:name="_Hlk101343991"/>
            <w:bookmarkEnd w:id="4"/>
            <w:bookmarkEnd w:id="5"/>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6" w:name="ASOIndice4"/>
      <w:r>
        <w:rPr/>
        <w:t xml:space="preserve">Cuadro horario </w:t>
      </w:r>
      <w:bookmarkEnd w:id="6"/>
    </w:p>
    <w:p>
      <w:pPr>
        <w:pStyle w:val="Normal"/>
        <w:rPr/>
      </w:pPr>
      <w:r>
        <w:rPr/>
      </w:r>
    </w:p>
    <w:p>
      <w:pPr>
        <w:pStyle w:val="Normal"/>
        <w:rPr/>
      </w:pPr>
      <w:r>
        <w:rPr/>
      </w:r>
    </w:p>
    <w:tbl>
      <w:tblPr>
        <w:tblW w:w="9354" w:type="dxa"/>
        <w:jc w:val="left"/>
        <w:tblInd w:w="28" w:type="dxa"/>
        <w:tblLayout w:type="fixed"/>
        <w:tblCellMar>
          <w:top w:w="28" w:type="dxa"/>
          <w:left w:w="28" w:type="dxa"/>
          <w:bottom w:w="28" w:type="dxa"/>
          <w:right w:w="28" w:type="dxa"/>
        </w:tblCellMar>
      </w:tblPr>
      <w:tblGrid>
        <w:gridCol w:w="4464"/>
        <w:gridCol w:w="1440"/>
        <w:gridCol w:w="1115"/>
        <w:gridCol w:w="1097"/>
        <w:gridCol w:w="1238"/>
      </w:tblGrid>
      <w:tr>
        <w:trPr/>
        <w:tc>
          <w:tcPr>
            <w:tcW w:w="4464" w:type="dxa"/>
            <w:tcBorders>
              <w:top w:val="double" w:sz="2" w:space="0" w:color="808080"/>
              <w:left w:val="double" w:sz="2" w:space="0" w:color="808080"/>
              <w:bottom w:val="double" w:sz="2" w:space="0" w:color="808080"/>
            </w:tcBorders>
            <w:shd w:fill="B2B2B2" w:val="clear"/>
            <w:vAlign w:val="center"/>
          </w:tcPr>
          <w:p>
            <w:pPr>
              <w:pStyle w:val="Contenidodelatablauser"/>
              <w:widowControl/>
              <w:suppressAutoHyphens w:val="true"/>
              <w:bidi w:val="0"/>
              <w:spacing w:before="0" w:after="120"/>
              <w:ind w:hanging="0" w:left="0" w:right="0"/>
              <w:jc w:val="center"/>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Módulo profesional</w:t>
            </w:r>
          </w:p>
        </w:tc>
        <w:tc>
          <w:tcPr>
            <w:tcW w:w="1440" w:type="dxa"/>
            <w:tcBorders>
              <w:top w:val="double" w:sz="2" w:space="0" w:color="808080"/>
              <w:left w:val="double" w:sz="2" w:space="0" w:color="808080"/>
              <w:bottom w:val="double" w:sz="2" w:space="0" w:color="808080"/>
            </w:tcBorders>
            <w:shd w:fill="B2B2B2" w:val="clear"/>
            <w:vAlign w:val="center"/>
          </w:tcPr>
          <w:p>
            <w:pPr>
              <w:pStyle w:val="Contenidodelatablauser"/>
              <w:widowControl/>
              <w:suppressAutoHyphens w:val="true"/>
              <w:bidi w:val="0"/>
              <w:spacing w:before="0" w:after="120"/>
              <w:ind w:hanging="0" w:left="0" w:right="0"/>
              <w:jc w:val="center"/>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Lengua vehicular</w:t>
            </w:r>
          </w:p>
        </w:tc>
        <w:tc>
          <w:tcPr>
            <w:tcW w:w="1115" w:type="dxa"/>
            <w:tcBorders>
              <w:top w:val="double" w:sz="2" w:space="0" w:color="808080"/>
              <w:left w:val="double" w:sz="2" w:space="0" w:color="808080"/>
              <w:bottom w:val="double" w:sz="2" w:space="0" w:color="808080"/>
            </w:tcBorders>
            <w:shd w:fill="B2B2B2" w:val="clear"/>
            <w:vAlign w:val="center"/>
          </w:tcPr>
          <w:p>
            <w:pPr>
              <w:pStyle w:val="Contenidodelatablauser"/>
              <w:widowControl/>
              <w:suppressAutoHyphens w:val="true"/>
              <w:bidi w:val="0"/>
              <w:spacing w:before="0" w:after="120"/>
              <w:ind w:hanging="0" w:left="0" w:right="0"/>
              <w:jc w:val="center"/>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Carga lectiva</w:t>
            </w:r>
          </w:p>
          <w:p>
            <w:pPr>
              <w:pStyle w:val="Contenidodelatablauser"/>
              <w:widowControl/>
              <w:suppressAutoHyphens w:val="true"/>
              <w:bidi w:val="0"/>
              <w:spacing w:before="0" w:after="120"/>
              <w:ind w:hanging="0" w:left="0" w:right="0"/>
              <w:jc w:val="center"/>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w:t>
            </w:r>
          </w:p>
        </w:tc>
        <w:tc>
          <w:tcPr>
            <w:tcW w:w="1097" w:type="dxa"/>
            <w:tcBorders>
              <w:top w:val="double" w:sz="2" w:space="0" w:color="808080"/>
              <w:left w:val="double" w:sz="2" w:space="0" w:color="808080"/>
              <w:bottom w:val="double" w:sz="2" w:space="0" w:color="808080"/>
            </w:tcBorders>
            <w:shd w:fill="B2B2B2" w:val="clear"/>
            <w:vAlign w:val="center"/>
          </w:tcPr>
          <w:p>
            <w:pPr>
              <w:pStyle w:val="Contenidodelatablauser"/>
              <w:widowControl/>
              <w:suppressAutoHyphens w:val="true"/>
              <w:bidi w:val="0"/>
              <w:spacing w:before="0" w:after="120"/>
              <w:ind w:hanging="0" w:left="0" w:right="0"/>
              <w:jc w:val="center"/>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Primer curso</w:t>
            </w:r>
          </w:p>
          <w:p>
            <w:pPr>
              <w:pStyle w:val="Contenidodelatablauser"/>
              <w:widowControl/>
              <w:suppressAutoHyphens w:val="true"/>
              <w:bidi w:val="0"/>
              <w:spacing w:before="0" w:after="120"/>
              <w:ind w:hanging="0" w:left="0" w:right="0"/>
              <w:jc w:val="center"/>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(horas/sem)</w:t>
            </w:r>
          </w:p>
        </w:tc>
        <w:tc>
          <w:tcPr>
            <w:tcW w:w="1238" w:type="dxa"/>
            <w:tcBorders>
              <w:top w:val="double" w:sz="2" w:space="0" w:color="808080"/>
              <w:left w:val="double" w:sz="2" w:space="0" w:color="808080"/>
              <w:bottom w:val="double" w:sz="2" w:space="0" w:color="808080"/>
              <w:right w:val="double" w:sz="2" w:space="0" w:color="808080"/>
            </w:tcBorders>
            <w:shd w:fill="B2B2B2" w:val="clear"/>
            <w:vAlign w:val="center"/>
          </w:tcPr>
          <w:p>
            <w:pPr>
              <w:pStyle w:val="Contenidodelatablauser"/>
              <w:widowControl/>
              <w:suppressAutoHyphens w:val="true"/>
              <w:bidi w:val="0"/>
              <w:spacing w:before="0" w:after="120"/>
              <w:ind w:hanging="0" w:left="0" w:right="0"/>
              <w:jc w:val="center"/>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Segundo</w:t>
            </w:r>
          </w:p>
          <w:p>
            <w:pPr>
              <w:pStyle w:val="Contenidodelatablauser"/>
              <w:widowControl/>
              <w:suppressAutoHyphens w:val="true"/>
              <w:bidi w:val="0"/>
              <w:spacing w:before="0" w:after="120"/>
              <w:ind w:hanging="0" w:left="0" w:right="0"/>
              <w:jc w:val="center"/>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curso</w:t>
            </w:r>
          </w:p>
          <w:p>
            <w:pPr>
              <w:pStyle w:val="Contenidodelatablauser"/>
              <w:widowControl/>
              <w:suppressAutoHyphens w:val="true"/>
              <w:bidi w:val="0"/>
              <w:spacing w:before="0" w:after="120"/>
              <w:ind w:hanging="0" w:left="0" w:right="0"/>
              <w:jc w:val="center"/>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(horas/sem)</w:t>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Inglés profesional GS</w:t>
            </w:r>
          </w:p>
        </w:tc>
        <w:tc>
          <w:tcPr>
            <w:tcW w:w="1440"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67</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2</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Implantación de sistemas operativos</w:t>
            </w:r>
          </w:p>
        </w:tc>
        <w:tc>
          <w:tcPr>
            <w:tcW w:w="1440"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233</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7</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Planificación y administración de redes</w:t>
            </w:r>
          </w:p>
        </w:tc>
        <w:tc>
          <w:tcPr>
            <w:tcW w:w="1440"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200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6</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Fundamentos de hardware</w:t>
            </w:r>
          </w:p>
        </w:tc>
        <w:tc>
          <w:tcPr>
            <w:tcW w:w="1440"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3</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Gestión de bases de datos</w:t>
            </w:r>
          </w:p>
        </w:tc>
        <w:tc>
          <w:tcPr>
            <w:tcW w:w="1440"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166</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5</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Lenguajes de marcas y sistemas de gestión de información</w:t>
            </w:r>
          </w:p>
        </w:tc>
        <w:tc>
          <w:tcPr>
            <w:tcW w:w="1440"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3</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Proyecto intermodular de Administración de Sistemas Informáticos en Red</w:t>
            </w:r>
          </w:p>
        </w:tc>
        <w:tc>
          <w:tcPr>
            <w:tcW w:w="1440"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34</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1</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Itinerario personal para la empleabilidad I</w:t>
            </w:r>
          </w:p>
        </w:tc>
        <w:tc>
          <w:tcPr>
            <w:tcW w:w="1440"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3</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Administración de sistemas operativos</w:t>
            </w:r>
          </w:p>
        </w:tc>
        <w:tc>
          <w:tcPr>
            <w:tcW w:w="1440"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133</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4</w:t>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Servicios de red e internet</w:t>
            </w:r>
          </w:p>
        </w:tc>
        <w:tc>
          <w:tcPr>
            <w:tcW w:w="1440"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166</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5</w:t>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Implantación de aplicaciones web</w:t>
            </w:r>
          </w:p>
        </w:tc>
        <w:tc>
          <w:tcPr>
            <w:tcW w:w="1440"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133</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4</w:t>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Administración de sistemas gestores de bases de datos</w:t>
            </w:r>
          </w:p>
        </w:tc>
        <w:tc>
          <w:tcPr>
            <w:tcW w:w="1440"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67</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2</w:t>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Seguridad y alta disponibilidad</w:t>
            </w:r>
          </w:p>
        </w:tc>
        <w:tc>
          <w:tcPr>
            <w:tcW w:w="1440"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133</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4</w:t>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Proyecto intermodular de Administración de Sistemas Informáticos en Red</w:t>
            </w:r>
          </w:p>
        </w:tc>
        <w:tc>
          <w:tcPr>
            <w:tcW w:w="1440"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3</w:t>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Digitalización aplicada al sistema productivo (GS)</w:t>
            </w:r>
          </w:p>
        </w:tc>
        <w:tc>
          <w:tcPr>
            <w:tcW w:w="1440"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34</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1</w:t>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Sostenibilidad aplicada al sistema productivo</w:t>
            </w:r>
          </w:p>
        </w:tc>
        <w:tc>
          <w:tcPr>
            <w:tcW w:w="1440"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34</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1</w:t>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Itinerario personal para la empleabilidad II</w:t>
            </w:r>
          </w:p>
        </w:tc>
        <w:tc>
          <w:tcPr>
            <w:tcW w:w="1440"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3</w:t>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Módulo optativo</w:t>
            </w:r>
          </w:p>
        </w:tc>
        <w:tc>
          <w:tcPr>
            <w:tcW w:w="1440"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3</w:t>
            </w:r>
          </w:p>
        </w:tc>
      </w:tr>
      <w:tr>
        <w:trPr/>
        <w:tc>
          <w:tcPr>
            <w:tcW w:w="5904" w:type="dxa"/>
            <w:gridSpan w:val="2"/>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Total ciclo formativo</w:t>
            </w:r>
          </w:p>
        </w:tc>
        <w:tc>
          <w:tcPr>
            <w:tcW w:w="3450" w:type="dxa"/>
            <w:gridSpan w:val="3"/>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2000</w:t>
            </w:r>
          </w:p>
        </w:tc>
      </w:tr>
    </w:tbl>
    <w:p>
      <w:pPr>
        <w:pStyle w:val="Normal"/>
        <w:rPr/>
      </w:pPr>
      <w:r>
        <w:rPr/>
      </w:r>
    </w:p>
    <w:tbl>
      <w:tblPr>
        <w:tblW w:w="5000" w:type="pct"/>
        <w:jc w:val="left"/>
        <w:tblInd w:w="108" w:type="dxa"/>
        <w:tblLayout w:type="fixed"/>
        <w:tblCellMar>
          <w:top w:w="0" w:type="dxa"/>
          <w:left w:w="108" w:type="dxa"/>
          <w:bottom w:w="0" w:type="dxa"/>
          <w:right w:w="108" w:type="dxa"/>
        </w:tblCellMar>
      </w:tblPr>
      <w:tblGrid>
        <w:gridCol w:w="3198"/>
        <w:gridCol w:w="752"/>
        <w:gridCol w:w="1797"/>
        <w:gridCol w:w="1800"/>
        <w:gridCol w:w="1807"/>
      </w:tblGrid>
      <w:tr>
        <w:trPr/>
        <w:tc>
          <w:tcPr>
            <w:tcW w:w="3198" w:type="dxa"/>
            <w:tcBorders/>
          </w:tcPr>
          <w:p>
            <w:pPr>
              <w:pStyle w:val="Normal"/>
              <w:widowControl/>
              <w:suppressAutoHyphens w:val="true"/>
              <w:bidi w:val="0"/>
              <w:spacing w:before="0" w:after="120"/>
              <w:jc w:val="both"/>
              <w:rPr/>
            </w:pPr>
            <w:r>
              <w:rPr/>
              <w:t>Módulo profesional</w:t>
            </w:r>
          </w:p>
        </w:tc>
        <w:tc>
          <w:tcPr>
            <w:tcW w:w="752" w:type="dxa"/>
            <w:tcBorders/>
          </w:tcPr>
          <w:p>
            <w:pPr>
              <w:pStyle w:val="Normal"/>
              <w:widowControl/>
              <w:suppressAutoHyphens w:val="true"/>
              <w:bidi w:val="0"/>
              <w:spacing w:before="0" w:after="120"/>
              <w:jc w:val="both"/>
              <w:rPr/>
            </w:pPr>
            <w:r>
              <w:rPr/>
              <w:t>Curso</w:t>
            </w:r>
          </w:p>
        </w:tc>
        <w:tc>
          <w:tcPr>
            <w:tcW w:w="1797" w:type="dxa"/>
            <w:tcBorders/>
          </w:tcPr>
          <w:p>
            <w:pPr>
              <w:pStyle w:val="Normal"/>
              <w:widowControl/>
              <w:suppressAutoHyphens w:val="true"/>
              <w:bidi w:val="0"/>
              <w:spacing w:before="0" w:after="120"/>
              <w:jc w:val="both"/>
              <w:rPr/>
            </w:pPr>
            <w:r>
              <w:rPr/>
              <w:t>Lengua vehicular</w:t>
            </w:r>
          </w:p>
        </w:tc>
        <w:tc>
          <w:tcPr>
            <w:tcW w:w="1800" w:type="dxa"/>
            <w:tcBorders/>
          </w:tcPr>
          <w:p>
            <w:pPr>
              <w:pStyle w:val="Normal"/>
              <w:widowControl/>
              <w:suppressAutoHyphens w:val="true"/>
              <w:bidi w:val="0"/>
              <w:spacing w:before="0" w:after="120"/>
              <w:jc w:val="both"/>
              <w:rPr/>
            </w:pPr>
            <w:r>
              <w:rPr/>
              <w:t>Horas curriculares</w:t>
            </w:r>
          </w:p>
        </w:tc>
        <w:tc>
          <w:tcPr>
            <w:tcW w:w="1807" w:type="dxa"/>
            <w:tcBorders/>
          </w:tcPr>
          <w:p>
            <w:pPr>
              <w:pStyle w:val="Normal"/>
              <w:widowControl/>
              <w:suppressAutoHyphens w:val="true"/>
              <w:bidi w:val="0"/>
              <w:spacing w:before="0" w:after="120"/>
              <w:jc w:val="both"/>
              <w:rPr/>
            </w:pPr>
            <w:r>
              <w:rPr/>
              <w:t>Horas semanales</w:t>
            </w:r>
          </w:p>
        </w:tc>
      </w:tr>
      <w:tr>
        <w:trPr/>
        <w:tc>
          <w:tcPr>
            <w:tcW w:w="3198" w:type="dxa"/>
            <w:tcBorders/>
          </w:tcPr>
          <w:p>
            <w:pPr>
              <w:pStyle w:val="Normal"/>
              <w:widowControl/>
              <w:suppressAutoHyphens w:val="true"/>
              <w:bidi w:val="0"/>
              <w:spacing w:before="0" w:after="120"/>
              <w:jc w:val="both"/>
              <w:rPr/>
            </w:pPr>
            <w:r>
              <w:rPr/>
              <w:t>0374. Administración de sistemas operativos</w:t>
            </w:r>
          </w:p>
        </w:tc>
        <w:tc>
          <w:tcPr>
            <w:tcW w:w="752" w:type="dxa"/>
            <w:tcBorders/>
          </w:tcPr>
          <w:p>
            <w:pPr>
              <w:pStyle w:val="Normal"/>
              <w:widowControl/>
              <w:suppressAutoHyphens w:val="true"/>
              <w:bidi w:val="0"/>
              <w:spacing w:before="0" w:after="120"/>
              <w:jc w:val="both"/>
              <w:rPr/>
            </w:pPr>
            <w:r>
              <w:rPr/>
              <w:t>2º</w:t>
            </w:r>
          </w:p>
        </w:tc>
        <w:tc>
          <w:tcPr>
            <w:tcW w:w="1797" w:type="dxa"/>
            <w:tcBorders/>
          </w:tcPr>
          <w:p>
            <w:pPr>
              <w:pStyle w:val="Normal"/>
              <w:widowControl/>
              <w:suppressAutoHyphens w:val="true"/>
              <w:bidi w:val="0"/>
              <w:spacing w:before="0" w:after="120"/>
              <w:jc w:val="both"/>
              <w:rPr/>
            </w:pPr>
            <w:r>
              <w:rPr/>
              <w:t>Castellano</w:t>
            </w:r>
          </w:p>
        </w:tc>
        <w:tc>
          <w:tcPr>
            <w:tcW w:w="1800" w:type="dxa"/>
            <w:tcBorders/>
          </w:tcPr>
          <w:p>
            <w:pPr>
              <w:pStyle w:val="Normal"/>
              <w:widowControl/>
              <w:suppressAutoHyphens w:val="true"/>
              <w:bidi w:val="0"/>
              <w:spacing w:before="0" w:after="120"/>
              <w:jc w:val="both"/>
              <w:rPr/>
            </w:pPr>
            <w:r>
              <w:rPr/>
              <w:t>133</w:t>
            </w:r>
          </w:p>
        </w:tc>
        <w:tc>
          <w:tcPr>
            <w:tcW w:w="1807" w:type="dxa"/>
            <w:tcBorders/>
          </w:tcPr>
          <w:p>
            <w:pPr>
              <w:pStyle w:val="Normal"/>
              <w:widowControl/>
              <w:suppressAutoHyphens w:val="true"/>
              <w:bidi w:val="0"/>
              <w:spacing w:before="0" w:after="120"/>
              <w:jc w:val="both"/>
              <w:rPr/>
            </w:pPr>
            <w:r>
              <w:rPr/>
              <w:t>4</w:t>
            </w:r>
          </w:p>
        </w:tc>
      </w:tr>
    </w:tbl>
    <w:p>
      <w:pPr>
        <w:pStyle w:val="Normal"/>
        <w:rPr/>
      </w:pPr>
      <w:r>
        <w:rPr/>
      </w:r>
    </w:p>
    <w:p>
      <w:pPr>
        <w:pStyle w:val="Normal"/>
        <w:rPr/>
      </w:pPr>
      <w:r>
        <w:rPr/>
        <w:t>Duración oficial del módulo: 133 horas y 4 horas semanales en segundo curso. Fuente: Decreto 114/2025, de 29 de julio, tabla de ASIR, página 72. Estos son los datos normativos de referencia.</w:t>
      </w:r>
    </w:p>
    <w:p>
      <w:pPr>
        <w:pStyle w:val="Normal"/>
        <w:rPr/>
      </w:pPr>
      <w:r>
        <w:rPr/>
        <w:t xml:space="preserve">Horario semanal confirmado: </w:t>
      </w:r>
      <w:r>
        <w:rPr>
          <w:b/>
          <w:bCs/>
        </w:rPr>
        <w:t>miércoles y jueves,</w:t>
      </w:r>
      <w:r>
        <w:rPr/>
        <w:t xml:space="preserve"> dos horas cada día. En el escenario de aula considerado desde el 09/09/2026 hasta el 23/03/2027, la última sesión lectiva calculada es el 18/03/2027. Descontando los días no lectivos de Elche, resultan 51 sesiones y 102 horas (52 en la primera evaluación y 50 en la segunda). Las fechas de las unidades, pruebas y formación en empresa siguen pendientes de confirmación por el centro; este cálculo no es una distribución establecida por el decreto.</w:t>
      </w:r>
    </w:p>
    <w:p>
      <w:pPr>
        <w:pStyle w:val="Normal"/>
        <w:rPr/>
      </w:pPr>
      <w:r>
        <w:rPr/>
        <w:t>UD1: 24 h (incluye unas 5 h de fundamentos Linux); UD2: 8 h; UD3: 16 h; UD4: 16 h; UD5: 16 h; UD6: 8 h; UD7: 4 h. Total unidades: 92 h. Pruebas, recuperación y cierre: 10 h (4 + 6), incluidas en las 102 h de aula.</w:t>
      </w:r>
    </w:p>
    <w:p>
      <w:pPr>
        <w:pStyle w:val="Normal"/>
        <w:rPr/>
      </w:pPr>
      <w:r>
        <w:rPr/>
        <w:t>La diferencia 133 − 102 = 31 horas procede del periodo de aula propuesto, incluso con los días y las horas semanales ya confirmados. No representa una bolsa de horas establecida por la norma ni 31 horas asignadas a empresa. El escenario no constituye la temporalización completa del módulo. La distribución definitiva debe concretarse con las fechas de evaluación y el plan formativo del grupo. Las 400 horas de empresa confirmadas para segundo curso corresponden al conjunto del ciclo, no a ASO.</w:t>
      </w:r>
    </w:p>
    <w:p>
      <w:pPr>
        <w:pStyle w:val="Normal"/>
        <w:rPr/>
      </w:pPr>
      <w:r>
        <w:rPr/>
        <w:t>Las horas de las unidades son estimaciones del escenario de aula, no el reparto completo de las 133 horas. Véase docs/temporalizacion_2026_2027.md. Cálculo del ejemplo: preparacion/temporalizacion/calcular.py. Se mantienen las ponderaciones de los resultados de aprendizaje.</w:t>
      </w:r>
    </w:p>
    <w:p>
      <w:pPr>
        <w:pStyle w:val="Heading2"/>
        <w:rPr/>
      </w:pPr>
      <w:r>
        <w:rPr/>
        <w:t xml:space="preserve">Relación entre los estándares de competencia y los módulos del ciclo formativo </w:t>
      </w:r>
    </w:p>
    <w:p>
      <w:pPr>
        <w:pStyle w:val="Normal"/>
        <w:rPr/>
      </w:pPr>
      <w:r>
        <w:rPr/>
      </w:r>
    </w:p>
    <w:p>
      <w:pPr>
        <w:pStyle w:val="Normal"/>
        <w:rPr/>
      </w:pPr>
      <w:r>
        <w:rPr/>
      </w:r>
    </w:p>
    <w:tbl>
      <w:tblPr>
        <w:tblW w:w="9364" w:type="dxa"/>
        <w:jc w:val="left"/>
        <w:tblInd w:w="18" w:type="dxa"/>
        <w:tblLayout w:type="fixed"/>
        <w:tblCellMar>
          <w:top w:w="28" w:type="dxa"/>
          <w:left w:w="28" w:type="dxa"/>
          <w:bottom w:w="28" w:type="dxa"/>
          <w:right w:w="28" w:type="dxa"/>
        </w:tblCellMar>
      </w:tblPr>
      <w:tblGrid>
        <w:gridCol w:w="3796"/>
        <w:gridCol w:w="5568"/>
      </w:tblGrid>
      <w:tr>
        <w:trPr/>
        <w:tc>
          <w:tcPr>
            <w:tcW w:w="3796" w:type="dxa"/>
            <w:tcBorders>
              <w:top w:val="double" w:sz="2" w:space="0" w:color="808080"/>
              <w:left w:val="double" w:sz="2" w:space="0" w:color="808080"/>
              <w:bottom w:val="double" w:sz="2" w:space="0" w:color="808080"/>
              <w:right w:val="double" w:sz="2" w:space="0" w:color="808080"/>
            </w:tcBorders>
            <w:shd w:fill="B2B2B2" w:val="clear"/>
            <w:vAlign w:val="center"/>
          </w:tcPr>
          <w:p>
            <w:pPr>
              <w:pStyle w:val="Contenidodelatablauser"/>
              <w:widowControl/>
              <w:spacing w:before="0" w:after="120"/>
              <w:ind w:hanging="0" w:left="0" w:right="0"/>
              <w:jc w:val="center"/>
              <w:rPr/>
            </w:pPr>
            <w:r>
              <w:rPr>
                <w:b/>
                <w:bCs/>
                <w:lang w:val="es-ES"/>
              </w:rPr>
              <w:t>MÓDULOS</w:t>
            </w:r>
          </w:p>
        </w:tc>
        <w:tc>
          <w:tcPr>
            <w:tcW w:w="5568" w:type="dxa"/>
            <w:tcBorders>
              <w:top w:val="double" w:sz="2" w:space="0" w:color="808080"/>
              <w:left w:val="double" w:sz="2" w:space="0" w:color="808080"/>
              <w:bottom w:val="double" w:sz="2" w:space="0" w:color="808080"/>
              <w:right w:val="double" w:sz="2" w:space="0" w:color="808080"/>
            </w:tcBorders>
            <w:shd w:fill="B2B2B2" w:val="clear"/>
            <w:vAlign w:val="center"/>
          </w:tcPr>
          <w:p>
            <w:pPr>
              <w:pStyle w:val="Contenidodelatablauser"/>
              <w:widowControl/>
              <w:spacing w:before="0" w:after="120"/>
              <w:ind w:hanging="0" w:left="0" w:right="0"/>
              <w:jc w:val="center"/>
              <w:rPr>
                <w:b/>
                <w:bCs/>
              </w:rPr>
            </w:pPr>
            <w:r>
              <w:rPr>
                <w:b/>
                <w:bCs/>
                <w:lang w:val="es-ES"/>
              </w:rPr>
              <w:t>ESTÁNDARES DE COMPETENCIA</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0369. Implantación de sistemas operativos</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ECP0485_3: Gestionar el «software» de un sistema informático</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ind w:hanging="0" w:left="0" w:right="0"/>
              <w:rPr/>
            </w:pPr>
            <w:r>
              <w:rPr>
                <w:lang w:val="es-ES"/>
              </w:rPr>
              <w:t>0369. Implantación de sistemas operativos</w:t>
            </w:r>
          </w:p>
          <w:p>
            <w:pPr>
              <w:pStyle w:val="Contenidodelatablauser"/>
              <w:widowControl/>
              <w:spacing w:before="0" w:after="120"/>
              <w:ind w:hanging="0" w:left="0" w:right="0"/>
              <w:rPr/>
            </w:pPr>
            <w:r>
              <w:rPr>
                <w:lang w:val="es-ES"/>
              </w:rPr>
              <w:t>0371. Fundamentos de hardware</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ECP0223_3: Configurar y explotar sistemas informáticos</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ind w:hanging="0" w:left="0" w:right="0"/>
              <w:rPr/>
            </w:pPr>
            <w:r>
              <w:rPr>
                <w:lang w:val="es-ES"/>
              </w:rPr>
              <w:t>0371. Fundamentos de hardware</w:t>
            </w:r>
          </w:p>
          <w:p>
            <w:pPr>
              <w:pStyle w:val="Contenidodelatablauser"/>
              <w:widowControl/>
              <w:spacing w:before="0" w:after="120"/>
              <w:ind w:hanging="0" w:left="0" w:right="0"/>
              <w:rPr/>
            </w:pPr>
            <w:r>
              <w:rPr>
                <w:lang w:val="es-ES"/>
              </w:rPr>
              <w:t>0378. Seguridad y alta disponibilidad</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ECP0484_3: Administrar los dispositivos «hardware» de un sistema informático</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0372. Gestión de bases de datos</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ECP0225_3: Configurar y gestionar bases de datos relacionales</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0374. Administración de sistemas operativos</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ind w:hanging="0" w:left="0" w:right="0"/>
              <w:rPr/>
            </w:pPr>
            <w:r>
              <w:rPr>
                <w:lang w:val="es-ES"/>
              </w:rPr>
              <w:t>ECP0485_3: Gestionar el «software» de un sistema informático</w:t>
            </w:r>
          </w:p>
          <w:p>
            <w:pPr>
              <w:pStyle w:val="Contenidodelatablauser"/>
              <w:widowControl/>
              <w:spacing w:before="0" w:after="120"/>
              <w:ind w:hanging="0" w:left="0" w:right="0"/>
              <w:rPr/>
            </w:pPr>
            <w:r>
              <w:rPr>
                <w:lang w:val="es-ES"/>
              </w:rPr>
              <w:t>ECP0490_3: Gestionar servicios en el sistema informático</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0375. Servicios de red e internet</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ind w:hanging="0" w:left="0" w:right="0"/>
              <w:rPr/>
            </w:pPr>
            <w:r>
              <w:rPr>
                <w:lang w:val="es-ES"/>
              </w:rPr>
              <w:t>ECP0495_3: Instalar, configurar y administrar el software para gestionar un entorno web</w:t>
            </w:r>
          </w:p>
          <w:p>
            <w:pPr>
              <w:pStyle w:val="Contenidodelatablauser"/>
              <w:widowControl/>
              <w:ind w:hanging="0" w:left="0" w:right="0"/>
              <w:rPr/>
            </w:pPr>
            <w:r>
              <w:rPr>
                <w:lang w:val="es-ES"/>
              </w:rPr>
              <w:t>ECP0496_3: Instalar, configurar y administrar servicios de mensajería electrónica</w:t>
            </w:r>
          </w:p>
          <w:p>
            <w:pPr>
              <w:pStyle w:val="Contenidodelatablauser"/>
              <w:widowControl/>
              <w:spacing w:before="0" w:after="120"/>
              <w:ind w:hanging="0" w:left="0" w:right="0"/>
              <w:rPr/>
            </w:pPr>
            <w:r>
              <w:rPr>
                <w:lang w:val="es-ES"/>
              </w:rPr>
              <w:t>ECP0497_3: Instalar, configurar y administrar servicios de transferencia de archivos y multimedia</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0376. Implantación de aplicaciones web</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ECP0493_3: Entregar aplicaciones web</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0377. Administración de sistemas gestores de bases de datos</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ECP0224_3: Instalar y administrar sistemas gestores de bases de datos</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0378. Seguridad y alta disponibilidad</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rPr/>
            </w:pPr>
            <w:r>
              <w:rPr>
                <w:lang w:val="es-ES"/>
              </w:rPr>
              <w:t>ECP0486_3: Asegurar equipos informáticos</w:t>
            </w:r>
          </w:p>
        </w:tc>
      </w:tr>
    </w:tbl>
    <w:p>
      <w:pPr>
        <w:pStyle w:val="Normal"/>
        <w:rPr/>
      </w:pPr>
      <w:r>
        <w:rPr/>
      </w:r>
    </w:p>
    <w:p>
      <w:pPr>
        <w:pStyle w:val="Heading2"/>
        <w:rPr/>
      </w:pPr>
      <w:bookmarkStart w:id="7" w:name="ASOIndice5"/>
      <w:r>
        <w:rPr/>
        <w:t>Identificación del módulo / unidad formativa</w:t>
      </w:r>
      <w:bookmarkEnd w:id="7"/>
    </w:p>
    <w:tbl>
      <w:tblPr>
        <w:tblStyle w:val="Tablaconcuadrcula2"/>
        <w:tblW w:w="10302" w:type="dxa"/>
        <w:jc w:val="left"/>
        <w:tblInd w:w="-678" w:type="dxa"/>
        <w:tblLayout w:type="fixed"/>
        <w:tblCellMar>
          <w:top w:w="0" w:type="dxa"/>
          <w:left w:w="108" w:type="dxa"/>
          <w:bottom w:w="0" w:type="dxa"/>
          <w:right w:w="108" w:type="dxa"/>
        </w:tblCellMar>
        <w:tblLook w:noHBand="0" w:noVBand="1" w:firstColumn="1" w:lastRow="0" w:lastColumn="0" w:firstRow="1" w:val="04a0"/>
      </w:tblPr>
      <w:tblGrid>
        <w:gridCol w:w="2229"/>
        <w:gridCol w:w="2229"/>
        <w:gridCol w:w="5844"/>
      </w:tblGrid>
      <w:tr>
        <w:trPr>
          <w:trHeight w:val="435" w:hRule="atLeast"/>
        </w:trPr>
        <w:tc>
          <w:tcPr>
            <w:tcW w:w="10302" w:type="dxa"/>
            <w:gridSpan w:val="3"/>
            <w:tcBorders/>
            <w:shd w:color="auto" w:fill="808080" w:themeFill="background1" w:themeFillShade="80" w:val="clear"/>
            <w:vAlign w:val="center"/>
          </w:tcPr>
          <w:p>
            <w:pPr>
              <w:pStyle w:val="Normal"/>
              <w:widowControl/>
              <w:suppressAutoHyphens w:val="false"/>
              <w:spacing w:before="0" w:after="0"/>
              <w:jc w:val="center"/>
              <w:rPr>
                <w:b/>
                <w:bCs/>
                <w:color w:themeColor="background1" w:val="FFFFFF"/>
              </w:rPr>
            </w:pPr>
            <w:r>
              <w:rPr>
                <w:b/>
                <w:bCs/>
                <w:color w:themeColor="background1" w:val="FFFFFF"/>
                <w:sz w:val="20"/>
                <w:lang w:val="es-ES" w:bidi="hi-IN"/>
              </w:rPr>
              <w:t>MÓDULO PROFESIONAL</w:t>
            </w:r>
          </w:p>
        </w:tc>
      </w:tr>
      <w:tr>
        <w:trPr>
          <w:trHeight w:val="268" w:hRule="atLeast"/>
        </w:trPr>
        <w:tc>
          <w:tcPr>
            <w:tcW w:w="2229" w:type="dxa"/>
            <w:vMerge w:val="restart"/>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sz w:val="20"/>
                <w:lang w:val="es-ES" w:bidi="hi-IN"/>
              </w:rPr>
              <w:t>Identificación</w:t>
            </w:r>
          </w:p>
        </w:tc>
        <w:tc>
          <w:tcPr>
            <w:tcW w:w="2229" w:type="dxa"/>
            <w:tcBorders/>
            <w:shd w:color="auto" w:fill="D9D9D9" w:themeFill="background1" w:themeFillShade="d9" w:val="clear"/>
            <w:vAlign w:val="center"/>
          </w:tcPr>
          <w:p>
            <w:pPr>
              <w:pStyle w:val="Normal"/>
              <w:widowControl/>
              <w:suppressAutoHyphens w:val="false"/>
              <w:spacing w:before="0" w:after="0"/>
              <w:rPr>
                <w:b/>
                <w:bCs/>
              </w:rPr>
            </w:pPr>
            <w:r>
              <w:rPr>
                <w:b/>
                <w:bCs/>
                <w:sz w:val="20"/>
                <w:lang w:val="es-ES" w:bidi="hi-IN"/>
              </w:rPr>
              <w:t>Código</w:t>
            </w:r>
          </w:p>
        </w:tc>
        <w:tc>
          <w:tcPr>
            <w:tcW w:w="5844" w:type="dxa"/>
            <w:tcBorders/>
            <w:shd w:color="auto" w:fill="FFFFFF" w:themeFill="background1" w:val="clear"/>
          </w:tcPr>
          <w:p>
            <w:pPr>
              <w:pStyle w:val="Normal"/>
              <w:widowControl/>
              <w:suppressAutoHyphens w:val="false"/>
              <w:spacing w:before="0" w:after="0"/>
              <w:rPr>
                <w:sz w:val="20"/>
                <w:lang w:val="es-ES" w:bidi="hi-IN"/>
              </w:rPr>
            </w:pPr>
            <w:r>
              <w:rPr>
                <w:sz w:val="20"/>
                <w:lang w:val="es-ES" w:bidi="hi-IN"/>
              </w:rPr>
              <w:t>0374</w:t>
            </w:r>
          </w:p>
        </w:tc>
      </w:tr>
      <w:tr>
        <w:trPr>
          <w:trHeight w:val="268"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29" w:type="dxa"/>
            <w:tcBorders/>
            <w:shd w:color="auto" w:fill="D9D9D9" w:themeFill="background1" w:themeFillShade="d9" w:val="clear"/>
            <w:vAlign w:val="center"/>
          </w:tcPr>
          <w:p>
            <w:pPr>
              <w:pStyle w:val="Normal"/>
              <w:widowControl/>
              <w:suppressAutoHyphens w:val="false"/>
              <w:spacing w:before="0" w:after="0"/>
              <w:rPr>
                <w:b/>
                <w:bCs/>
              </w:rPr>
            </w:pPr>
            <w:r>
              <w:rPr>
                <w:b/>
                <w:bCs/>
                <w:sz w:val="20"/>
                <w:lang w:val="es-ES" w:bidi="hi-IN"/>
              </w:rPr>
              <w:t>Módulo profesional</w:t>
            </w:r>
          </w:p>
        </w:tc>
        <w:tc>
          <w:tcPr>
            <w:tcW w:w="5844" w:type="dxa"/>
            <w:tcBorders/>
            <w:shd w:color="auto" w:fill="FFFFFF" w:themeFill="background1" w:val="clear"/>
          </w:tcPr>
          <w:p>
            <w:pPr>
              <w:pStyle w:val="Normal"/>
              <w:widowControl/>
              <w:suppressAutoHyphens w:val="false"/>
              <w:spacing w:before="0" w:after="0"/>
              <w:rPr>
                <w:sz w:val="20"/>
                <w:lang w:val="es-ES" w:bidi="hi-IN"/>
              </w:rPr>
            </w:pPr>
            <w:r>
              <w:rPr>
                <w:sz w:val="20"/>
                <w:lang w:val="es-ES" w:bidi="hi-IN"/>
              </w:rPr>
              <w:t>Administración de sistemas operativos</w:t>
            </w:r>
          </w:p>
        </w:tc>
      </w:tr>
      <w:tr>
        <w:trPr>
          <w:trHeight w:val="268"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29" w:type="dxa"/>
            <w:tcBorders/>
            <w:shd w:color="auto" w:fill="D9D9D9" w:themeFill="background1" w:themeFillShade="d9" w:val="clear"/>
            <w:vAlign w:val="center"/>
          </w:tcPr>
          <w:p>
            <w:pPr>
              <w:pStyle w:val="Normal"/>
              <w:widowControl/>
              <w:suppressAutoHyphens w:val="false"/>
              <w:spacing w:before="0" w:after="0"/>
              <w:rPr>
                <w:b/>
                <w:bCs/>
              </w:rPr>
            </w:pPr>
            <w:r>
              <w:rPr>
                <w:b/>
                <w:bCs/>
                <w:sz w:val="20"/>
                <w:lang w:val="es-ES" w:bidi="hi-IN"/>
              </w:rPr>
              <w:t>Curso</w:t>
            </w:r>
          </w:p>
        </w:tc>
        <w:tc>
          <w:tcPr>
            <w:tcW w:w="5844" w:type="dxa"/>
            <w:tcBorders/>
            <w:shd w:color="auto" w:fill="FFFFFF" w:themeFill="background1" w:val="clear"/>
          </w:tcPr>
          <w:p>
            <w:pPr>
              <w:pStyle w:val="Normal"/>
              <w:widowControl/>
              <w:suppressAutoHyphens w:val="false"/>
              <w:spacing w:before="0" w:after="0"/>
              <w:rPr>
                <w:sz w:val="20"/>
                <w:lang w:val="es-ES" w:bidi="hi-IN"/>
              </w:rPr>
            </w:pPr>
            <w:r>
              <w:rPr>
                <w:sz w:val="20"/>
                <w:lang w:val="es-ES" w:bidi="hi-IN"/>
              </w:rPr>
              <w:t>2º</w:t>
            </w:r>
          </w:p>
        </w:tc>
      </w:tr>
      <w:tr>
        <w:trPr>
          <w:trHeight w:val="268" w:hRule="atLeast"/>
        </w:trPr>
        <w:tc>
          <w:tcPr>
            <w:tcW w:w="2229" w:type="dxa"/>
            <w:vMerge w:val="restart"/>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sz w:val="20"/>
                <w:lang w:val="es-ES" w:bidi="hi-IN"/>
              </w:rPr>
              <w:t>Distribución horaria</w:t>
            </w:r>
          </w:p>
        </w:tc>
        <w:tc>
          <w:tcPr>
            <w:tcW w:w="2229" w:type="dxa"/>
            <w:tcBorders/>
            <w:shd w:color="auto" w:fill="D9D9D9" w:themeFill="background1" w:themeFillShade="d9" w:val="clear"/>
            <w:vAlign w:val="center"/>
          </w:tcPr>
          <w:p>
            <w:pPr>
              <w:pStyle w:val="Normal"/>
              <w:widowControl/>
              <w:suppressAutoHyphens w:val="false"/>
              <w:spacing w:before="0" w:after="0"/>
              <w:rPr>
                <w:b/>
                <w:bCs/>
              </w:rPr>
            </w:pPr>
            <w:r>
              <w:rPr>
                <w:b/>
                <w:bCs/>
                <w:sz w:val="20"/>
                <w:lang w:val="es-ES" w:bidi="hi-IN"/>
              </w:rPr>
              <w:t>Horas</w:t>
            </w:r>
          </w:p>
        </w:tc>
        <w:tc>
          <w:tcPr>
            <w:tcW w:w="5844" w:type="dxa"/>
            <w:tcBorders/>
            <w:shd w:color="auto" w:fill="FFFFFF" w:themeFill="background1" w:val="clear"/>
          </w:tcPr>
          <w:p>
            <w:pPr>
              <w:pStyle w:val="Normal"/>
              <w:widowControl/>
              <w:suppressAutoHyphens w:val="false"/>
              <w:spacing w:before="0" w:after="0"/>
              <w:rPr>
                <w:sz w:val="20"/>
                <w:lang w:val="es-ES" w:bidi="hi-IN"/>
              </w:rPr>
            </w:pPr>
            <w:r>
              <w:rPr>
                <w:sz w:val="20"/>
                <w:lang w:val="es-ES" w:bidi="hi-IN"/>
              </w:rPr>
              <w:t>133</w:t>
            </w:r>
          </w:p>
        </w:tc>
      </w:tr>
      <w:tr>
        <w:trPr>
          <w:trHeight w:val="526"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29" w:type="dxa"/>
            <w:tcBorders/>
            <w:shd w:color="auto" w:fill="D9D9D9" w:themeFill="background1" w:themeFillShade="d9" w:val="clear"/>
            <w:vAlign w:val="center"/>
          </w:tcPr>
          <w:p>
            <w:pPr>
              <w:pStyle w:val="Normal"/>
              <w:widowControl/>
              <w:suppressAutoHyphens w:val="false"/>
              <w:spacing w:before="0" w:after="0"/>
              <w:rPr>
                <w:b/>
                <w:bCs/>
              </w:rPr>
            </w:pPr>
            <w:r>
              <w:rPr>
                <w:b/>
                <w:bCs/>
                <w:sz w:val="20"/>
                <w:lang w:val="es-ES" w:bidi="hi-IN"/>
              </w:rPr>
              <w:t>Horas semanales</w:t>
            </w:r>
          </w:p>
        </w:tc>
        <w:tc>
          <w:tcPr>
            <w:tcW w:w="5844" w:type="dxa"/>
            <w:tcBorders/>
            <w:shd w:color="auto" w:fill="FFFFFF" w:themeFill="background1" w:val="clear"/>
          </w:tcPr>
          <w:p>
            <w:pPr>
              <w:pStyle w:val="Normal"/>
              <w:widowControl/>
              <w:suppressAutoHyphens w:val="false"/>
              <w:spacing w:before="0" w:after="0"/>
              <w:rPr>
                <w:sz w:val="20"/>
                <w:lang w:val="es-ES" w:bidi="hi-IN"/>
              </w:rPr>
            </w:pPr>
            <w:r>
              <w:rPr>
                <w:sz w:val="20"/>
                <w:lang w:val="es-ES" w:bidi="hi-IN"/>
              </w:rPr>
              <w:t>4</w:t>
            </w:r>
          </w:p>
        </w:tc>
      </w:tr>
      <w:tr>
        <w:trPr>
          <w:trHeight w:val="795" w:hRule="atLeast"/>
        </w:trPr>
        <w:tc>
          <w:tcPr>
            <w:tcW w:w="2229" w:type="dxa"/>
            <w:tcBorders/>
            <w:shd w:color="auto" w:fill="808080" w:themeFill="background1" w:themeFillShade="80" w:val="clear"/>
            <w:vAlign w:val="center"/>
          </w:tcPr>
          <w:p>
            <w:pPr>
              <w:pStyle w:val="Normal"/>
              <w:widowControl/>
              <w:suppressAutoHyphens w:val="false"/>
              <w:spacing w:before="0" w:after="0"/>
              <w:jc w:val="left"/>
              <w:rPr>
                <w:b/>
                <w:bCs/>
                <w:color w:themeColor="background1" w:val="FFFFFF"/>
              </w:rPr>
            </w:pPr>
            <w:r>
              <w:rPr>
                <w:b/>
                <w:bCs/>
                <w:color w:themeColor="background1" w:val="FFFFFF"/>
                <w:sz w:val="20"/>
                <w:lang w:val="es-ES" w:bidi="hi-IN"/>
              </w:rPr>
              <w:t>Asociado a Unidad de competencia</w:t>
            </w:r>
          </w:p>
        </w:tc>
        <w:tc>
          <w:tcPr>
            <w:tcW w:w="8073" w:type="dxa"/>
            <w:gridSpan w:val="2"/>
            <w:tcBorders/>
            <w:shd w:color="auto" w:fill="FFFFFF" w:themeFill="background1" w:val="clear"/>
            <w:vAlign w:val="center"/>
          </w:tcPr>
          <w:p>
            <w:pPr>
              <w:pStyle w:val="Normal"/>
              <w:widowControl/>
              <w:suppressAutoHyphens w:val="false"/>
              <w:spacing w:before="0" w:after="0"/>
              <w:rPr>
                <w:sz w:val="20"/>
                <w:lang w:val="es-ES" w:bidi="hi-IN"/>
              </w:rPr>
            </w:pPr>
            <w:r>
              <w:rPr>
                <w:sz w:val="20"/>
                <w:lang w:val="es-ES" w:bidi="hi-IN"/>
              </w:rPr>
              <w:t>UC0490_3: Gestionar servicios en el sistema informático.</w:t>
            </w:r>
          </w:p>
          <w:p>
            <w:pPr>
              <w:pStyle w:val="Normal"/>
              <w:widowControl/>
              <w:suppressAutoHyphens w:val="false"/>
              <w:spacing w:before="0" w:after="0"/>
              <w:rPr>
                <w:sz w:val="20"/>
                <w:lang w:val="es-ES" w:bidi="hi-IN"/>
              </w:rPr>
            </w:pPr>
            <w:r>
              <w:rPr>
                <w:sz w:val="20"/>
                <w:lang w:val="es-ES" w:bidi="hi-IN"/>
              </w:rPr>
              <w:t>UC0485_3: Instalar, configurar y administrar el software de base y de aplicación del sistema.</w:t>
            </w:r>
          </w:p>
        </w:tc>
      </w:tr>
      <w:tr>
        <w:trPr>
          <w:trHeight w:val="310" w:hRule="atLeast"/>
        </w:trPr>
        <w:tc>
          <w:tcPr>
            <w:tcW w:w="2229" w:type="dxa"/>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sz w:val="20"/>
                <w:lang w:val="es-ES" w:bidi="hi-IN"/>
              </w:rPr>
              <w:t>Síntesis del módulo</w:t>
            </w:r>
          </w:p>
        </w:tc>
        <w:tc>
          <w:tcPr>
            <w:tcW w:w="8073" w:type="dxa"/>
            <w:gridSpan w:val="2"/>
            <w:tcBorders/>
            <w:shd w:color="auto" w:fill="FFFFFF" w:themeFill="background1" w:val="clear"/>
            <w:vAlign w:val="center"/>
          </w:tcPr>
          <w:p>
            <w:pPr>
              <w:pStyle w:val="Normal"/>
              <w:widowControl/>
              <w:suppressAutoHyphens w:val="false"/>
              <w:spacing w:before="0" w:after="0"/>
              <w:rPr>
                <w:sz w:val="20"/>
                <w:lang w:val="es-ES" w:bidi="hi-IN"/>
              </w:rPr>
            </w:pPr>
            <w:r>
              <w:rPr>
                <w:sz w:val="20"/>
                <w:lang w:val="es-ES" w:bidi="hi-IN"/>
              </w:rPr>
              <w:t>La instalación y administración del servicio de directorios.</w:t>
            </w:r>
          </w:p>
          <w:p>
            <w:pPr>
              <w:pStyle w:val="Normal"/>
              <w:widowControl/>
              <w:suppressAutoHyphens w:val="false"/>
              <w:spacing w:before="0" w:after="0"/>
              <w:rPr>
                <w:sz w:val="20"/>
                <w:lang w:val="es-ES" w:bidi="hi-IN"/>
              </w:rPr>
            </w:pPr>
            <w:r>
              <w:rPr>
                <w:sz w:val="20"/>
                <w:lang w:val="es-ES" w:bidi="hi-IN"/>
              </w:rPr>
              <w:t>La automatización de tareas del sistema y el control de procesos del sistema.</w:t>
            </w:r>
          </w:p>
          <w:p>
            <w:pPr>
              <w:pStyle w:val="Normal"/>
              <w:widowControl/>
              <w:suppressAutoHyphens w:val="false"/>
              <w:spacing w:before="0" w:after="0"/>
              <w:rPr>
                <w:sz w:val="20"/>
                <w:lang w:val="es-ES" w:bidi="hi-IN"/>
              </w:rPr>
            </w:pPr>
            <w:r>
              <w:rPr>
                <w:sz w:val="20"/>
                <w:lang w:val="es-ES" w:bidi="hi-IN"/>
              </w:rPr>
              <w:t>La administración remota del sistema.</w:t>
            </w:r>
          </w:p>
          <w:p>
            <w:pPr>
              <w:pStyle w:val="Normal"/>
              <w:widowControl/>
              <w:suppressAutoHyphens w:val="false"/>
              <w:spacing w:before="0" w:after="0"/>
              <w:rPr>
                <w:sz w:val="20"/>
                <w:lang w:val="es-ES" w:bidi="hi-IN"/>
              </w:rPr>
            </w:pPr>
            <w:r>
              <w:rPr>
                <w:sz w:val="20"/>
                <w:lang w:val="es-ES" w:bidi="hi-IN"/>
              </w:rPr>
              <w:t>La utilización de escenarios heterogéneos compartiendo recursos.</w:t>
            </w:r>
          </w:p>
          <w:p>
            <w:pPr>
              <w:pStyle w:val="Normal"/>
              <w:widowControl/>
              <w:suppressAutoHyphens w:val="false"/>
              <w:spacing w:before="0" w:after="0"/>
              <w:rPr>
                <w:sz w:val="20"/>
                <w:lang w:val="es-ES" w:bidi="hi-IN"/>
              </w:rPr>
            </w:pPr>
            <w:r>
              <w:rPr>
                <w:sz w:val="20"/>
                <w:lang w:val="es-ES" w:bidi="hi-IN"/>
              </w:rPr>
              <w:t>La programación básica de sistemas.</w:t>
            </w:r>
            <w:bookmarkStart w:id="8" w:name="_Hlk171504349"/>
            <w:bookmarkEnd w:id="8"/>
          </w:p>
        </w:tc>
      </w:tr>
    </w:tbl>
    <w:p>
      <w:pPr>
        <w:pStyle w:val="Normal"/>
        <w:rPr>
          <w:rStyle w:val="SubtleEmphasis"/>
        </w:rPr>
      </w:pPr>
      <w:r>
        <w:rPr/>
      </w:r>
    </w:p>
    <w:p>
      <w:pPr>
        <w:pStyle w:val="Heading2"/>
        <w:rPr/>
      </w:pPr>
      <w:bookmarkStart w:id="9" w:name="_Hlk171504400"/>
      <w:bookmarkStart w:id="10" w:name="ASOIndice6"/>
      <w:r>
        <w:rPr/>
        <w:t>Características del alumnado</w:t>
      </w:r>
      <w:bookmarkEnd w:id="10"/>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El alumnado que opta por cursar algún ciclo formativo de grado superior ha ido en aumento en los últimos años. Con carácter general los alumnos/as que realizan este módulo se encuentra en edades comprendidas entre los 18-25. Es un alumnado motivado en adquirir una formación completa y adecuada que les permita acceder al mercado laboral del sector.</w:t>
      </w:r>
      <w:r>
        <w:rPr>
          <w:rStyle w:val="eop"/>
          <w:rFonts w:cs="Arial" w:ascii="Arial" w:hAnsi="Arial"/>
          <w:sz w:val="22"/>
          <w:szCs w:val="22"/>
        </w:rPr>
        <w:t>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La procedencia del alumnado de un ciclo formativo de grado superior puede ser muy diversa:</w:t>
      </w:r>
      <w:r>
        <w:rPr>
          <w:rStyle w:val="eop"/>
          <w:rFonts w:cs="Arial" w:ascii="Arial" w:hAnsi="Arial"/>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Título de Bachiller.</w:t>
      </w:r>
      <w:r>
        <w:rPr>
          <w:rStyle w:val="eop"/>
          <w:rFonts w:cs="Arial" w:ascii="Arial" w:hAnsi="Arial"/>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Título de Técnico de Grado Medio.</w:t>
      </w:r>
      <w:r>
        <w:rPr>
          <w:rStyle w:val="eop"/>
          <w:rFonts w:cs="Arial" w:ascii="Arial" w:hAnsi="Arial"/>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Haber superado la prueba de acceso a ciclos formativos de grado superior o la prueba de acceso a la universidad para mayores de 25 años.</w:t>
      </w:r>
      <w:r>
        <w:rPr>
          <w:rStyle w:val="eop"/>
          <w:rFonts w:cs="Arial" w:ascii="Arial" w:hAnsi="Arial"/>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Existen otras vías de acceso como aquellos alumnos que ya disponen de un título de técnico superior o título universitario.</w:t>
      </w:r>
      <w:r>
        <w:rPr>
          <w:rStyle w:val="eop"/>
          <w:rFonts w:cs="Arial" w:ascii="Arial" w:hAnsi="Arial"/>
          <w:sz w:val="22"/>
          <w:szCs w:val="22"/>
        </w:rPr>
        <w:t> </w:t>
      </w:r>
    </w:p>
    <w:p>
      <w:pPr>
        <w:pStyle w:val="paragraph"/>
        <w:spacing w:beforeAutospacing="0" w:before="0" w:afterAutospacing="0" w:after="0"/>
        <w:jc w:val="both"/>
        <w:textAlignment w:val="baseline"/>
        <w:rPr/>
      </w:pPr>
      <w:r>
        <w:rPr>
          <w:rStyle w:val="normaltextrun"/>
          <w:rFonts w:cs="Arial" w:ascii="Arial" w:hAnsi="Arial"/>
          <w:sz w:val="22"/>
          <w:szCs w:val="22"/>
        </w:rPr>
        <w:t>A esta procedencia variada debemos añadir el alumnado que proviene de estudios universitario sin finalizar o del mundo laboral que han decidido retomar sus estudios.  A estos alumnos/as se les supone un mayor interés y motivación, puesto que vienen buscando una formación que les proporcione mayor cualificación profesional teniendo unas altas expectativas de conseguir un empleo satisfactorio.</w:t>
      </w:r>
      <w:r>
        <w:rPr>
          <w:rStyle w:val="eop"/>
          <w:rFonts w:cs="Arial" w:ascii="Arial" w:hAnsi="Arial"/>
          <w:sz w:val="22"/>
          <w:szCs w:val="22"/>
        </w:rPr>
        <w:t> </w:t>
      </w:r>
    </w:p>
    <w:p>
      <w:pPr>
        <w:pStyle w:val="Normal"/>
        <w:rPr>
          <w:color w:themeColor="background1" w:themeShade="80" w:val="808080"/>
        </w:rPr>
      </w:pPr>
      <w:r>
        <w:rPr>
          <w:color w:themeColor="background1" w:themeShade="80" w:val="808080"/>
        </w:rPr>
      </w:r>
    </w:p>
    <w:p>
      <w:pPr>
        <w:pStyle w:val="Heading2"/>
        <w:rPr/>
      </w:pPr>
      <w:bookmarkStart w:id="11" w:name="ASOIndice7"/>
      <w:r>
        <w:rPr/>
        <w:t>Del sector productivo</w:t>
      </w:r>
      <w:bookmarkEnd w:id="11"/>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El Instituto de Enseñanza Secundaría, está ubicado en una localidad de uno 230.000, con un polígono industrial de gran actividad económica principalmente en el sector del calzado junto a una emergente y prometedora industria en el sector informático. </w:t>
      </w:r>
      <w:r>
        <w:rPr>
          <w:rStyle w:val="eop"/>
          <w:rFonts w:cs="Arial" w:ascii="Arial" w:hAnsi="Arial"/>
          <w:sz w:val="22"/>
          <w:szCs w:val="22"/>
        </w:rPr>
        <w:t>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El Técnico Superior en Administración de Sistemas Informáticos en Redes está capacitado para configurar, administrar y mantener sistemas informáticos, garantizando la funcionalidad, la integridad de los recursos y servicios del sistema, con la calidad exigida y cumpliendo la reglamentación vigente.</w:t>
      </w:r>
      <w:r>
        <w:rPr>
          <w:rStyle w:val="eop"/>
          <w:rFonts w:cs="Arial" w:ascii="Arial" w:hAnsi="Arial"/>
          <w:sz w:val="22"/>
          <w:szCs w:val="22"/>
        </w:rPr>
        <w:t>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Este profesional ejerce su actividad principalmente en empresas del sector servicios que dispongan de sistemas para la gestión de datos e infraestructura de redes (intranet, internet y/o extranet).</w:t>
      </w:r>
      <w:r>
        <w:rPr>
          <w:rStyle w:val="eop"/>
          <w:rFonts w:cs="Arial" w:ascii="Arial" w:hAnsi="Arial"/>
          <w:sz w:val="22"/>
          <w:szCs w:val="22"/>
        </w:rPr>
        <w:t>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Lo que nos lleva a una demanda cada vez mayor de personal especializados en actividades del tipo:</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Técnico en administración de sistemas.</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Responsable de informática.</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Técnico en servicios de Internet.</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Técnico en servicios de mensajería electrónica.</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Personal de apoyo y soporte técnico.</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Técnico en teleasistencia.</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Técnico en administración de base de datos.</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Técnico de redes.</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Supervisor de sistemas.</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Técnico en servicios de comunicaciones.</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sectPr>
          <w:headerReference w:type="even" r:id="rId14"/>
          <w:headerReference w:type="default" r:id="rId15"/>
          <w:headerReference w:type="first" r:id="rId16"/>
          <w:footerReference w:type="even" r:id="rId17"/>
          <w:footerReference w:type="default" r:id="rId18"/>
          <w:footerReference w:type="first" r:id="rId19"/>
          <w:footnotePr>
            <w:numFmt w:val="decimal"/>
          </w:footnotePr>
          <w:type w:val="nextPage"/>
          <w:pgSz w:w="11906" w:h="16838"/>
          <w:pgMar w:left="1418" w:right="1134" w:gutter="0" w:header="709" w:top="1950" w:footer="709" w:bottom="1134"/>
          <w:pgNumType w:fmt="decimal"/>
          <w:formProt w:val="false"/>
          <w:textDirection w:val="lrTb"/>
          <w:docGrid w:type="default" w:linePitch="360" w:charSpace="12288"/>
        </w:sectPr>
      </w:pPr>
      <w:r>
        <w:rPr>
          <w:rStyle w:val="normaltextrun"/>
          <w:rFonts w:cs="Arial" w:ascii="Arial" w:hAnsi="Arial"/>
          <w:sz w:val="22"/>
          <w:szCs w:val="22"/>
        </w:rPr>
        <w:t>Técnico en entornos web.</w:t>
      </w:r>
      <w:r>
        <w:rPr>
          <w:rStyle w:val="eop"/>
          <w:rFonts w:cs="Arial" w:ascii="Arial" w:hAnsi="Arial"/>
          <w:sz w:val="22"/>
          <w:szCs w:val="22"/>
        </w:rPr>
        <w:t> </w:t>
      </w:r>
      <w:bookmarkEnd w:id="9"/>
    </w:p>
    <w:p>
      <w:pPr>
        <w:pStyle w:val="Heading1"/>
        <w:pBdr>
          <w:top w:val="single" w:sz="12" w:space="1" w:color="C00000"/>
          <w:left w:val="single" w:sz="12" w:space="4" w:color="C00000"/>
          <w:bottom w:val="single" w:sz="12" w:space="1" w:color="C00000"/>
          <w:right w:val="single" w:sz="12" w:space="4" w:color="C00000"/>
        </w:pBdr>
        <w:rPr/>
      </w:pPr>
      <w:bookmarkStart w:id="12" w:name="ASOIndice8"/>
      <w:r>
        <w:rPr/>
        <w:t>DESARROLLO CURRICULAR</w:t>
      </w:r>
      <w:bookmarkEnd w:id="12"/>
    </w:p>
    <w:p>
      <w:pPr>
        <w:pStyle w:val="Heading2"/>
        <w:rPr/>
      </w:pPr>
      <w:bookmarkStart w:id="13" w:name="ASOIndice9"/>
      <w:bookmarkStart w:id="14" w:name="_Toc101953454"/>
      <w:r>
        <w:rPr/>
        <w:t>Competencias y Objetivos</w:t>
      </w:r>
      <w:bookmarkEnd w:id="13"/>
      <w:bookmarkEnd w:id="14"/>
    </w:p>
    <w:p>
      <w:pPr>
        <w:pStyle w:val="Normal"/>
        <w:jc w:val="left"/>
        <w:rPr/>
      </w:pPr>
      <w:r>
        <w:rPr/>
        <w:t>Relación entre las competencias PPS y los objetivos generales del ciclo.</w:t>
      </w:r>
    </w:p>
    <w:tbl>
      <w:tblPr>
        <w:tblW w:w="13984" w:type="dxa"/>
        <w:jc w:val="left"/>
        <w:tblInd w:w="85" w:type="dxa"/>
        <w:tblLayout w:type="fixed"/>
        <w:tblCellMar>
          <w:top w:w="0" w:type="dxa"/>
          <w:left w:w="70" w:type="dxa"/>
          <w:bottom w:w="0" w:type="dxa"/>
          <w:right w:w="70" w:type="dxa"/>
        </w:tblCellMar>
        <w:tblLook w:noHBand="0" w:noVBand="1" w:firstColumn="1" w:lastRow="0" w:lastColumn="0" w:firstRow="1" w:val="04a0"/>
      </w:tblPr>
      <w:tblGrid>
        <w:gridCol w:w="6993"/>
        <w:gridCol w:w="6991"/>
      </w:tblGrid>
      <w:tr>
        <w:trPr>
          <w:trHeight w:val="492" w:hRule="atLeast"/>
        </w:trPr>
        <w:tc>
          <w:tcPr>
            <w:tcW w:w="6993" w:type="dxa"/>
            <w:tcBorders>
              <w:top w:val="single" w:sz="12" w:space="0" w:color="000000"/>
              <w:left w:val="single" w:sz="12" w:space="0" w:color="000000"/>
              <w:bottom w:val="single" w:sz="4" w:space="0" w:color="000000"/>
              <w:right w:val="single" w:sz="8" w:space="0" w:color="000000"/>
            </w:tcBorders>
            <w:shd w:color="auto" w:fill="808080" w:themeFill="background1" w:themeFillShade="80" w:val="clear"/>
            <w:vAlign w:val="center"/>
          </w:tcPr>
          <w:p>
            <w:pPr>
              <w:pStyle w:val="Normal"/>
              <w:widowControl w:val="false"/>
              <w:spacing w:before="0" w:after="0"/>
              <w:jc w:val="center"/>
              <w:rPr>
                <w:rFonts w:cs="Arial"/>
                <w:color w:val="FFFFFF"/>
                <w:sz w:val="24"/>
                <w:lang w:eastAsia="es-ES"/>
              </w:rPr>
            </w:pPr>
            <w:bookmarkStart w:id="15" w:name="_Hlk101535652"/>
            <w:bookmarkEnd w:id="15"/>
            <w:r>
              <w:rPr>
                <w:rFonts w:cs="Arial"/>
                <w:color w:val="FFFFFF"/>
                <w:sz w:val="24"/>
                <w:lang w:eastAsia="es-ES"/>
              </w:rPr>
              <w:t>Competencias</w:t>
            </w:r>
          </w:p>
        </w:tc>
        <w:tc>
          <w:tcPr>
            <w:tcW w:w="6991" w:type="dxa"/>
            <w:tcBorders>
              <w:top w:val="single" w:sz="12" w:space="0" w:color="000000"/>
              <w:left w:val="single" w:sz="8" w:space="0" w:color="000000"/>
              <w:bottom w:val="single" w:sz="4" w:space="0" w:color="000000"/>
              <w:right w:val="single" w:sz="8" w:space="0" w:color="000000"/>
            </w:tcBorders>
            <w:shd w:color="auto" w:fill="808080" w:themeFill="background1" w:themeFillShade="80" w:val="clear"/>
            <w:vAlign w:val="center"/>
          </w:tcPr>
          <w:p>
            <w:pPr>
              <w:pStyle w:val="Normal"/>
              <w:widowControl w:val="false"/>
              <w:spacing w:before="0" w:after="0"/>
              <w:jc w:val="center"/>
              <w:rPr>
                <w:rFonts w:cs="Arial"/>
                <w:color w:val="FFFFFF"/>
                <w:sz w:val="24"/>
                <w:lang w:eastAsia="es-ES"/>
              </w:rPr>
            </w:pPr>
            <w:r>
              <w:rPr>
                <w:rFonts w:cs="Arial"/>
                <w:color w:val="FFFFFF"/>
                <w:sz w:val="24"/>
                <w:lang w:eastAsia="es-ES"/>
              </w:rPr>
              <w:t>Objetivos</w:t>
            </w:r>
          </w:p>
        </w:tc>
      </w:tr>
      <w:tr>
        <w:trPr>
          <w:trHeight w:val="696" w:hRule="atLeast"/>
        </w:trPr>
        <w:tc>
          <w:tcPr>
            <w:tcW w:w="6993" w:type="dxa"/>
            <w:tcBorders>
              <w:top w:val="single" w:sz="12" w:space="0" w:color="000000"/>
              <w:left w:val="single" w:sz="12" w:space="0" w:color="000000"/>
              <w:bottom w:val="single" w:sz="12" w:space="0" w:color="000000"/>
            </w:tcBorders>
            <w:shd w:color="auto" w:fill="auto" w:val="clear"/>
            <w:tcMar>
              <w:top w:w="55" w:type="dxa"/>
              <w:bottom w:w="55" w:type="dxa"/>
            </w:tcMar>
          </w:tcPr>
          <w:p>
            <w:pPr>
              <w:pStyle w:val="Normal"/>
              <w:widowControl w:val="false"/>
              <w:spacing w:before="0" w:after="0"/>
              <w:rPr>
                <w:rFonts w:cs="Arial"/>
                <w:color w:themeColor="text1" w:val="000000"/>
                <w:lang w:eastAsia="es-ES"/>
              </w:rPr>
            </w:pPr>
            <w:r>
              <w:rPr>
                <w:rFonts w:cs="Arial"/>
                <w:color w:themeColor="text1" w:val="000000"/>
                <w:lang w:eastAsia="es-ES"/>
              </w:rPr>
            </w:r>
          </w:p>
          <w:p>
            <w:pPr>
              <w:pStyle w:val="Normal"/>
              <w:widowControl w:val="false"/>
              <w:spacing w:before="0" w:after="0"/>
              <w:rPr/>
            </w:pPr>
            <w:r>
              <w:rPr>
                <w:rFonts w:cs="Arial"/>
                <w:color w:themeColor="text1" w:val="000000"/>
                <w:lang w:eastAsia="es-ES"/>
              </w:rPr>
              <w:t>a) Administrar sistemas operativos de servidor, instalando y configurando el software, en condiciones de calidad para asegurar el funcionamiento del sistema</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l) Administrar usuarios de acuerdo a las especificaciones de explotación para garantizar los accesos y la disponibilidad de los recursos del sistema</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m) Diagnosticar las disfunciones del sistema y adoptar las medidas correctivas para restablecer su funcionalidad</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n) Gestionar y/o realizar el mantenimiento de los recursos de su área (programando y verificando su cumplimiento), en función de las cargas de trabajo y el plan de mantenimiento</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ñ) Efectuar consultas, dirigiéndose a la persona adecuada y saber respetar la autonomía de los subordinados, informando cuando sea conveniente</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o) Mantener el espíritu de innovación y actualización en el ámbito de su trabajo para adaptarse a los cambios tecnológicos y organizativos de su entorno profesional</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q) Resolver problemas y tomar decisiones individuales, siguiendo las normas y procedimientos establecidos, definidos dentro del ámbito de su competencia</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r) Gestionar su carrera profesional, analizando las oportunidades de empleo, autoempleo y de aprendizaje</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s) Participar de forma activa en la vida económica, social y cultural con actitud crítica y responsable</w:t>
            </w:r>
          </w:p>
          <w:p>
            <w:pPr>
              <w:pStyle w:val="Normal"/>
              <w:widowControl w:val="false"/>
              <w:spacing w:before="0" w:after="0"/>
              <w:rPr/>
            </w:pPr>
            <w:r>
              <w:rPr/>
            </w:r>
          </w:p>
        </w:tc>
        <w:tc>
          <w:tcPr>
            <w:tcW w:w="6991" w:type="dxa"/>
            <w:tcBorders>
              <w:top w:val="single" w:sz="12" w:space="0" w:color="000000"/>
              <w:left w:val="single" w:sz="12" w:space="0" w:color="000000"/>
              <w:bottom w:val="single" w:sz="12" w:space="0" w:color="000000"/>
              <w:right w:val="single" w:sz="12" w:space="0" w:color="000000"/>
            </w:tcBorders>
            <w:shd w:color="auto" w:fill="auto" w:val="clear"/>
            <w:tcMar>
              <w:top w:w="55" w:type="dxa"/>
              <w:bottom w:w="55" w:type="dxa"/>
            </w:tcMar>
          </w:tcPr>
          <w:p>
            <w:pPr>
              <w:pStyle w:val="Normal"/>
              <w:widowControl w:val="false"/>
              <w:spacing w:before="0" w:after="0"/>
              <w:jc w:val="left"/>
              <w:rPr>
                <w:rFonts w:cs="Arial"/>
                <w:color w:themeColor="text1" w:val="000000"/>
                <w:lang w:eastAsia="es-ES"/>
              </w:rPr>
            </w:pPr>
            <w:r>
              <w:rPr>
                <w:rFonts w:cs="Arial"/>
                <w:color w:themeColor="text1" w:val="000000"/>
                <w:lang w:eastAsia="es-ES"/>
              </w:rPr>
            </w:r>
          </w:p>
          <w:p>
            <w:pPr>
              <w:pStyle w:val="Normal"/>
              <w:widowControl w:val="false"/>
              <w:spacing w:before="0" w:after="0"/>
              <w:jc w:val="left"/>
              <w:rPr/>
            </w:pPr>
            <w:r>
              <w:rPr>
                <w:rFonts w:cs="Arial"/>
                <w:color w:themeColor="text1" w:val="000000"/>
                <w:lang w:eastAsia="es-ES"/>
              </w:rPr>
              <w:t>a) Analizar la estructura del software de base, comparando las características y prestaciones de sistemas libres y propietarios, para administrar sistemas operativos de servidor</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b) Instalar y configurar el software de base, siguiendo documentación técnica y especificaciones dadas, para administrar sistemas operativos de servidor</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n) Asignar los accesos y recursos del sistema, aplicando las especificaciones de la explotación, para administrar usuarios</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ñ) Aplicar técnicas de monitorización interpretando los resultados y relacionándolos con las medidas correctoras para diagnosticar y corregir las disfunciones</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o) Establecer la planificación de tareas, analizando actividades y cargas de trabajo del sistema para gestionar el mantenimiento</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q) Identificar formas de intervención en situaciones colectivas, analizando el proceso de toma de decisiones y efectuando consultas para liderar las mismas</w:t>
            </w:r>
          </w:p>
          <w:p>
            <w:pPr>
              <w:pStyle w:val="Normal"/>
              <w:widowControl w:val="false"/>
              <w:spacing w:before="0" w:after="0"/>
              <w:jc w:val="left"/>
              <w:rPr/>
            </w:pPr>
            <w:r>
              <w:rPr/>
            </w:r>
          </w:p>
        </w:tc>
      </w:tr>
    </w:tbl>
    <w:p>
      <w:pPr>
        <w:pStyle w:val="Heading2"/>
        <w:numPr>
          <w:ilvl w:val="0"/>
          <w:numId w:val="0"/>
        </w:numPr>
        <w:ind w:hanging="0" w:left="576"/>
        <w:rPr/>
      </w:pPr>
      <w:r>
        <w:rPr/>
      </w:r>
    </w:p>
    <w:p>
      <w:pPr>
        <w:pStyle w:val="Heading2"/>
        <w:rPr/>
      </w:pPr>
      <w:bookmarkStart w:id="16" w:name="_Toc1019534551"/>
      <w:bookmarkStart w:id="17" w:name="ASOIndice10"/>
      <w:r>
        <w:rPr/>
        <w:t>Resultados de aprendizaje y Criterios de evaluación</w:t>
      </w:r>
      <w:bookmarkEnd w:id="16"/>
      <w:bookmarkEnd w:id="17"/>
    </w:p>
    <w:p>
      <w:pPr>
        <w:pStyle w:val="Normal"/>
        <w:rPr/>
      </w:pPr>
      <w:r>
        <w:rPr/>
        <w:t>Con el objetivo de realizar la trazabilidad del alumnado en las actividades de enseñanza y aprendizaje, es imprescindible asociar por cada uno de los resultados de aprendizaje de la unidad formativa, las evidencias (criterios de evaluación) que aseguran al alumnado haberlas alcanzado.</w:t>
      </w:r>
    </w:p>
    <w:tbl>
      <w:tblPr>
        <w:tblW w:w="13980" w:type="dxa"/>
        <w:jc w:val="left"/>
        <w:tblInd w:w="96" w:type="dxa"/>
        <w:tblLayout w:type="fixed"/>
        <w:tblCellMar>
          <w:top w:w="0" w:type="dxa"/>
          <w:left w:w="70" w:type="dxa"/>
          <w:bottom w:w="0" w:type="dxa"/>
          <w:right w:w="70" w:type="dxa"/>
        </w:tblCellMar>
        <w:tblLook w:noHBand="0" w:noVBand="1" w:firstColumn="1" w:lastRow="0" w:lastColumn="0" w:firstRow="1" w:val="04a0"/>
      </w:tblPr>
      <w:tblGrid>
        <w:gridCol w:w="5003"/>
        <w:gridCol w:w="8977"/>
      </w:tblGrid>
      <w:tr>
        <w:trPr>
          <w:trHeight w:val="492" w:hRule="atLeast"/>
        </w:trPr>
        <w:tc>
          <w:tcPr>
            <w:tcW w:w="5003" w:type="dxa"/>
            <w:tcBorders>
              <w:top w:val="single" w:sz="12" w:space="0" w:color="000000"/>
              <w:left w:val="single" w:sz="12" w:space="0" w:color="000000"/>
              <w:bottom w:val="single" w:sz="4" w:space="0" w:color="000000"/>
              <w:right w:val="single" w:sz="8" w:space="0" w:color="000000"/>
            </w:tcBorders>
            <w:shd w:color="auto" w:fill="808080" w:themeFill="background1" w:themeFillShade="80" w:val="clear"/>
            <w:vAlign w:val="center"/>
          </w:tcPr>
          <w:p>
            <w:pPr>
              <w:pStyle w:val="Normal"/>
              <w:widowControl w:val="false"/>
              <w:spacing w:before="0" w:after="0"/>
              <w:jc w:val="center"/>
              <w:rPr>
                <w:rFonts w:cs="Arial"/>
                <w:color w:val="FFFFFF"/>
                <w:sz w:val="24"/>
                <w:lang w:eastAsia="es-ES"/>
              </w:rPr>
            </w:pPr>
            <w:r>
              <w:rPr>
                <w:rFonts w:cs="Arial"/>
                <w:color w:val="FFFFFF"/>
                <w:sz w:val="24"/>
                <w:lang w:eastAsia="es-ES"/>
              </w:rPr>
              <w:t>Resultados de Aprendizaje</w:t>
            </w:r>
          </w:p>
        </w:tc>
        <w:tc>
          <w:tcPr>
            <w:tcW w:w="8977" w:type="dxa"/>
            <w:tcBorders>
              <w:top w:val="single" w:sz="12" w:space="0" w:color="000000"/>
              <w:left w:val="single" w:sz="8" w:space="0" w:color="000000"/>
              <w:bottom w:val="single" w:sz="4" w:space="0" w:color="000000"/>
              <w:right w:val="single" w:sz="12" w:space="0" w:color="000000"/>
            </w:tcBorders>
            <w:shd w:color="auto" w:fill="808080" w:themeFill="background1" w:themeFillShade="80" w:val="clear"/>
            <w:vAlign w:val="center"/>
          </w:tcPr>
          <w:p>
            <w:pPr>
              <w:pStyle w:val="Normal"/>
              <w:widowControl w:val="false"/>
              <w:spacing w:before="0" w:after="0"/>
              <w:jc w:val="center"/>
              <w:rPr>
                <w:rFonts w:cs="Arial"/>
                <w:color w:val="FFFFFF"/>
                <w:sz w:val="24"/>
                <w:lang w:eastAsia="es-ES"/>
              </w:rPr>
            </w:pPr>
            <w:r>
              <w:rPr>
                <w:rFonts w:cs="Arial"/>
                <w:color w:val="FFFFFF"/>
                <w:sz w:val="24"/>
                <w:lang w:eastAsia="es-ES"/>
              </w:rPr>
              <w:t>Criterios de evaluación</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1. Administra el servicio de directorio interpretando especificaciones e integrándolo en una red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identificado la función, los elementos y las estructuras lógicas del servicio de directorio</w:t>
            </w:r>
          </w:p>
          <w:p>
            <w:pPr>
              <w:pStyle w:val="Normal"/>
              <w:widowControl w:val="false"/>
              <w:jc w:val="left"/>
              <w:rPr/>
            </w:pPr>
            <w:r>
              <w:rPr>
                <w:rFonts w:cs="Arial"/>
                <w:color w:themeColor="text1" w:val="000000"/>
                <w:lang w:eastAsia="es-ES"/>
              </w:rPr>
              <w:t>b) Se ha determinado y creado el esquema del servicio de directorio</w:t>
            </w:r>
          </w:p>
          <w:p>
            <w:pPr>
              <w:pStyle w:val="Normal"/>
              <w:widowControl w:val="false"/>
              <w:jc w:val="left"/>
              <w:rPr/>
            </w:pPr>
            <w:r>
              <w:rPr>
                <w:rFonts w:cs="Arial"/>
                <w:color w:themeColor="text1" w:val="000000"/>
                <w:lang w:eastAsia="es-ES"/>
              </w:rPr>
              <w:t>c) Se ha realizado la instalación del servicio de directorio en el servidor</w:t>
            </w:r>
          </w:p>
          <w:p>
            <w:pPr>
              <w:pStyle w:val="Normal"/>
              <w:widowControl w:val="false"/>
              <w:jc w:val="left"/>
              <w:rPr/>
            </w:pPr>
            <w:r>
              <w:rPr>
                <w:rFonts w:cs="Arial"/>
                <w:color w:themeColor="text1" w:val="000000"/>
                <w:lang w:eastAsia="es-ES"/>
              </w:rPr>
              <w:t>d) Se ha realizado la configuración y personalización del servicio de directorio</w:t>
            </w:r>
          </w:p>
          <w:p>
            <w:pPr>
              <w:pStyle w:val="Normal"/>
              <w:widowControl w:val="false"/>
              <w:jc w:val="left"/>
              <w:rPr/>
            </w:pPr>
            <w:r>
              <w:rPr>
                <w:rFonts w:cs="Arial"/>
                <w:color w:themeColor="text1" w:val="000000"/>
                <w:lang w:eastAsia="es-ES"/>
              </w:rPr>
              <w:t>e) Se ha integrado el servicio de directorio con otros servicios</w:t>
            </w:r>
          </w:p>
          <w:p>
            <w:pPr>
              <w:pStyle w:val="Normal"/>
              <w:widowControl w:val="false"/>
              <w:jc w:val="left"/>
              <w:rPr/>
            </w:pPr>
            <w:r>
              <w:rPr>
                <w:rFonts w:cs="Arial"/>
                <w:color w:themeColor="text1" w:val="000000"/>
                <w:lang w:eastAsia="es-ES"/>
              </w:rPr>
              <w:t>f) Se han aplicado filtros de búsqueda en el servicio de directorio</w:t>
            </w:r>
          </w:p>
          <w:p>
            <w:pPr>
              <w:pStyle w:val="Normal"/>
              <w:widowControl w:val="false"/>
              <w:jc w:val="left"/>
              <w:rPr/>
            </w:pPr>
            <w:r>
              <w:rPr>
                <w:rFonts w:cs="Arial"/>
                <w:color w:themeColor="text1" w:val="000000"/>
                <w:lang w:eastAsia="es-ES"/>
              </w:rPr>
              <w:t>g) Se ha utilizado el servicio de directorio como mecanismo de acreditación centralizada de los usuarios en una red</w:t>
            </w:r>
          </w:p>
          <w:p>
            <w:pPr>
              <w:pStyle w:val="Normal"/>
              <w:widowControl w:val="false"/>
              <w:jc w:val="left"/>
              <w:rPr/>
            </w:pPr>
            <w:r>
              <w:rPr>
                <w:rFonts w:cs="Arial"/>
                <w:color w:themeColor="text1" w:val="000000"/>
                <w:lang w:eastAsia="es-ES"/>
              </w:rPr>
              <w:t>h) Se ha realizado la configuración del cliente para su integración en el servicio de directorio</w:t>
            </w:r>
          </w:p>
          <w:p>
            <w:pPr>
              <w:pStyle w:val="Normal"/>
              <w:widowControl w:val="false"/>
              <w:jc w:val="left"/>
              <w:rPr/>
            </w:pPr>
            <w:r>
              <w:rPr>
                <w:rFonts w:cs="Arial"/>
                <w:color w:themeColor="text1" w:val="000000"/>
                <w:lang w:eastAsia="es-ES"/>
              </w:rPr>
              <w:t>i) Se han utilizado herramientas gráficas y comandos para la administración del servicio de directorio</w:t>
            </w:r>
          </w:p>
          <w:p>
            <w:pPr>
              <w:pStyle w:val="Normal"/>
              <w:widowControl w:val="false"/>
              <w:spacing w:before="0" w:after="120"/>
              <w:jc w:val="left"/>
              <w:rPr/>
            </w:pPr>
            <w:r>
              <w:rPr>
                <w:rFonts w:cs="Arial"/>
                <w:color w:themeColor="text1" w:val="000000"/>
                <w:lang w:eastAsia="es-ES"/>
              </w:rPr>
              <w:t>j) Se ha documentado la estructura e implantación del servicio de directorio</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2. Administra procesos del sistema describiéndolos y aplicando criterios de seguridad y eficiencia</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descrito el concepto de proceso del sistema, tipos, estados y ciclo de vida</w:t>
            </w:r>
          </w:p>
          <w:p>
            <w:pPr>
              <w:pStyle w:val="Normal"/>
              <w:widowControl w:val="false"/>
              <w:jc w:val="left"/>
              <w:rPr/>
            </w:pPr>
            <w:r>
              <w:rPr>
                <w:rFonts w:cs="Arial"/>
                <w:color w:themeColor="text1" w:val="000000"/>
                <w:lang w:eastAsia="es-ES"/>
              </w:rPr>
              <w:t>b) Se han utilizado interrupciones y excepciones para describir los eventos internos del procesador</w:t>
            </w:r>
          </w:p>
          <w:p>
            <w:pPr>
              <w:pStyle w:val="Normal"/>
              <w:widowControl w:val="false"/>
              <w:jc w:val="left"/>
              <w:rPr/>
            </w:pPr>
            <w:r>
              <w:rPr>
                <w:rFonts w:cs="Arial"/>
                <w:color w:themeColor="text1" w:val="000000"/>
                <w:lang w:eastAsia="es-ES"/>
              </w:rPr>
              <w:t>c) Se ha diferenciado entre proceso, hilo y trabajo</w:t>
            </w:r>
          </w:p>
          <w:p>
            <w:pPr>
              <w:pStyle w:val="Normal"/>
              <w:widowControl w:val="false"/>
              <w:jc w:val="left"/>
              <w:rPr/>
            </w:pPr>
            <w:r>
              <w:rPr>
                <w:rFonts w:cs="Arial"/>
                <w:color w:themeColor="text1" w:val="000000"/>
                <w:lang w:eastAsia="es-ES"/>
              </w:rPr>
              <w:t>d) Se han realizado tareas de creación, manipulación y terminación de procesos</w:t>
            </w:r>
          </w:p>
          <w:p>
            <w:pPr>
              <w:pStyle w:val="Normal"/>
              <w:widowControl w:val="false"/>
              <w:jc w:val="left"/>
              <w:rPr/>
            </w:pPr>
            <w:r>
              <w:rPr>
                <w:rFonts w:cs="Arial"/>
                <w:color w:themeColor="text1" w:val="000000"/>
                <w:lang w:eastAsia="es-ES"/>
              </w:rPr>
              <w:t>e) Se ha utilizado el sistema de archivos como medio lógico para el registro e identificación de los procesos del sistema</w:t>
            </w:r>
          </w:p>
          <w:p>
            <w:pPr>
              <w:pStyle w:val="Normal"/>
              <w:widowControl w:val="false"/>
              <w:jc w:val="left"/>
              <w:rPr/>
            </w:pPr>
            <w:r>
              <w:rPr>
                <w:rFonts w:cs="Arial"/>
                <w:color w:themeColor="text1" w:val="000000"/>
                <w:lang w:eastAsia="es-ES"/>
              </w:rPr>
              <w:t>f) Se han utilizado herramientas gráficas y comandos para el control y seguimiento de los procesos del sistema</w:t>
            </w:r>
          </w:p>
          <w:p>
            <w:pPr>
              <w:pStyle w:val="Normal"/>
              <w:widowControl w:val="false"/>
              <w:jc w:val="left"/>
              <w:rPr/>
            </w:pPr>
            <w:r>
              <w:rPr>
                <w:rFonts w:cs="Arial"/>
                <w:color w:themeColor="text1" w:val="000000"/>
                <w:lang w:eastAsia="es-ES"/>
              </w:rPr>
              <w:t>g) Se ha comprobado la secuencia de arranque del sistema, los procesos implicados y la relación entre ellos</w:t>
            </w:r>
          </w:p>
          <w:p>
            <w:pPr>
              <w:pStyle w:val="Normal"/>
              <w:widowControl w:val="false"/>
              <w:jc w:val="left"/>
              <w:rPr/>
            </w:pPr>
            <w:r>
              <w:rPr>
                <w:rFonts w:cs="Arial"/>
                <w:color w:themeColor="text1" w:val="000000"/>
                <w:lang w:eastAsia="es-ES"/>
              </w:rPr>
              <w:t>h) Se han tomado medidas de seguridad ante la aparición de procesos no identificados</w:t>
            </w:r>
          </w:p>
          <w:p>
            <w:pPr>
              <w:pStyle w:val="Normal"/>
              <w:widowControl w:val="false"/>
              <w:spacing w:before="0" w:after="120"/>
              <w:jc w:val="left"/>
              <w:rPr/>
            </w:pPr>
            <w:r>
              <w:rPr>
                <w:rFonts w:cs="Arial"/>
                <w:color w:themeColor="text1" w:val="000000"/>
                <w:lang w:eastAsia="es-ES"/>
              </w:rPr>
              <w:t>i) Se han documentado los procesos habituales del sistema, su función y relación entre ellos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3. Gestiona la automatización de tareas del sistema, aplicando criterios de eficiencia y utilizando comandos y herramientas gráficas</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descrito las ventajas de la automatización de las tareas repetitivas en el sistema</w:t>
            </w:r>
          </w:p>
          <w:p>
            <w:pPr>
              <w:pStyle w:val="Normal"/>
              <w:widowControl w:val="false"/>
              <w:jc w:val="left"/>
              <w:rPr/>
            </w:pPr>
            <w:r>
              <w:rPr>
                <w:rFonts w:cs="Arial"/>
                <w:color w:themeColor="text1" w:val="000000"/>
                <w:lang w:eastAsia="es-ES"/>
              </w:rPr>
              <w:t>b) Se han utilizado los comandos del sistema para la planificación de tareas</w:t>
            </w:r>
          </w:p>
          <w:p>
            <w:pPr>
              <w:pStyle w:val="Normal"/>
              <w:widowControl w:val="false"/>
              <w:jc w:val="left"/>
              <w:rPr/>
            </w:pPr>
            <w:r>
              <w:rPr>
                <w:rFonts w:cs="Arial"/>
                <w:color w:themeColor="text1" w:val="000000"/>
                <w:lang w:eastAsia="es-ES"/>
              </w:rPr>
              <w:t>c) Se han establecido restricciones de seguridad</w:t>
            </w:r>
          </w:p>
          <w:p>
            <w:pPr>
              <w:pStyle w:val="Normal"/>
              <w:widowControl w:val="false"/>
              <w:jc w:val="left"/>
              <w:rPr/>
            </w:pPr>
            <w:r>
              <w:rPr>
                <w:rFonts w:cs="Arial"/>
                <w:color w:themeColor="text1" w:val="000000"/>
                <w:lang w:eastAsia="es-ES"/>
              </w:rPr>
              <w:t>d) Se han realizado planificaciones de tareas repetitivas o puntuales relacionadas con la administración del sistema</w:t>
            </w:r>
          </w:p>
          <w:p>
            <w:pPr>
              <w:pStyle w:val="Normal"/>
              <w:widowControl w:val="false"/>
              <w:jc w:val="left"/>
              <w:rPr/>
            </w:pPr>
            <w:r>
              <w:rPr>
                <w:rFonts w:cs="Arial"/>
                <w:color w:themeColor="text1" w:val="000000"/>
                <w:lang w:eastAsia="es-ES"/>
              </w:rPr>
              <w:t>e) Se ha automatizado la administración de cuentas</w:t>
            </w:r>
          </w:p>
          <w:p>
            <w:pPr>
              <w:pStyle w:val="Normal"/>
              <w:widowControl w:val="false"/>
              <w:jc w:val="left"/>
              <w:rPr/>
            </w:pPr>
            <w:r>
              <w:rPr>
                <w:rFonts w:cs="Arial"/>
                <w:color w:themeColor="text1" w:val="000000"/>
                <w:lang w:eastAsia="es-ES"/>
              </w:rPr>
              <w:t>f) Se han instalado y configurado herramientas gráficas para la planificación de tareas</w:t>
            </w:r>
          </w:p>
          <w:p>
            <w:pPr>
              <w:pStyle w:val="Normal"/>
              <w:widowControl w:val="false"/>
              <w:jc w:val="left"/>
              <w:rPr/>
            </w:pPr>
            <w:r>
              <w:rPr>
                <w:rFonts w:cs="Arial"/>
                <w:color w:themeColor="text1" w:val="000000"/>
                <w:lang w:eastAsia="es-ES"/>
              </w:rPr>
              <w:t>g) Se han utilizado herramientas gráficas para la planificación de tareas</w:t>
            </w:r>
          </w:p>
          <w:p>
            <w:pPr>
              <w:pStyle w:val="Normal"/>
              <w:widowControl w:val="false"/>
              <w:spacing w:before="0" w:after="120"/>
              <w:jc w:val="left"/>
              <w:rPr/>
            </w:pPr>
            <w:r>
              <w:rPr>
                <w:rFonts w:cs="Arial"/>
                <w:color w:themeColor="text1" w:val="000000"/>
                <w:lang w:eastAsia="es-ES"/>
              </w:rPr>
              <w:t>h) Se han documentado los procesos programados como tareas automáticas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4. Administra de forma remota el sistema operativo en red valorando su importancia y aplicando criterios de seguridad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descrito métodos de acceso y administración remota de sistemas</w:t>
            </w:r>
          </w:p>
          <w:p>
            <w:pPr>
              <w:pStyle w:val="Normal"/>
              <w:widowControl w:val="false"/>
              <w:jc w:val="left"/>
              <w:rPr/>
            </w:pPr>
            <w:r>
              <w:rPr>
                <w:rFonts w:cs="Arial"/>
                <w:color w:themeColor="text1" w:val="000000"/>
                <w:lang w:eastAsia="es-ES"/>
              </w:rPr>
              <w:t>b) Se ha diferenciado entre los servicios orientados a sesión y los no orientados a sesión</w:t>
            </w:r>
          </w:p>
          <w:p>
            <w:pPr>
              <w:pStyle w:val="Normal"/>
              <w:widowControl w:val="false"/>
              <w:jc w:val="left"/>
              <w:rPr/>
            </w:pPr>
            <w:r>
              <w:rPr>
                <w:rFonts w:cs="Arial"/>
                <w:color w:themeColor="text1" w:val="000000"/>
                <w:lang w:eastAsia="es-ES"/>
              </w:rPr>
              <w:t>c) Se han utilizado herramientas de administración remota suministradas por el propio sistema operativo</w:t>
            </w:r>
          </w:p>
          <w:p>
            <w:pPr>
              <w:pStyle w:val="Normal"/>
              <w:widowControl w:val="false"/>
              <w:jc w:val="left"/>
              <w:rPr/>
            </w:pPr>
            <w:r>
              <w:rPr>
                <w:rFonts w:cs="Arial"/>
                <w:color w:themeColor="text1" w:val="000000"/>
                <w:lang w:eastAsia="es-ES"/>
              </w:rPr>
              <w:t>d) Se han instalado servicios de acceso y administración remota</w:t>
            </w:r>
          </w:p>
          <w:p>
            <w:pPr>
              <w:pStyle w:val="Normal"/>
              <w:widowControl w:val="false"/>
              <w:jc w:val="left"/>
              <w:rPr/>
            </w:pPr>
            <w:r>
              <w:rPr>
                <w:rFonts w:cs="Arial"/>
                <w:color w:themeColor="text1" w:val="000000"/>
                <w:lang w:eastAsia="es-ES"/>
              </w:rPr>
              <w:t>e) Se han utilizado comandos y herramientas gráficas para gestionar los servicios de acceso y administración remota</w:t>
            </w:r>
          </w:p>
          <w:p>
            <w:pPr>
              <w:pStyle w:val="Normal"/>
              <w:widowControl w:val="false"/>
              <w:jc w:val="left"/>
              <w:rPr/>
            </w:pPr>
            <w:r>
              <w:rPr>
                <w:rFonts w:cs="Arial"/>
                <w:color w:themeColor="text1" w:val="000000"/>
                <w:lang w:eastAsia="es-ES"/>
              </w:rPr>
              <w:t>f) Se han creado cuentas de usuario para el acceso remoto</w:t>
            </w:r>
          </w:p>
          <w:p>
            <w:pPr>
              <w:pStyle w:val="Normal"/>
              <w:widowControl w:val="false"/>
              <w:jc w:val="left"/>
              <w:rPr/>
            </w:pPr>
            <w:r>
              <w:rPr>
                <w:rFonts w:cs="Arial"/>
                <w:color w:themeColor="text1" w:val="000000"/>
                <w:lang w:eastAsia="es-ES"/>
              </w:rPr>
              <w:t>g) Se han realizado pruebas de acceso y administración remota entre sistemas heterogéneos</w:t>
            </w:r>
          </w:p>
          <w:p>
            <w:pPr>
              <w:pStyle w:val="Normal"/>
              <w:widowControl w:val="false"/>
              <w:jc w:val="left"/>
              <w:rPr/>
            </w:pPr>
            <w:r>
              <w:rPr>
                <w:rFonts w:cs="Arial"/>
                <w:color w:themeColor="text1" w:val="000000"/>
                <w:lang w:eastAsia="es-ES"/>
              </w:rPr>
              <w:t>h) Se han utilizado mecanismos de encriptación de la información transferida</w:t>
            </w:r>
          </w:p>
          <w:p>
            <w:pPr>
              <w:pStyle w:val="Normal"/>
              <w:widowControl w:val="false"/>
              <w:spacing w:before="0" w:after="120"/>
              <w:jc w:val="left"/>
              <w:rPr/>
            </w:pPr>
            <w:r>
              <w:rPr>
                <w:rFonts w:cs="Arial"/>
                <w:color w:themeColor="text1" w:val="000000"/>
                <w:lang w:eastAsia="es-ES"/>
              </w:rPr>
              <w:t>i) Se han documentado los procesos y servicios del sistema administrados de forma remota</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5. Administra servidores de impresión describiendo sus funciones e integrándolos en una red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 descrito la funcionalidad de los sistemas y servidores de impresión</w:t>
            </w:r>
          </w:p>
          <w:p>
            <w:pPr>
              <w:pStyle w:val="Normal"/>
              <w:widowControl w:val="false"/>
              <w:jc w:val="left"/>
              <w:rPr/>
            </w:pPr>
            <w:r>
              <w:rPr>
                <w:rFonts w:cs="Arial"/>
                <w:color w:themeColor="text1" w:val="000000"/>
                <w:lang w:eastAsia="es-ES"/>
              </w:rPr>
              <w:t>b) Se han identificado los puertos y los protocolos utilizados</w:t>
            </w:r>
          </w:p>
          <w:p>
            <w:pPr>
              <w:pStyle w:val="Normal"/>
              <w:widowControl w:val="false"/>
              <w:jc w:val="left"/>
              <w:rPr/>
            </w:pPr>
            <w:r>
              <w:rPr>
                <w:rFonts w:cs="Arial"/>
                <w:color w:themeColor="text1" w:val="000000"/>
                <w:lang w:eastAsia="es-ES"/>
              </w:rPr>
              <w:t>c) Se han utilizado las herramientas para la gestión de impresoras integradas en el sistema operativo</w:t>
            </w:r>
          </w:p>
          <w:p>
            <w:pPr>
              <w:pStyle w:val="Normal"/>
              <w:widowControl w:val="false"/>
              <w:jc w:val="left"/>
              <w:rPr/>
            </w:pPr>
            <w:r>
              <w:rPr>
                <w:rFonts w:cs="Arial"/>
                <w:color w:themeColor="text1" w:val="000000"/>
                <w:lang w:eastAsia="es-ES"/>
              </w:rPr>
              <w:t>d) Se ha instalado y configurado un servidor de impresión en entorno Web</w:t>
            </w:r>
          </w:p>
          <w:p>
            <w:pPr>
              <w:pStyle w:val="Normal"/>
              <w:widowControl w:val="false"/>
              <w:jc w:val="left"/>
              <w:rPr/>
            </w:pPr>
            <w:r>
              <w:rPr>
                <w:rFonts w:cs="Arial"/>
                <w:color w:themeColor="text1" w:val="000000"/>
                <w:lang w:eastAsia="es-ES"/>
              </w:rPr>
              <w:t>e) Se han creado y clasificado impresoras lógicas</w:t>
            </w:r>
          </w:p>
          <w:p>
            <w:pPr>
              <w:pStyle w:val="Normal"/>
              <w:widowControl w:val="false"/>
              <w:jc w:val="left"/>
              <w:rPr/>
            </w:pPr>
            <w:r>
              <w:rPr>
                <w:rFonts w:cs="Arial"/>
                <w:color w:themeColor="text1" w:val="000000"/>
                <w:lang w:eastAsia="es-ES"/>
              </w:rPr>
              <w:t>f) Se han creado grupos de impresión</w:t>
            </w:r>
          </w:p>
          <w:p>
            <w:pPr>
              <w:pStyle w:val="Normal"/>
              <w:widowControl w:val="false"/>
              <w:jc w:val="left"/>
              <w:rPr/>
            </w:pPr>
            <w:r>
              <w:rPr>
                <w:rFonts w:cs="Arial"/>
                <w:color w:themeColor="text1" w:val="000000"/>
                <w:lang w:eastAsia="es-ES"/>
              </w:rPr>
              <w:t>g) Se han gestionado impresoras y colas de trabajos mediante comandos y herramientas gráficas</w:t>
            </w:r>
          </w:p>
          <w:p>
            <w:pPr>
              <w:pStyle w:val="Normal"/>
              <w:widowControl w:val="false"/>
              <w:jc w:val="left"/>
              <w:rPr/>
            </w:pPr>
            <w:r>
              <w:rPr>
                <w:rFonts w:cs="Arial"/>
                <w:color w:themeColor="text1" w:val="000000"/>
                <w:lang w:eastAsia="es-ES"/>
              </w:rPr>
              <w:t>h) Se han compartido impresoras en red entre sistemas operativos diferentes</w:t>
            </w:r>
          </w:p>
          <w:p>
            <w:pPr>
              <w:pStyle w:val="Normal"/>
              <w:widowControl w:val="false"/>
              <w:spacing w:before="0" w:after="120"/>
              <w:jc w:val="left"/>
              <w:rPr/>
            </w:pPr>
            <w:r>
              <w:rPr>
                <w:rFonts w:cs="Arial"/>
                <w:color w:themeColor="text1" w:val="000000"/>
                <w:lang w:eastAsia="es-ES"/>
              </w:rPr>
              <w:t>i) Se ha documentado la configuración del servidor de impresión y de las impresoras creadas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6. Integra sistemas operativos libres y propietarios, justificando y garantizando su interoperabilidad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 identificado la necesidad de compartir recursos en red entre diferentes sistemas operativos</w:t>
            </w:r>
          </w:p>
          <w:p>
            <w:pPr>
              <w:pStyle w:val="Normal"/>
              <w:widowControl w:val="false"/>
              <w:jc w:val="left"/>
              <w:rPr/>
            </w:pPr>
            <w:r>
              <w:rPr>
                <w:rFonts w:cs="Arial"/>
                <w:color w:themeColor="text1" w:val="000000"/>
                <w:lang w:eastAsia="es-ES"/>
              </w:rPr>
              <w:t>b) Se han establecido niveles de seguridad para controlar el acceso del cliente a los recursos compartidos en red</w:t>
            </w:r>
          </w:p>
          <w:p>
            <w:pPr>
              <w:pStyle w:val="Normal"/>
              <w:widowControl w:val="false"/>
              <w:jc w:val="left"/>
              <w:rPr/>
            </w:pPr>
            <w:r>
              <w:rPr>
                <w:rFonts w:cs="Arial"/>
                <w:color w:themeColor="text1" w:val="000000"/>
                <w:lang w:eastAsia="es-ES"/>
              </w:rPr>
              <w:t>c) Se ha comprobado la conectividad de la red en un escenario heterogéneo</w:t>
            </w:r>
          </w:p>
          <w:p>
            <w:pPr>
              <w:pStyle w:val="Normal"/>
              <w:widowControl w:val="false"/>
              <w:jc w:val="left"/>
              <w:rPr/>
            </w:pPr>
            <w:r>
              <w:rPr>
                <w:rFonts w:cs="Arial"/>
                <w:color w:themeColor="text1" w:val="000000"/>
                <w:lang w:eastAsia="es-ES"/>
              </w:rPr>
              <w:t>d) Se ha descrito la funcionalidad de los servicios que permiten compartir recursos en red</w:t>
            </w:r>
          </w:p>
          <w:p>
            <w:pPr>
              <w:pStyle w:val="Normal"/>
              <w:widowControl w:val="false"/>
              <w:jc w:val="left"/>
              <w:rPr/>
            </w:pPr>
            <w:r>
              <w:rPr>
                <w:rFonts w:cs="Arial"/>
                <w:color w:themeColor="text1" w:val="000000"/>
                <w:lang w:eastAsia="es-ES"/>
              </w:rPr>
              <w:t>e) Se han instalado y configurado servicios para compartir recursos en red</w:t>
            </w:r>
          </w:p>
          <w:p>
            <w:pPr>
              <w:pStyle w:val="Normal"/>
              <w:widowControl w:val="false"/>
              <w:jc w:val="left"/>
              <w:rPr/>
            </w:pPr>
            <w:r>
              <w:rPr>
                <w:rFonts w:cs="Arial"/>
                <w:color w:themeColor="text1" w:val="000000"/>
                <w:lang w:eastAsia="es-ES"/>
              </w:rPr>
              <w:t>f) Se ha comprobado el funcionamiento de los servicios instalados</w:t>
            </w:r>
          </w:p>
          <w:p>
            <w:pPr>
              <w:pStyle w:val="Normal"/>
              <w:widowControl w:val="false"/>
              <w:jc w:val="left"/>
              <w:rPr/>
            </w:pPr>
            <w:r>
              <w:rPr>
                <w:rFonts w:cs="Arial"/>
                <w:color w:themeColor="text1" w:val="000000"/>
                <w:lang w:eastAsia="es-ES"/>
              </w:rPr>
              <w:t>g) Se ha trabajado en grupo para acceder a sistemas de archivos e impresoras en red desde equipos con diferentes sistemas operativos</w:t>
            </w:r>
          </w:p>
          <w:p>
            <w:pPr>
              <w:pStyle w:val="Normal"/>
              <w:widowControl w:val="false"/>
              <w:spacing w:before="0" w:after="120"/>
              <w:jc w:val="left"/>
              <w:rPr/>
            </w:pPr>
            <w:r>
              <w:rPr>
                <w:rFonts w:cs="Arial"/>
                <w:color w:themeColor="text1" w:val="000000"/>
                <w:lang w:eastAsia="es-ES"/>
              </w:rPr>
              <w:t>h) Se ha documentado la configuración de los servicios instalados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7. Utiliza lenguajes de guiones en sistemas operativos, describiendo su aplicación y administrando servicios del sistema operativo</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utilizado y combinado las estructuras del lenguaje para crear guiones</w:t>
            </w:r>
          </w:p>
          <w:p>
            <w:pPr>
              <w:pStyle w:val="Normal"/>
              <w:widowControl w:val="false"/>
              <w:jc w:val="left"/>
              <w:rPr/>
            </w:pPr>
            <w:r>
              <w:rPr>
                <w:rFonts w:cs="Arial"/>
                <w:color w:themeColor="text1" w:val="000000"/>
                <w:lang w:eastAsia="es-ES"/>
              </w:rPr>
              <w:t>b) Se han utilizado herramientas para depurar errores sintácticos y de ejecución</w:t>
            </w:r>
          </w:p>
          <w:p>
            <w:pPr>
              <w:pStyle w:val="Normal"/>
              <w:widowControl w:val="false"/>
              <w:jc w:val="left"/>
              <w:rPr/>
            </w:pPr>
            <w:r>
              <w:rPr>
                <w:rFonts w:cs="Arial"/>
                <w:color w:themeColor="text1" w:val="000000"/>
                <w:lang w:eastAsia="es-ES"/>
              </w:rPr>
              <w:t>c) Se han interpretado guiones de configuración del sistema operativo</w:t>
            </w:r>
          </w:p>
          <w:p>
            <w:pPr>
              <w:pStyle w:val="Normal"/>
              <w:widowControl w:val="false"/>
              <w:jc w:val="left"/>
              <w:rPr/>
            </w:pPr>
            <w:r>
              <w:rPr>
                <w:rFonts w:cs="Arial"/>
                <w:color w:themeColor="text1" w:val="000000"/>
                <w:lang w:eastAsia="es-ES"/>
              </w:rPr>
              <w:t>d) Se han realizado cambios y adaptaciones de guiones del sistema</w:t>
            </w:r>
          </w:p>
          <w:p>
            <w:pPr>
              <w:pStyle w:val="Normal"/>
              <w:widowControl w:val="false"/>
              <w:jc w:val="left"/>
              <w:rPr/>
            </w:pPr>
            <w:r>
              <w:rPr>
                <w:rFonts w:cs="Arial"/>
                <w:color w:themeColor="text1" w:val="000000"/>
                <w:lang w:eastAsia="es-ES"/>
              </w:rPr>
              <w:t>e) Se han creado y probado guiones de administración de servicios</w:t>
            </w:r>
          </w:p>
          <w:p>
            <w:pPr>
              <w:pStyle w:val="Normal"/>
              <w:widowControl w:val="false"/>
              <w:jc w:val="left"/>
              <w:rPr/>
            </w:pPr>
            <w:r>
              <w:rPr>
                <w:rFonts w:cs="Arial"/>
                <w:color w:themeColor="text1" w:val="000000"/>
                <w:lang w:eastAsia="es-ES"/>
              </w:rPr>
              <w:t>f) Se han creado y probado guiones de automatización de tareas</w:t>
            </w:r>
          </w:p>
          <w:p>
            <w:pPr>
              <w:pStyle w:val="Normal"/>
              <w:widowControl w:val="false"/>
              <w:jc w:val="left"/>
              <w:rPr/>
            </w:pPr>
            <w:r>
              <w:rPr>
                <w:rFonts w:cs="Arial"/>
                <w:color w:themeColor="text1" w:val="000000"/>
                <w:lang w:eastAsia="es-ES"/>
              </w:rPr>
              <w:t>g) Se han implantado guiones en sistemas libres y propietarios</w:t>
            </w:r>
          </w:p>
          <w:p>
            <w:pPr>
              <w:pStyle w:val="Normal"/>
              <w:widowControl w:val="false"/>
              <w:jc w:val="left"/>
              <w:rPr/>
            </w:pPr>
            <w:r>
              <w:rPr>
                <w:rFonts w:cs="Arial"/>
                <w:color w:themeColor="text1" w:val="000000"/>
                <w:lang w:eastAsia="es-ES"/>
              </w:rPr>
              <w:t>h) Se han consultado y utilizado librerías de funciones</w:t>
            </w:r>
          </w:p>
          <w:p>
            <w:pPr>
              <w:pStyle w:val="Normal"/>
              <w:widowControl w:val="false"/>
              <w:spacing w:before="0" w:after="120"/>
              <w:jc w:val="left"/>
              <w:rPr/>
            </w:pPr>
            <w:r>
              <w:rPr>
                <w:rFonts w:cs="Arial"/>
                <w:color w:themeColor="text1" w:val="000000"/>
                <w:lang w:eastAsia="es-ES"/>
              </w:rPr>
              <w:t>i) Se han documentado los guiones creados</w:t>
            </w:r>
          </w:p>
        </w:tc>
      </w:tr>
    </w:tbl>
    <w:p>
      <w:pPr>
        <w:pStyle w:val="Normal"/>
        <w:rPr/>
      </w:pPr>
      <w:r>
        <w:rPr/>
      </w:r>
    </w:p>
    <w:p>
      <w:pPr>
        <w:pStyle w:val="Normal"/>
        <w:rPr/>
      </w:pPr>
      <w:r>
        <w:rPr/>
      </w:r>
    </w:p>
    <w:p>
      <w:pPr>
        <w:pStyle w:val="Normal"/>
        <w:rPr/>
      </w:pPr>
      <w:r>
        <w:rPr/>
      </w:r>
    </w:p>
    <w:p>
      <w:pPr>
        <w:pStyle w:val="Normal"/>
        <w:rPr/>
      </w:pPr>
      <w:r>
        <w:rPr/>
        <w:t>Relación entre competencias y resultados de aprendizaje</w:t>
      </w:r>
    </w:p>
    <w:p>
      <w:pPr>
        <w:pStyle w:val="Normal"/>
        <w:rPr/>
      </w:pPr>
      <w:r>
        <w:rPr/>
        <w:t>La relación siguiente muestra la contribución didáctica principal de las competencias del título a los resultados de aprendizaje del módulo. Algunas competencias transversales se desarrollan a lo largo de varios RA.</w:t>
      </w:r>
    </w:p>
    <w:tbl>
      <w:tblPr>
        <w:tblW w:w="9600" w:type="dxa"/>
        <w:jc w:val="left"/>
        <w:tblInd w:w="103" w:type="dxa"/>
        <w:tblLayout w:type="fixed"/>
        <w:tblCellMar>
          <w:top w:w="0" w:type="dxa"/>
          <w:left w:w="108" w:type="dxa"/>
          <w:bottom w:w="0" w:type="dxa"/>
          <w:right w:w="108" w:type="dxa"/>
        </w:tblCellMar>
      </w:tblPr>
      <w:tblGrid>
        <w:gridCol w:w="4800"/>
        <w:gridCol w:w="4800"/>
      </w:tblGrid>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b/>
              </w:rPr>
              <w:t>Competencia profesional, personal y social</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b/>
              </w:rPr>
              <w:t>Resultados de aprendizaje relacionados</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a) Administrar sistemas operativos de servidor.</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l) Administrar usuarios según las especificaciones de explotación.</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RA1, RA3 y RA6</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m) Diagnosticar disfunciones y adoptar medidas correctivas.</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RA2, RA3, RA4 y RA6</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n) Mantener los recursos del área según cargas de trabajo y plan de mantenimiento.</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ñ) Efectuar consultas y comunicar información cuando sea conveniente.</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RA1, RA2, RA4,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o) Mantenerse actualizado ante cambios tecnológicos y organizativos.</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q) Resolver problemas y tomar decisiones dentro del ámbito de competencia.</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 Gestionar la carrera profesional y las oportunidades de aprendizaje.</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s) Participar en la vida económica, social y cultural con actitud crítica y responsable.</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RA1, RA2, RA3, RA4, RA5, RA6 y RA7</w:t>
            </w:r>
          </w:p>
        </w:tc>
      </w:tr>
    </w:tbl>
    <w:p>
      <w:pPr>
        <w:pStyle w:val="Heading2"/>
        <w:rPr/>
      </w:pPr>
      <w:bookmarkStart w:id="18" w:name="ASOIndice11"/>
      <w:r>
        <w:rPr/>
        <w:t xml:space="preserve"> </w:t>
      </w:r>
      <w:r>
        <w:rPr/>
        <w:t>Contenidos básicos de referencia del módulo</w:t>
      </w:r>
      <w:bookmarkEnd w:id="18"/>
    </w:p>
    <w:tbl>
      <w:tblPr>
        <w:tblW w:w="5000" w:type="pct"/>
        <w:jc w:val="left"/>
        <w:tblInd w:w="55" w:type="dxa"/>
        <w:tblLayout w:type="fixed"/>
        <w:tblCellMar>
          <w:top w:w="55" w:type="dxa"/>
          <w:left w:w="55" w:type="dxa"/>
          <w:bottom w:w="55" w:type="dxa"/>
          <w:right w:w="55" w:type="dxa"/>
        </w:tblCellMar>
        <w:tblLook w:noHBand="0" w:noVBand="1" w:firstColumn="1" w:lastRow="0" w:lastColumn="0" w:firstRow="1" w:val="04a0"/>
      </w:tblPr>
      <w:tblGrid>
        <w:gridCol w:w="13754"/>
      </w:tblGrid>
      <w:tr>
        <w:trPr/>
        <w:tc>
          <w:tcPr>
            <w:tcW w:w="13754" w:type="dxa"/>
            <w:tcBorders>
              <w:top w:val="single" w:sz="4" w:space="0" w:color="000000"/>
              <w:left w:val="single" w:sz="4" w:space="0" w:color="000000"/>
              <w:bottom w:val="single" w:sz="4" w:space="0" w:color="000000"/>
              <w:right w:val="single" w:sz="4" w:space="0" w:color="000000"/>
            </w:tcBorders>
            <w:shd w:color="auto" w:fill="808080" w:themeFill="background1" w:themeFillShade="80" w:val="clear"/>
          </w:tcPr>
          <w:p>
            <w:pPr>
              <w:pStyle w:val="Normal"/>
              <w:widowControl w:val="false"/>
              <w:spacing w:before="0" w:after="0"/>
              <w:jc w:val="center"/>
              <w:rPr>
                <w:b/>
                <w:bCs/>
                <w:color w:val="FFFFFF"/>
              </w:rPr>
            </w:pPr>
            <w:r>
              <w:rPr>
                <w:rFonts w:cs="Arial"/>
                <w:b/>
                <w:bCs/>
                <w:color w:val="FFFFFF"/>
                <w:sz w:val="24"/>
                <w:lang w:eastAsia="es-ES"/>
              </w:rPr>
              <w:t>Contenidos básicos de referencia</w:t>
            </w:r>
          </w:p>
        </w:tc>
      </w:tr>
      <w:tr>
        <w:trPr/>
        <w:tc>
          <w:tcPr>
            <w:tcW w:w="13754" w:type="dxa"/>
            <w:tcBorders>
              <w:left w:val="single" w:sz="4" w:space="0" w:color="000000"/>
              <w:bottom w:val="single" w:sz="4" w:space="0" w:color="000000"/>
              <w:right w:val="single" w:sz="4" w:space="0" w:color="000000"/>
            </w:tcBorders>
          </w:tcPr>
          <w:p>
            <w:pPr>
              <w:pStyle w:val="Contenidodelatabla"/>
              <w:spacing w:before="0" w:after="120"/>
              <w:jc w:val="left"/>
              <w:rPr/>
            </w:pPr>
            <w:r>
              <w:rPr/>
              <w:t>Administración de servicio de directorio:</w:t>
              <w:br/>
              <w:t>− Servicio de directorio. Definición, elementos y nomenclatura. LDAP.</w:t>
              <w:br/>
              <w:t>− Esquema del servicio de directorio.</w:t>
              <w:br/>
              <w:t>− Controladores de dominio.</w:t>
              <w:br/>
              <w:t>− Instalación, configuración y personalización del servicio de directorio.</w:t>
              <w:br/>
              <w:t>− Creación de dominios.</w:t>
              <w:br/>
              <w:t>− Objetos que administra un dominio: usuarios globales, grupos y equipos entre otros.</w:t>
              <w:br/>
              <w:t>− Herramientas gráficas de administración del servicio de directorio.</w:t>
              <w:br/>
              <w:t>Administración de procesos del sistema:</w:t>
              <w:br/>
              <w:t>− Procesos. Tipos. Estados. Estructura.</w:t>
              <w:br/>
              <w:t>− Hilos de ejecución.</w:t>
              <w:br/>
              <w:t>− Transiciones de estados.</w:t>
              <w:br/>
              <w:t>− Prioridades.</w:t>
              <w:br/>
              <w:t>− Gestión de los procesos del sistema. Línea de orden. Entorno gráfico.</w:t>
              <w:br/>
              <w:t>− Secuencia de arranque del sistema. Demonios.</w:t>
              <w:br/>
              <w:t>Información del sistema:</w:t>
              <w:br/>
              <w:t>− Estructura de directorios.</w:t>
              <w:br/>
              <w:t>− Búsqueda de información del sistema. Órdenes. Herramientas gráficas.</w:t>
              <w:br/>
              <w:t>− Sistema de archivos virtual.</w:t>
              <w:br/>
              <w:t>Instalación, configuración y uso de servicios de acceso y administración remota:</w:t>
              <w:br/>
              <w:t>− Terminales en modo texto.</w:t>
              <w:br/>
              <w:t>− Escritorio remoto.</w:t>
              <w:br/>
              <w:t>− Protocolos de acceso remoto y puertos implicados.</w:t>
              <w:br/>
              <w:t>− Servicios de acceso remoto del propio sistema operativo.</w:t>
              <w:br/>
              <w:t>− Herramientas gráficas externas para la administración remota.</w:t>
              <w:br/>
              <w:t>Administración de servidores de impresión:</w:t>
              <w:br/>
              <w:t>− Puertos y protocolos de impresión.</w:t>
              <w:br/>
              <w:t>− Sistemas de impresión.</w:t>
              <w:br/>
              <w:t>− Órdenes para la gestión de impresoras y trabajos.</w:t>
              <w:br/>
              <w:t>Integración de sistemas operativos en red libres y propietarios:</w:t>
              <w:br/>
              <w:t>− Descripción de escenarios heterogéneos.</w:t>
              <w:br/>
              <w:t>− Instalación, configuración y uso de servicios de red para compartir recursos.</w:t>
              <w:br/>
              <w:t>− Configuración de recursos compartidos en red.</w:t>
              <w:br/>
              <w:t>− Utilización de redes heterogéneas.</w:t>
              <w:br/>
              <w:t>Aplicación de lenguajes de «scripting» en sistemas operativos libres y propietarios:</w:t>
              <w:br/>
              <w:t>− Estructuras del lenguaje.</w:t>
              <w:br/>
              <w:t>− Creación y depuración de «scripts».</w:t>
              <w:br/>
              <w:t>− Interpretación de «scripts» del sistema. Adaptaciones.</w:t>
              <w:br/>
              <w:t>− Utilización de extensiones de comandos para tareas de administración.</w:t>
              <w:br/>
              <w:t>− «Scripts» para la administración de cuentas de usuario, procesos y servicios del sistema operativo.</w:t>
              <w:br/>
            </w:r>
          </w:p>
        </w:tc>
      </w:tr>
    </w:tbl>
    <w:p>
      <w:pPr>
        <w:sectPr>
          <w:headerReference w:type="even" r:id="rId20"/>
          <w:headerReference w:type="default" r:id="rId21"/>
          <w:headerReference w:type="first" r:id="rId22"/>
          <w:footerReference w:type="even" r:id="rId23"/>
          <w:footerReference w:type="default" r:id="rId24"/>
          <w:footerReference w:type="first" r:id="rId25"/>
          <w:footnotePr>
            <w:numFmt w:val="decimal"/>
          </w:footnotePr>
          <w:type w:val="nextPage"/>
          <w:pgSz w:orient="landscape" w:w="16838" w:h="11906"/>
          <w:pgMar w:left="1134" w:right="1950" w:gutter="0" w:header="709" w:top="1418" w:footer="709" w:bottom="1134"/>
          <w:pgNumType w:fmt="decimal"/>
          <w:formProt w:val="false"/>
          <w:textDirection w:val="lrTb"/>
          <w:docGrid w:type="default" w:linePitch="360" w:charSpace="12288"/>
        </w:sectPr>
      </w:pPr>
    </w:p>
    <w:p>
      <w:pPr>
        <w:pStyle w:val="Heading1"/>
        <w:pBdr>
          <w:top w:val="single" w:sz="12" w:space="1" w:color="C00000"/>
          <w:left w:val="single" w:sz="12" w:space="4" w:color="C00000"/>
          <w:bottom w:val="single" w:sz="12" w:space="1" w:color="C00000"/>
          <w:right w:val="single" w:sz="12" w:space="4" w:color="C00000"/>
        </w:pBdr>
        <w:rPr/>
      </w:pPr>
      <w:bookmarkStart w:id="19" w:name="ASOIndice12"/>
      <w:r>
        <w:rPr/>
        <w:t>METODOLOGÍA DIDÁCTICA</w:t>
      </w:r>
      <w:bookmarkEnd w:id="19"/>
    </w:p>
    <w:p>
      <w:pPr>
        <w:pStyle w:val="Normal"/>
        <w:rPr/>
      </w:pPr>
      <w:r>
        <w:rPr/>
        <w:t>El objetivo de la estrategia metodológica a seguir es lograr el aprendizaje significativo del alumnado. En este sentido, el/la docente planteará inicialmente situaciones y actividades que les resulten familiares al alumnado, para ir incrementando paulatinamente su complejidad. De este modo, se pretende conseguir la consecución de todos los resultados de aprendizaje expuestos en esta programación.</w:t>
      </w:r>
    </w:p>
    <w:p>
      <w:pPr>
        <w:pStyle w:val="Normal"/>
        <w:rPr/>
      </w:pPr>
      <w:r>
        <w:rPr/>
        <w:t>Otro pilar importante será la retroalimentación del/la docente a las soluciones dadas por el alumnado. En este caso, lo que se intentará es guiarles para que puedan plantearse otras posibles vías que les puedan llevar a un mayor conocimiento o desarrollo de la habilidad. Y si fuera necesario, a un replanteamiento de las partes que no han representado una solución óptima o más viable que la conseguida.</w:t>
      </w:r>
    </w:p>
    <w:p>
      <w:pPr>
        <w:pStyle w:val="Normal"/>
        <w:rPr/>
      </w:pPr>
      <w:r>
        <w:rPr/>
        <w:t>El módulo de Administración de Sistemas Operativos, por su trabajo directo con sistemas actuales, se ve muy afectado por el desfase tecnológico. Motivo por el cual, siempre que sea posible, se compaginará la consulta de información en Internet con conocimientos más generales, intentando que el alumnado conozca las herramientas más actualizadas posible.</w:t>
      </w:r>
    </w:p>
    <w:p>
      <w:pPr>
        <w:pStyle w:val="Normal"/>
        <w:rPr/>
      </w:pPr>
      <w:r>
        <w:rPr/>
      </w:r>
    </w:p>
    <w:p>
      <w:pPr>
        <w:pStyle w:val="Heading2"/>
        <w:rPr/>
      </w:pPr>
      <w:bookmarkStart w:id="20" w:name="ASOIndice13"/>
      <w:r>
        <w:rPr/>
        <w:t>Estrategias metodológicas</w:t>
      </w:r>
      <w:bookmarkEnd w:id="20"/>
    </w:p>
    <w:tbl>
      <w:tblPr>
        <w:tblStyle w:val="Tablaconcuadrcula"/>
        <w:tblW w:w="9345" w:type="dxa"/>
        <w:jc w:val="left"/>
        <w:tblInd w:w="113" w:type="dxa"/>
        <w:tblLayout w:type="fixed"/>
        <w:tblCellMar>
          <w:top w:w="0" w:type="dxa"/>
          <w:left w:w="108" w:type="dxa"/>
          <w:bottom w:w="0" w:type="dxa"/>
          <w:right w:w="108" w:type="dxa"/>
        </w:tblCellMar>
        <w:tblLook w:noHBand="1" w:noVBand="1" w:firstColumn="1" w:lastRow="0" w:lastColumn="0" w:firstRow="1" w:val="06a0"/>
      </w:tblPr>
      <w:tblGrid>
        <w:gridCol w:w="2805"/>
        <w:gridCol w:w="6540"/>
      </w:tblGrid>
      <w:tr>
        <w:trPr>
          <w:trHeight w:val="300" w:hRule="atLeast"/>
        </w:trPr>
        <w:tc>
          <w:tcPr>
            <w:tcW w:w="2805" w:type="dxa"/>
            <w:tcBorders/>
            <w:shd w:color="auto" w:fill="767171" w:themeFill="background2" w:themeFillShade="80" w:val="clear"/>
          </w:tcPr>
          <w:p>
            <w:pPr>
              <w:pStyle w:val="Normal"/>
              <w:widowControl w:val="false"/>
              <w:suppressAutoHyphens w:val="true"/>
              <w:spacing w:before="0" w:after="120"/>
              <w:jc w:val="center"/>
              <w:rPr>
                <w:b/>
                <w:bCs/>
                <w:color w:themeColor="background1" w:val="FFFFFF"/>
              </w:rPr>
            </w:pPr>
            <w:r>
              <w:rPr>
                <w:b/>
                <w:bCs/>
                <w:color w:themeColor="background1" w:val="FFFFFF"/>
                <w:sz w:val="20"/>
                <w:lang w:val="es-ES" w:bidi="hi-IN"/>
              </w:rPr>
              <w:t>Nombre</w:t>
            </w:r>
          </w:p>
        </w:tc>
        <w:tc>
          <w:tcPr>
            <w:tcW w:w="6540" w:type="dxa"/>
            <w:tcBorders/>
            <w:shd w:color="auto" w:fill="767171" w:themeFill="background2" w:themeFillShade="80" w:val="clear"/>
          </w:tcPr>
          <w:p>
            <w:pPr>
              <w:pStyle w:val="Normal"/>
              <w:widowControl w:val="false"/>
              <w:suppressAutoHyphens w:val="true"/>
              <w:spacing w:before="0" w:after="120"/>
              <w:jc w:val="center"/>
              <w:rPr>
                <w:b/>
                <w:bCs/>
                <w:color w:themeColor="background1" w:val="FFFFFF"/>
              </w:rPr>
            </w:pPr>
            <w:r>
              <w:rPr>
                <w:b/>
                <w:bCs/>
                <w:color w:themeColor="background1" w:val="FFFFFF"/>
                <w:sz w:val="20"/>
                <w:lang w:val="es-ES" w:bidi="hi-IN"/>
              </w:rPr>
              <w:t>Descripción</w:t>
            </w:r>
          </w:p>
        </w:tc>
      </w:tr>
      <w:tr>
        <w:trPr>
          <w:trHeight w:val="300" w:hRule="atLeast"/>
        </w:trPr>
        <w:tc>
          <w:tcPr>
            <w:tcW w:w="2805" w:type="dxa"/>
            <w:tcBorders/>
          </w:tcPr>
          <w:p>
            <w:pPr>
              <w:pStyle w:val="Normal"/>
              <w:widowControl w:val="false"/>
              <w:suppressAutoHyphens w:val="true"/>
              <w:spacing w:before="0" w:after="120"/>
              <w:rPr>
                <w:sz w:val="20"/>
                <w:lang w:val="es-ES" w:bidi="hi-IN"/>
              </w:rPr>
            </w:pPr>
            <w:r>
              <w:rPr>
                <w:sz w:val="20"/>
                <w:lang w:val="es-ES" w:bidi="hi-IN"/>
              </w:rPr>
              <w:t>Activación</w:t>
            </w:r>
          </w:p>
        </w:tc>
        <w:tc>
          <w:tcPr>
            <w:tcW w:w="6540" w:type="dxa"/>
            <w:tcBorders/>
          </w:tcPr>
          <w:p>
            <w:pPr>
              <w:pStyle w:val="Normal"/>
              <w:widowControl w:val="false"/>
              <w:suppressAutoHyphens w:val="true"/>
              <w:spacing w:before="0" w:after="120"/>
              <w:rPr>
                <w:sz w:val="20"/>
                <w:lang w:val="es-ES" w:bidi="hi-IN"/>
              </w:rPr>
            </w:pPr>
            <w:r>
              <w:rPr>
                <w:sz w:val="20"/>
                <w:lang w:val="es-ES" w:bidi="hi-IN"/>
              </w:rPr>
              <w:t>Realización de actividades para que el alumnado sea capaz de relacionar el contenido y competencias nuevas con contenidos anteriores y competencias básicas.</w:t>
            </w:r>
          </w:p>
        </w:tc>
      </w:tr>
      <w:tr>
        <w:trPr>
          <w:trHeight w:val="300" w:hRule="atLeast"/>
        </w:trPr>
        <w:tc>
          <w:tcPr>
            <w:tcW w:w="2805" w:type="dxa"/>
            <w:tcBorders/>
          </w:tcPr>
          <w:p>
            <w:pPr>
              <w:pStyle w:val="Normal"/>
              <w:widowControl w:val="false"/>
              <w:suppressAutoHyphens w:val="true"/>
              <w:spacing w:before="0" w:after="120"/>
              <w:rPr>
                <w:sz w:val="20"/>
                <w:lang w:val="es-ES" w:bidi="hi-IN"/>
              </w:rPr>
            </w:pPr>
            <w:r>
              <w:rPr>
                <w:sz w:val="20"/>
                <w:lang w:val="es-ES" w:bidi="hi-IN"/>
              </w:rPr>
              <w:t>Aprendizaje basado en problemas</w:t>
            </w:r>
          </w:p>
        </w:tc>
        <w:tc>
          <w:tcPr>
            <w:tcW w:w="6540" w:type="dxa"/>
            <w:tcBorders/>
          </w:tcPr>
          <w:p>
            <w:pPr>
              <w:pStyle w:val="Normal"/>
              <w:widowControl w:val="false"/>
              <w:suppressAutoHyphens w:val="true"/>
              <w:spacing w:before="0" w:after="120"/>
              <w:rPr>
                <w:sz w:val="20"/>
                <w:lang w:val="es-ES" w:bidi="hi-IN"/>
              </w:rPr>
            </w:pPr>
            <w:r>
              <w:rPr>
                <w:sz w:val="20"/>
                <w:lang w:val="es-ES" w:bidi="hi-IN"/>
              </w:rPr>
              <w:t>Planteado un problema, el alumnado debe investigar y trabajar para hallar una solución. Para ello, el alumnado debe razonar y aplicar su conocimiento.</w:t>
            </w:r>
          </w:p>
        </w:tc>
      </w:tr>
      <w:tr>
        <w:trPr>
          <w:trHeight w:val="300" w:hRule="atLeast"/>
        </w:trPr>
        <w:tc>
          <w:tcPr>
            <w:tcW w:w="2805" w:type="dxa"/>
            <w:tcBorders/>
          </w:tcPr>
          <w:p>
            <w:pPr>
              <w:pStyle w:val="Normal"/>
              <w:widowControl w:val="false"/>
              <w:suppressAutoHyphens w:val="true"/>
              <w:spacing w:before="0" w:after="120"/>
              <w:rPr>
                <w:sz w:val="20"/>
                <w:lang w:val="es-ES" w:bidi="hi-IN"/>
              </w:rPr>
            </w:pPr>
            <w:r>
              <w:rPr>
                <w:sz w:val="20"/>
                <w:lang w:val="es-ES" w:bidi="hi-IN"/>
              </w:rPr>
              <w:t>Demostración</w:t>
            </w:r>
          </w:p>
        </w:tc>
        <w:tc>
          <w:tcPr>
            <w:tcW w:w="6540" w:type="dxa"/>
            <w:tcBorders/>
          </w:tcPr>
          <w:p>
            <w:pPr>
              <w:pStyle w:val="Normal"/>
              <w:widowControl w:val="false"/>
              <w:suppressAutoHyphens w:val="true"/>
              <w:spacing w:before="0" w:after="120"/>
              <w:rPr>
                <w:sz w:val="20"/>
                <w:lang w:val="es-ES" w:bidi="hi-IN"/>
              </w:rPr>
            </w:pPr>
            <w:r>
              <w:rPr>
                <w:sz w:val="20"/>
                <w:lang w:val="es-ES" w:bidi="hi-IN"/>
              </w:rPr>
              <w:t>Presentación de actividades y tareas en las que el alumnado asiste a una demostración teórico-práctica del conocimiento y se ejemplifican las destrezas y técnicas que después aplicará el alumnado. La demostración puede hacerse: por el profesorado, por profesionales, entre iguales, etc.</w:t>
            </w:r>
          </w:p>
        </w:tc>
      </w:tr>
    </w:tbl>
    <w:p>
      <w:pPr>
        <w:pStyle w:val="Normal"/>
        <w:jc w:val="left"/>
        <w:rPr/>
      </w:pPr>
      <w:r>
        <w:rPr/>
      </w:r>
    </w:p>
    <w:p>
      <w:pPr>
        <w:pStyle w:val="Heading2"/>
        <w:rPr/>
      </w:pPr>
      <w:bookmarkStart w:id="21" w:name="ASOIndice14"/>
      <w:r>
        <w:rPr/>
        <w:t>Líneas pedagógicas del centro</w:t>
      </w:r>
      <w:bookmarkEnd w:id="21"/>
    </w:p>
    <w:p>
      <w:pPr>
        <w:pStyle w:val="Normal"/>
        <w:rPr/>
      </w:pPr>
      <w:r>
        <w:rPr/>
        <w:t>La presente propuesta didáctica está en línea de las siguientes líneas pedagógicas del centro:  </w:t>
      </w:r>
    </w:p>
    <w:p>
      <w:pPr>
        <w:pStyle w:val="Normal"/>
        <w:tabs>
          <w:tab w:val="clear" w:pos="708"/>
          <w:tab w:val="left" w:pos="720" w:leader="none"/>
        </w:tabs>
        <w:rPr/>
      </w:pPr>
      <w:r>
        <w:rPr/>
        <w:t>Enfoque inclusivo. Asegurar que todo el alumnado tenga acceso a una educación de calidad, sin discriminación ni barreras, y que puedan desarrollarse plenamente como ciudadanos.   </w:t>
      </w:r>
    </w:p>
    <w:p>
      <w:pPr>
        <w:pStyle w:val="Normal"/>
        <w:tabs>
          <w:tab w:val="clear" w:pos="708"/>
          <w:tab w:val="left" w:pos="720" w:leader="none"/>
        </w:tabs>
        <w:rPr/>
      </w:pPr>
      <w:r>
        <w:rPr/>
        <w:t>Atención a la diversidad del alumnado. Considerar diferentes ritmos de aprendizaje, intereses y motivaciones, incluyendo actividades de refuerzo y ampliación.   </w:t>
      </w:r>
    </w:p>
    <w:p>
      <w:pPr>
        <w:pStyle w:val="Normal"/>
        <w:tabs>
          <w:tab w:val="clear" w:pos="708"/>
          <w:tab w:val="left" w:pos="720" w:leader="none"/>
        </w:tabs>
        <w:rPr/>
      </w:pPr>
      <w:r>
        <w:rPr/>
        <w:t>Programación cíclica. Ser coherentes y dar continuidad al proceso de enseñanza-aprendizaje, integrando los objetivos generales de la etapa/ciclo.   </w:t>
      </w:r>
    </w:p>
    <w:p>
      <w:pPr>
        <w:pStyle w:val="Normal"/>
        <w:tabs>
          <w:tab w:val="clear" w:pos="708"/>
          <w:tab w:val="left" w:pos="720" w:leader="none"/>
        </w:tabs>
        <w:rPr/>
      </w:pPr>
      <w:r>
        <w:rPr/>
        <w:t>Aprendizaje competencial. Desde la perspectiva del desarrollo integral del alumnado, formamos a los estudiantes no solo con conocimientos teóricos, sino también en habilidades prácticas y actitudes que les permita enfrentarse con éxito a situaciones reales de la vida.   </w:t>
      </w:r>
    </w:p>
    <w:p>
      <w:pPr>
        <w:pStyle w:val="Normal"/>
        <w:tabs>
          <w:tab w:val="clear" w:pos="708"/>
          <w:tab w:val="left" w:pos="720" w:leader="none"/>
        </w:tabs>
        <w:rPr/>
      </w:pPr>
      <w:r>
        <w:rPr/>
        <w:t>Metodología colaborativa. Como medio para potenciar habilidades sociales, el trabajo en equipo y la construcción de conocimiento a través del intercambio de ideas y experiencias.   </w:t>
      </w:r>
    </w:p>
    <w:p>
      <w:pPr>
        <w:pStyle w:val="Normal"/>
        <w:tabs>
          <w:tab w:val="clear" w:pos="708"/>
          <w:tab w:val="left" w:pos="720" w:leader="none"/>
        </w:tabs>
        <w:rPr/>
      </w:pPr>
      <w:r>
        <w:rPr/>
        <w:t>Proyectos intermodulares. Enriquecer la experiencia de aprendizaje conectando diferentes áreas de conocimiento y aplicando competencias de manera integrada.   </w:t>
      </w:r>
    </w:p>
    <w:p>
      <w:pPr>
        <w:pStyle w:val="Normal"/>
        <w:tabs>
          <w:tab w:val="clear" w:pos="708"/>
          <w:tab w:val="left" w:pos="720" w:leader="none"/>
        </w:tabs>
        <w:rPr/>
      </w:pPr>
      <w:r>
        <w:rPr/>
        <w:t>Uso de TICs como recurso y herramienta de aprendizaje. Preparar al alumnado para enfrentar los cambios tecnológicos en la sociedad y el mundo laboral.   </w:t>
      </w:r>
    </w:p>
    <w:p>
      <w:pPr>
        <w:pStyle w:val="Normal"/>
        <w:tabs>
          <w:tab w:val="clear" w:pos="708"/>
          <w:tab w:val="left" w:pos="720" w:leader="none"/>
        </w:tabs>
        <w:rPr/>
      </w:pPr>
      <w:r>
        <w:rPr/>
        <w:t>Fomentar y desarrollar dotes comunicativas en diferentes idiomas atendiendo al proyecto lingüístico del centro.   </w:t>
      </w:r>
    </w:p>
    <w:p>
      <w:pPr>
        <w:pStyle w:val="Normal"/>
        <w:tabs>
          <w:tab w:val="clear" w:pos="708"/>
          <w:tab w:val="left" w:pos="720" w:leader="none"/>
        </w:tabs>
        <w:rPr/>
      </w:pPr>
      <w:r>
        <w:rPr/>
        <w:t>Orientar al alumnado para que se planteen retos ambiciosos tanto en su futuro formativo como profesional, incorporando perspectivas de genero (mujeres STEM)   </w:t>
      </w:r>
    </w:p>
    <w:p>
      <w:pPr>
        <w:pStyle w:val="Normal"/>
        <w:tabs>
          <w:tab w:val="clear" w:pos="708"/>
          <w:tab w:val="left" w:pos="720" w:leader="none"/>
        </w:tabs>
        <w:rPr>
          <w:color w:themeColor="background2" w:themeShade="bf" w:val="AEAAAA"/>
        </w:rPr>
      </w:pPr>
      <w:r>
        <w:rPr/>
        <w:t>Desarrollar hábitos, actitudes y valores necesarios para fomentar acciones emprendedoras y de comprensión de lo empresarial como factor de mejora personal y de cooperación al bienestar colectivo.  </w:t>
      </w:r>
      <w:r>
        <w:rPr>
          <w:color w:themeColor="background2" w:themeShade="bf" w:val="AEAAAA"/>
        </w:rPr>
        <w:t> </w:t>
      </w:r>
    </w:p>
    <w:p>
      <w:pPr>
        <w:pStyle w:val="Normal"/>
        <w:rPr/>
      </w:pPr>
      <w:r>
        <w:rPr/>
      </w:r>
    </w:p>
    <w:p>
      <w:pPr>
        <w:pStyle w:val="Normal"/>
        <w:rPr/>
      </w:pPr>
      <w:r>
        <w:rPr/>
      </w:r>
    </w:p>
    <w:p>
      <w:pPr>
        <w:pStyle w:val="Heading2"/>
        <w:rPr/>
      </w:pPr>
      <w:bookmarkStart w:id="22" w:name="ASOIndice15"/>
      <w:r>
        <w:rPr/>
        <w:t>Recursos</w:t>
      </w:r>
      <w:bookmarkEnd w:id="22"/>
    </w:p>
    <w:p>
      <w:pPr>
        <w:pStyle w:val="Normal"/>
        <w:rPr>
          <w:color w:val="808080"/>
        </w:rPr>
      </w:pPr>
      <w:r>
        <w:rPr/>
        <w:t>Manuales y apuntes alojados en el Aules del módulo</w:t>
      </w:r>
      <w:r>
        <w:br w:type="page"/>
      </w:r>
    </w:p>
    <w:p>
      <w:pPr>
        <w:pStyle w:val="Normal"/>
        <w:spacing w:before="0" w:after="120"/>
        <w:rPr/>
      </w:pPr>
      <w:r>
        <w:rPr/>
      </w:r>
    </w:p>
    <w:p>
      <w:pPr>
        <w:pStyle w:val="Heading1"/>
        <w:pBdr>
          <w:top w:val="single" w:sz="12" w:space="1" w:color="C00000"/>
          <w:left w:val="single" w:sz="12" w:space="4" w:color="C00000"/>
          <w:bottom w:val="single" w:sz="12" w:space="1" w:color="C00000"/>
          <w:right w:val="single" w:sz="12" w:space="4" w:color="C00000"/>
        </w:pBdr>
        <w:rPr/>
      </w:pPr>
      <w:bookmarkStart w:id="23" w:name="ASOIndice16"/>
      <w:r>
        <w:rPr/>
        <w:t>UNIDADES</w:t>
      </w:r>
      <w:bookmarkEnd w:id="23"/>
    </w:p>
    <w:tbl>
      <w:tblPr>
        <w:tblW w:w="6794" w:type="dxa"/>
        <w:jc w:val="center"/>
        <w:tblInd w:w="0" w:type="dxa"/>
        <w:tblLayout w:type="fixed"/>
        <w:tblCellMar>
          <w:top w:w="0" w:type="dxa"/>
          <w:left w:w="105" w:type="dxa"/>
          <w:bottom w:w="0" w:type="dxa"/>
          <w:right w:w="105" w:type="dxa"/>
        </w:tblCellMar>
        <w:tblLook w:noHBand="0" w:noVBand="1" w:firstColumn="1" w:lastRow="0" w:lastColumn="0" w:firstRow="1" w:val="04a0"/>
      </w:tblPr>
      <w:tblGrid>
        <w:gridCol w:w="3818"/>
        <w:gridCol w:w="424"/>
        <w:gridCol w:w="426"/>
        <w:gridCol w:w="424"/>
        <w:gridCol w:w="426"/>
        <w:gridCol w:w="424"/>
        <w:gridCol w:w="426"/>
        <w:gridCol w:w="426"/>
      </w:tblGrid>
      <w:tr>
        <w:trPr>
          <w:trHeight w:val="300" w:hRule="atLeast"/>
        </w:trPr>
        <w:tc>
          <w:tcPr>
            <w:tcW w:w="3818" w:type="dxa"/>
            <w:vMerge w:val="restart"/>
            <w:tcBorders>
              <w:top w:val="single" w:sz="8" w:space="0" w:color="000000"/>
              <w:left w:val="single" w:sz="8" w:space="0" w:color="000000"/>
              <w:bottom w:val="single" w:sz="8" w:space="0" w:color="000000"/>
              <w:right w:val="single" w:sz="8" w:space="0" w:color="000000"/>
            </w:tcBorders>
            <w:shd w:color="auto" w:fill="808080" w:themeFill="background1" w:themeFillShade="80" w:val="clear"/>
            <w:vAlign w:val="center"/>
          </w:tcPr>
          <w:p>
            <w:pPr>
              <w:pStyle w:val="Normal"/>
              <w:widowControl w:val="false"/>
              <w:spacing w:before="0" w:after="0"/>
              <w:jc w:val="center"/>
              <w:rPr>
                <w:rFonts w:eastAsia="Arial" w:cs="Arial"/>
                <w:color w:val="FFFFFF"/>
              </w:rPr>
            </w:pPr>
            <w:r>
              <w:rPr>
                <w:rFonts w:eastAsia="Arial" w:cs="Arial"/>
                <w:color w:val="FFFFFF"/>
              </w:rPr>
            </w:r>
          </w:p>
          <w:p>
            <w:pPr>
              <w:pStyle w:val="Normal"/>
              <w:widowControl w:val="false"/>
              <w:spacing w:before="0" w:after="120"/>
              <w:jc w:val="center"/>
              <w:rPr>
                <w:rFonts w:eastAsia="Arial" w:cs="Arial"/>
                <w:b/>
                <w:bCs/>
                <w:color w:val="FFFFFF"/>
                <w:sz w:val="16"/>
                <w:szCs w:val="16"/>
              </w:rPr>
            </w:pPr>
            <w:r>
              <w:rPr>
                <w:rFonts w:eastAsia="Arial" w:cs="Arial"/>
                <w:b/>
                <w:bCs/>
                <w:color w:val="FFFFFF"/>
                <w:sz w:val="16"/>
                <w:szCs w:val="16"/>
              </w:rPr>
              <w:t>UNIDADES</w:t>
            </w:r>
          </w:p>
        </w:tc>
        <w:tc>
          <w:tcPr>
            <w:tcW w:w="2976" w:type="dxa"/>
            <w:gridSpan w:val="7"/>
            <w:tcBorders>
              <w:top w:val="single" w:sz="6" w:space="0" w:color="000000"/>
              <w:left w:val="single" w:sz="8"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pPr>
            <w:r>
              <w:rPr>
                <w:rFonts w:eastAsia="Arial" w:cs="Arial"/>
                <w:color w:themeColor="background1" w:val="FFFFFF"/>
                <w:sz w:val="16"/>
                <w:szCs w:val="16"/>
              </w:rPr>
              <w:t xml:space="preserve"> </w:t>
            </w:r>
            <w:r>
              <w:rPr>
                <w:rFonts w:eastAsia="Arial" w:cs="Arial"/>
                <w:b/>
                <w:bCs/>
                <w:color w:themeColor="background1" w:val="FFFFFF"/>
                <w:sz w:val="16"/>
                <w:szCs w:val="16"/>
              </w:rPr>
              <w:t>RESULTADOS DE APRENDIZAJE</w:t>
            </w:r>
          </w:p>
        </w:tc>
      </w:tr>
      <w:tr>
        <w:trPr>
          <w:trHeight w:val="300" w:hRule="atLeast"/>
        </w:trPr>
        <w:tc>
          <w:tcPr>
            <w:tcW w:w="3818"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120"/>
              <w:rPr/>
            </w:pPr>
            <w:r>
              <w:rPr/>
            </w:r>
          </w:p>
        </w:tc>
        <w:tc>
          <w:tcPr>
            <w:tcW w:w="424"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themeColor="background1" w:val="FFFFFF"/>
                <w:sz w:val="16"/>
                <w:szCs w:val="16"/>
              </w:rPr>
            </w:pPr>
            <w:r>
              <w:rPr>
                <w:rFonts w:eastAsia="Arial" w:cs="Arial"/>
                <w:color w:themeColor="background1" w:val="FFFFFF"/>
                <w:sz w:val="16"/>
                <w:szCs w:val="16"/>
              </w:rPr>
              <w:t>1</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themeColor="background1" w:val="FFFFFF"/>
                <w:sz w:val="16"/>
                <w:szCs w:val="16"/>
              </w:rPr>
            </w:pPr>
            <w:r>
              <w:rPr>
                <w:rFonts w:eastAsia="Arial" w:cs="Arial"/>
                <w:color w:themeColor="background1" w:val="FFFFFF"/>
                <w:sz w:val="16"/>
                <w:szCs w:val="16"/>
              </w:rPr>
              <w:t>2</w:t>
            </w:r>
          </w:p>
        </w:tc>
        <w:tc>
          <w:tcPr>
            <w:tcW w:w="424"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themeColor="background1" w:val="FFFFFF"/>
                <w:sz w:val="16"/>
                <w:szCs w:val="16"/>
              </w:rPr>
            </w:pPr>
            <w:r>
              <w:rPr>
                <w:rFonts w:eastAsia="Arial" w:cs="Arial"/>
                <w:color w:themeColor="background1" w:val="FFFFFF"/>
                <w:sz w:val="16"/>
                <w:szCs w:val="16"/>
              </w:rPr>
              <w:t>3</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themeColor="background1" w:val="FFFFFF"/>
                <w:sz w:val="16"/>
                <w:szCs w:val="16"/>
              </w:rPr>
            </w:pPr>
            <w:r>
              <w:rPr>
                <w:rFonts w:eastAsia="Arial" w:cs="Arial"/>
                <w:color w:themeColor="background1" w:val="FFFFFF"/>
                <w:sz w:val="16"/>
                <w:szCs w:val="16"/>
              </w:rPr>
              <w:t>4</w:t>
            </w:r>
          </w:p>
        </w:tc>
        <w:tc>
          <w:tcPr>
            <w:tcW w:w="424"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themeColor="background1" w:val="FFFFFF"/>
                <w:sz w:val="16"/>
                <w:szCs w:val="16"/>
              </w:rPr>
            </w:pPr>
            <w:r>
              <w:rPr>
                <w:rFonts w:eastAsia="Arial" w:cs="Arial"/>
                <w:color w:themeColor="background1" w:val="FFFFFF"/>
                <w:sz w:val="16"/>
                <w:szCs w:val="16"/>
              </w:rPr>
              <w:t>5</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themeColor="background1" w:val="FFFFFF"/>
                <w:sz w:val="16"/>
                <w:szCs w:val="16"/>
              </w:rPr>
            </w:pPr>
            <w:r>
              <w:rPr>
                <w:rFonts w:eastAsia="Arial" w:cs="Arial"/>
                <w:color w:themeColor="background1" w:val="FFFFFF"/>
                <w:sz w:val="16"/>
                <w:szCs w:val="16"/>
              </w:rPr>
              <w:t>6</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themeColor="background1" w:val="FFFFFF"/>
                <w:sz w:val="16"/>
                <w:szCs w:val="16"/>
              </w:rPr>
            </w:pPr>
            <w:r>
              <w:rPr>
                <w:rFonts w:eastAsia="Arial" w:cs="Arial"/>
                <w:color w:themeColor="background1" w:val="FFFFFF"/>
                <w:sz w:val="16"/>
                <w:szCs w:val="16"/>
              </w:rPr>
              <w:t>7</w:t>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UD1: Aplicación de lenguajes de «scripting» en sistemas operativos libres y propietarios:</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UD2: Administración de Procesos del Sistema.</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UD3: Administración de servicio de directorio</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UD4: Integración de sistemas operativos en red</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UD5: Automatización de tareas y monitorización del sistema</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UD6: Servicios de acceso y administración remota.</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UD7: Administración de servidores de impresión.</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bl>
    <w:p>
      <w:pPr>
        <w:pStyle w:val="Normal"/>
        <w:suppressAutoHyphens w:val="false"/>
        <w:spacing w:lineRule="auto" w:line="259" w:before="0" w:after="160"/>
        <w:jc w:val="left"/>
        <w:rPr/>
      </w:pPr>
      <w:r>
        <w:rPr/>
      </w:r>
    </w:p>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300"/>
        <w:gridCol w:w="938"/>
      </w:tblGrid>
      <w:tr>
        <w:trPr>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1</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rPr/>
            </w:pPr>
            <w:r>
              <w:rPr>
                <w:rFonts w:eastAsia="Arial" w:cs="Arial"/>
                <w:color w:themeColor="text1" w:val="000000"/>
                <w:szCs w:val="22"/>
              </w:rPr>
              <w:t>Aplicación de lenguajes de «scripting» en sistemas operativos libres y propietarios:</w:t>
            </w:r>
          </w:p>
        </w:tc>
        <w:tc>
          <w:tcPr>
            <w:tcW w:w="1300"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Horas de aula (propuesta 2026/2027)</w:t>
            </w:r>
          </w:p>
        </w:tc>
        <w:tc>
          <w:tcPr>
            <w:tcW w:w="93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t>24</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7. Utiliza lenguajes de guiones en sistemas operativos, describiendo su aplicación y administrando servicios del sistema operativo</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Fonts w:cs="Arial"/>
                <w:color w:themeColor="text1" w:val="000000"/>
                <w:lang w:eastAsia="es-ES"/>
              </w:rPr>
              <w:t>RA7.a. Se han utilizado y combinado las estructuras del lenguaje para crear guiones</w:t>
            </w:r>
          </w:p>
          <w:p>
            <w:pPr>
              <w:pStyle w:val="Normal"/>
              <w:widowControl w:val="false"/>
              <w:spacing w:lineRule="auto" w:line="276" w:before="0" w:after="0"/>
              <w:rPr/>
            </w:pPr>
            <w:r>
              <w:rPr>
                <w:rFonts w:cs="Arial"/>
                <w:color w:themeColor="text1" w:val="000000"/>
                <w:lang w:eastAsia="es-ES"/>
              </w:rPr>
              <w:t>RA7.b. Se han utilizado herramientas para depurar errores sintácticos y de ejecución</w:t>
            </w:r>
          </w:p>
          <w:p>
            <w:pPr>
              <w:pStyle w:val="Normal"/>
              <w:widowControl w:val="false"/>
              <w:spacing w:lineRule="auto" w:line="276" w:before="0" w:after="0"/>
              <w:rPr/>
            </w:pPr>
            <w:r>
              <w:rPr>
                <w:rFonts w:cs="Arial"/>
                <w:color w:themeColor="text1" w:val="000000"/>
                <w:lang w:eastAsia="es-ES"/>
              </w:rPr>
              <w:t>RA7.c. Se han interpretado guiones de configuración del sistema operativo</w:t>
            </w:r>
          </w:p>
          <w:p>
            <w:pPr>
              <w:pStyle w:val="Normal"/>
              <w:widowControl w:val="false"/>
              <w:spacing w:lineRule="auto" w:line="276" w:before="0" w:after="0"/>
              <w:rPr/>
            </w:pPr>
            <w:r>
              <w:rPr>
                <w:rFonts w:cs="Arial"/>
                <w:color w:themeColor="text1" w:val="000000"/>
                <w:lang w:eastAsia="es-ES"/>
              </w:rPr>
              <w:t>RA7.d. Se han realizado cambios y adaptaciones de guiones del sistema</w:t>
            </w:r>
          </w:p>
          <w:p>
            <w:pPr>
              <w:pStyle w:val="Normal"/>
              <w:widowControl w:val="false"/>
              <w:spacing w:lineRule="auto" w:line="276" w:before="0" w:after="0"/>
              <w:rPr/>
            </w:pPr>
            <w:r>
              <w:rPr>
                <w:rFonts w:cs="Arial"/>
                <w:color w:themeColor="text1" w:val="000000"/>
                <w:lang w:eastAsia="es-ES"/>
              </w:rPr>
              <w:t>RA7.e. Se han creado y probado guiones de administración de servicios</w:t>
            </w:r>
          </w:p>
          <w:p>
            <w:pPr>
              <w:pStyle w:val="Normal"/>
              <w:widowControl w:val="false"/>
              <w:spacing w:lineRule="auto" w:line="276" w:before="0" w:after="0"/>
              <w:rPr/>
            </w:pPr>
            <w:r>
              <w:rPr>
                <w:rFonts w:cs="Arial"/>
                <w:color w:themeColor="text1" w:val="000000"/>
                <w:lang w:eastAsia="es-ES"/>
              </w:rPr>
              <w:t>RA7.f. Se han creado y probado guiones de automatización de tareas</w:t>
            </w:r>
          </w:p>
          <w:p>
            <w:pPr>
              <w:pStyle w:val="Normal"/>
              <w:widowControl w:val="false"/>
              <w:spacing w:lineRule="auto" w:line="276" w:before="0" w:after="0"/>
              <w:rPr/>
            </w:pPr>
            <w:r>
              <w:rPr>
                <w:rFonts w:cs="Arial"/>
                <w:color w:themeColor="text1" w:val="000000"/>
                <w:lang w:eastAsia="es-ES"/>
              </w:rPr>
              <w:t>RA7.g. Se han implantado guiones en sistemas libres y propietarios</w:t>
            </w:r>
          </w:p>
          <w:p>
            <w:pPr>
              <w:pStyle w:val="Normal"/>
              <w:widowControl w:val="false"/>
              <w:spacing w:lineRule="auto" w:line="276" w:before="0" w:after="0"/>
              <w:rPr/>
            </w:pPr>
            <w:r>
              <w:rPr>
                <w:rFonts w:cs="Arial"/>
                <w:color w:themeColor="text1" w:val="000000"/>
                <w:lang w:eastAsia="es-ES"/>
              </w:rPr>
              <w:t>RA7.h. Se han consultado y utilizado librerías de funciones</w:t>
            </w:r>
          </w:p>
          <w:p>
            <w:pPr>
              <w:pStyle w:val="Normal"/>
              <w:widowControl w:val="false"/>
              <w:spacing w:lineRule="auto" w:line="276" w:before="0" w:after="0"/>
              <w:rPr/>
            </w:pPr>
            <w:r>
              <w:rPr>
                <w:rFonts w:cs="Arial"/>
                <w:color w:themeColor="text1" w:val="000000"/>
                <w:lang w:eastAsia="es-ES"/>
              </w:rPr>
              <w:t>RA7.i. Se han documentado los guiones creados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14. Gestionar y/o realizar el mantenimiento de los recursos de su área (programando y verificando su cumplimiento), en función de las cargas de trabajo y el plan de mantenimiento.</w:t>
              <w:br/>
              <w:t>16. Mantener el espíritu de innovación y actualización en el ámbito de su trabajo para adaptarse a los cambios tecnológicos y organizativos de su entorno profesional.</w:t>
              <w:br/>
              <w:t>18. Resolver problemas y tomar decisiones individuales, siguiendo las normas y procedimientos establecidos, definidos dentro del ámbito de su competencia.</w:t>
            </w:r>
          </w:p>
          <w:p>
            <w:pPr>
              <w:pStyle w:val="Normal"/>
              <w:widowControl w:val="false"/>
              <w:spacing w:before="0" w:after="0"/>
              <w:rPr/>
            </w:pPr>
            <w:r>
              <w:rPr/>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1.Analizar la estructura del software de base, comparando las características y prestaciones de sistemas libres y propietarios, para administrar sistemas operativos de servidor.</w:t>
              <w:br/>
              <w:t>18. Identificar formas de intervención en situaciones colectivas, analizando el proceso de toma de decisiones y efectuando consultas para liderar las mismas.</w:t>
            </w:r>
          </w:p>
          <w:p>
            <w:pPr>
              <w:pStyle w:val="Normal"/>
              <w:widowControl w:val="false"/>
              <w:spacing w:before="0" w:after="0"/>
              <w:rPr/>
            </w:pPr>
            <w:r>
              <w:rPr/>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Búsqueda de manuales de schellscript y comandos Linux.</w:t>
              <w:br/>
              <w:t>Búsqueda de manuales de powershell y comandos wondows.</w:t>
            </w:r>
          </w:p>
          <w:p>
            <w:pPr>
              <w:pStyle w:val="Normal"/>
              <w:widowControl w:val="false"/>
              <w:spacing w:before="0" w:after="0"/>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Repaso de comandos Linux.</w:t>
              <w:br/>
              <w:t>Repaso de comandos Windows.</w:t>
            </w:r>
          </w:p>
          <w:p>
            <w:pPr>
              <w:pStyle w:val="Normal"/>
              <w:widowControl w:val="false"/>
              <w:spacing w:before="0" w:after="0"/>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Creación primeros scripts de nivel bajo.</w:t>
              <w:br/>
              <w:t>Depuración de scripts.</w:t>
            </w:r>
          </w:p>
          <w:p>
            <w:pPr>
              <w:pStyle w:val="Normal"/>
              <w:widowControl w:val="false"/>
              <w:spacing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Preparar para el nodo Proxmox dos scripts Bash: uno de inventario del servidor y otro de copia del servicio. Probar una ejecución correcta y un caso de error, verificar la restauración y documentar los resultados en la memoria del proyecto.</w:t>
            </w:r>
          </w:p>
          <w:p>
            <w:pPr>
              <w:pStyle w:val="Normal"/>
              <w:widowControl w:val="false"/>
              <w:spacing w:lineRule="auto" w:line="276" w:before="0" w:after="0"/>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Creación de scripts y comandos anidados.</w:t>
            </w:r>
          </w:p>
          <w:p>
            <w:pPr>
              <w:pStyle w:val="Normal"/>
              <w:widowControl w:val="false"/>
              <w:spacing w:lineRule="auto" w:line="276" w:before="0" w:after="0"/>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Creación de scripts avanzados, usando estructura de datos y funciones.</w:t>
            </w:r>
          </w:p>
          <w:p>
            <w:pPr>
              <w:pStyle w:val="Normal"/>
              <w:widowControl w:val="false"/>
              <w:spacing w:lineRule="auto" w:line="276"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t>Corrección de las prácticas y pruebas no superadas.</w:t>
              <w:br/>
              <w:t>Si se han facilitado las soluciones ,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Búsqueda de manuales avanzados de shellscript y comandos Linux.</w:t>
              <w:br/>
              <w:t>Búsqueda de manuales avanzados de powershell y comandos Windows.</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Enlaces y apuntes en Aules</w:t>
            </w:r>
          </w:p>
          <w:p>
            <w:pPr>
              <w:pStyle w:val="Normal"/>
              <w:widowControl w:val="false"/>
              <w:spacing w:lineRule="auto" w:line="276" w:before="0" w:after="0"/>
              <w:rPr/>
            </w:pPr>
            <w:r>
              <w:rPr/>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300"/>
        <w:gridCol w:w="938"/>
      </w:tblGrid>
      <w:tr>
        <w:trPr>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2</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rPr/>
            </w:pPr>
            <w:r>
              <w:rPr>
                <w:rFonts w:eastAsia="Arial" w:cs="Arial"/>
                <w:color w:themeColor="text1" w:val="000000"/>
                <w:szCs w:val="22"/>
              </w:rPr>
              <w:t>Administración de Procesos del Sistema.</w:t>
            </w:r>
          </w:p>
        </w:tc>
        <w:tc>
          <w:tcPr>
            <w:tcW w:w="1300"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Horas de aula (propuesta 2026/2027)</w:t>
            </w:r>
          </w:p>
        </w:tc>
        <w:tc>
          <w:tcPr>
            <w:tcW w:w="93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t>8</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2. Administra procesos del sistema describiéndolos y aplicando criterios de seguridad y eficiencia</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Fonts w:cs="Arial"/>
                <w:color w:themeColor="text1" w:val="000000"/>
                <w:lang w:eastAsia="es-ES"/>
              </w:rPr>
              <w:t>RA2.a. Se han descrito el concepto de proceso del sistema, tipos, estados y ciclo de vida</w:t>
            </w:r>
          </w:p>
          <w:p>
            <w:pPr>
              <w:pStyle w:val="Normal"/>
              <w:widowControl w:val="false"/>
              <w:spacing w:lineRule="auto" w:line="276" w:before="0" w:after="0"/>
              <w:rPr/>
            </w:pPr>
            <w:r>
              <w:rPr>
                <w:rFonts w:cs="Arial"/>
                <w:color w:themeColor="text1" w:val="000000"/>
                <w:lang w:eastAsia="es-ES"/>
              </w:rPr>
              <w:t>RA2.b. Se han utilizado interrupciones y excepciones para describir los eventos internos del procesador</w:t>
            </w:r>
          </w:p>
          <w:p>
            <w:pPr>
              <w:pStyle w:val="Normal"/>
              <w:widowControl w:val="false"/>
              <w:spacing w:lineRule="auto" w:line="276" w:before="0" w:after="0"/>
              <w:rPr/>
            </w:pPr>
            <w:r>
              <w:rPr>
                <w:rFonts w:cs="Arial"/>
                <w:color w:themeColor="text1" w:val="000000"/>
                <w:lang w:eastAsia="es-ES"/>
              </w:rPr>
              <w:t>RA2.c. Se ha diferenciado entre proceso, hilo y trabajo</w:t>
            </w:r>
          </w:p>
          <w:p>
            <w:pPr>
              <w:pStyle w:val="Normal"/>
              <w:widowControl w:val="false"/>
              <w:spacing w:lineRule="auto" w:line="276" w:before="0" w:after="0"/>
              <w:rPr/>
            </w:pPr>
            <w:r>
              <w:rPr>
                <w:rFonts w:cs="Arial"/>
                <w:color w:themeColor="text1" w:val="000000"/>
                <w:lang w:eastAsia="es-ES"/>
              </w:rPr>
              <w:t>RA2.d. Se han realizado tareas de creación, manipulación y terminación de procesos</w:t>
            </w:r>
          </w:p>
          <w:p>
            <w:pPr>
              <w:pStyle w:val="Normal"/>
              <w:widowControl w:val="false"/>
              <w:spacing w:lineRule="auto" w:line="276" w:before="0" w:after="0"/>
              <w:rPr/>
            </w:pPr>
            <w:r>
              <w:rPr>
                <w:rFonts w:cs="Arial"/>
                <w:color w:themeColor="text1" w:val="000000"/>
                <w:lang w:eastAsia="es-ES"/>
              </w:rPr>
              <w:t>RA2.e. Se ha utilizado el sistema de archivos como medio lógico para el registro e identificación de los procesos del sistema</w:t>
            </w:r>
          </w:p>
          <w:p>
            <w:pPr>
              <w:pStyle w:val="Normal"/>
              <w:widowControl w:val="false"/>
              <w:spacing w:lineRule="auto" w:line="276" w:before="0" w:after="0"/>
              <w:rPr/>
            </w:pPr>
            <w:r>
              <w:rPr>
                <w:rFonts w:cs="Arial"/>
                <w:color w:themeColor="text1" w:val="000000"/>
                <w:lang w:eastAsia="es-ES"/>
              </w:rPr>
              <w:t>RA2.f. Se han utilizado herramientas gráficas y comandos para el control y seguimiento de los procesos del sistema</w:t>
            </w:r>
          </w:p>
          <w:p>
            <w:pPr>
              <w:pStyle w:val="Normal"/>
              <w:widowControl w:val="false"/>
              <w:spacing w:lineRule="auto" w:line="276" w:before="0" w:after="0"/>
              <w:rPr/>
            </w:pPr>
            <w:r>
              <w:rPr>
                <w:rFonts w:cs="Arial"/>
                <w:color w:themeColor="text1" w:val="000000"/>
                <w:lang w:eastAsia="es-ES"/>
              </w:rPr>
              <w:t>RA2.g. Se ha comprobado la secuencia de arranque del sistema, los procesos implicados y la relación entre ellos</w:t>
            </w:r>
          </w:p>
          <w:p>
            <w:pPr>
              <w:pStyle w:val="Normal"/>
              <w:widowControl w:val="false"/>
              <w:spacing w:lineRule="auto" w:line="276" w:before="0" w:after="0"/>
              <w:rPr/>
            </w:pPr>
            <w:r>
              <w:rPr>
                <w:rFonts w:cs="Arial"/>
                <w:color w:themeColor="text1" w:val="000000"/>
                <w:lang w:eastAsia="es-ES"/>
              </w:rPr>
              <w:t>RA2.h. Se han tomado medidas de seguridad ante la aparición de procesos no identificados</w:t>
            </w:r>
          </w:p>
          <w:p>
            <w:pPr>
              <w:pStyle w:val="Normal"/>
              <w:widowControl w:val="false"/>
              <w:spacing w:lineRule="auto" w:line="276" w:before="0" w:after="0"/>
              <w:rPr/>
            </w:pPr>
            <w:r>
              <w:rPr>
                <w:rFonts w:cs="Arial"/>
                <w:color w:themeColor="text1" w:val="000000"/>
                <w:lang w:eastAsia="es-ES"/>
              </w:rPr>
              <w:t>RA2.i. Se han documentado los procesos habituales del sistema, su función y relación entre ellos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13. Diagnosticar las disfunciones del sistema y adoptar las medidas correctivas para restablecer su funcionalidad.</w:t>
              <w:br/>
              <w:t>14. Gestionar y/o realizar el mantenimiento de los recursos de su área (programando y verificando su cumplimiento), en función de las cargas de trabajo y el plan de mantenimiento.</w:t>
            </w:r>
          </w:p>
          <w:p>
            <w:pPr>
              <w:pStyle w:val="Normal"/>
              <w:widowControl w:val="false"/>
              <w:spacing w:before="0" w:after="0"/>
              <w:rPr/>
            </w:pPr>
            <w:r>
              <w:rPr/>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16. Establecer la planificación de tareas, analizando actividades y cargas de trabajo del sistema para gestionar el mantenimiento.</w:t>
              <w:br/>
              <w:t>18. Identificar formas de intervención en situaciones colectivas, analizando el proceso de toma de decisiones y efectuando consultas para liderar las mismas.</w:t>
            </w:r>
          </w:p>
          <w:p>
            <w:pPr>
              <w:pStyle w:val="Normal"/>
              <w:widowControl w:val="false"/>
              <w:spacing w:before="0" w:after="0"/>
              <w:rPr/>
            </w:pPr>
            <w:r>
              <w:rPr/>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Presentación de la gestión de procesos, hilos y trabajos en Windows y Linux.</w:t>
            </w:r>
          </w:p>
          <w:p>
            <w:pPr>
              <w:pStyle w:val="Normal"/>
              <w:widowControl w:val="false"/>
              <w:spacing w:before="0" w:after="0"/>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Búsqueda de gestión de proceso en diferentes sistemas operativos.</w:t>
            </w:r>
          </w:p>
          <w:p>
            <w:pPr>
              <w:pStyle w:val="Normal"/>
              <w:widowControl w:val="false"/>
              <w:spacing w:before="0" w:after="0"/>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Gestión de la planificación de procesos.</w:t>
              <w:br/>
              <w:t>Evaluar el proceso de inicio de sistema.</w:t>
            </w:r>
          </w:p>
          <w:p>
            <w:pPr>
              <w:pStyle w:val="Normal"/>
              <w:widowControl w:val="false"/>
              <w:spacing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Comprobar en el servidor del proyecto el estado y el arranque del servicio elegido; consultar procesos y registros, resolver una incidencia de prueba y documentar el diagnóstico en la memoria.</w:t>
            </w:r>
          </w:p>
          <w:p>
            <w:pPr>
              <w:pStyle w:val="Normal"/>
              <w:widowControl w:val="false"/>
              <w:spacing w:lineRule="auto" w:line="276" w:before="0" w:after="0"/>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Ejecución de diversos métodos de gestión de procesos en Windows y Linux.</w:t>
            </w:r>
          </w:p>
          <w:p>
            <w:pPr>
              <w:pStyle w:val="Normal"/>
              <w:widowControl w:val="false"/>
              <w:spacing w:lineRule="auto" w:line="276" w:before="0" w:after="0"/>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Creación de scripts para la gestión de procesos.</w:t>
              <w:br/>
              <w:t>Diferenciación entre procesos, hilos y trabajos.</w:t>
            </w:r>
          </w:p>
          <w:p>
            <w:pPr>
              <w:pStyle w:val="Normal"/>
              <w:widowControl w:val="false"/>
              <w:spacing w:lineRule="auto" w:line="276"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t>Corrección de las prácticas y pruebas no superadas.</w:t>
              <w:br/>
              <w:t>Si se han facilitado las soluciones ,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Búsqueda de información sobre automatización de procesos del sistema en Windows y Linux.</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Enlaces y apuntes en Aules</w:t>
            </w:r>
          </w:p>
          <w:p>
            <w:pPr>
              <w:pStyle w:val="Normal"/>
              <w:widowControl w:val="false"/>
              <w:spacing w:lineRule="auto" w:line="276" w:before="0" w:after="0"/>
              <w:rPr/>
            </w:pPr>
            <w:r>
              <w:rPr/>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300"/>
        <w:gridCol w:w="938"/>
      </w:tblGrid>
      <w:tr>
        <w:trPr>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3</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rPr/>
            </w:pPr>
            <w:r>
              <w:rPr>
                <w:rFonts w:eastAsia="Arial" w:cs="Arial"/>
                <w:color w:themeColor="text1" w:val="000000"/>
                <w:szCs w:val="22"/>
              </w:rPr>
              <w:t>Administración de servicio de directorio</w:t>
            </w:r>
          </w:p>
        </w:tc>
        <w:tc>
          <w:tcPr>
            <w:tcW w:w="1300"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Horas de aula (propuesta 2026/2027)</w:t>
            </w:r>
          </w:p>
        </w:tc>
        <w:tc>
          <w:tcPr>
            <w:tcW w:w="93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t>16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1. Administra el servicio de directorio interpretando especificaciones e integrándolo en una red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Fonts w:cs="Arial"/>
                <w:color w:themeColor="text1" w:val="000000"/>
                <w:lang w:eastAsia="es-ES"/>
              </w:rPr>
              <w:t>RA1.a. Se han identificado la función, los elementos y las estructuras lógicas del servicio de directorio</w:t>
            </w:r>
          </w:p>
          <w:p>
            <w:pPr>
              <w:pStyle w:val="Normal"/>
              <w:widowControl w:val="false"/>
              <w:spacing w:lineRule="auto" w:line="276" w:before="0" w:after="0"/>
              <w:rPr/>
            </w:pPr>
            <w:r>
              <w:rPr>
                <w:rFonts w:cs="Arial"/>
                <w:color w:themeColor="text1" w:val="000000"/>
                <w:lang w:eastAsia="es-ES"/>
              </w:rPr>
              <w:t>RA1.b. Se ha determinado y creado el esquema del servicio de directorio</w:t>
            </w:r>
          </w:p>
          <w:p>
            <w:pPr>
              <w:pStyle w:val="Normal"/>
              <w:widowControl w:val="false"/>
              <w:spacing w:lineRule="auto" w:line="276" w:before="0" w:after="0"/>
              <w:rPr/>
            </w:pPr>
            <w:r>
              <w:rPr>
                <w:rFonts w:cs="Arial"/>
                <w:color w:themeColor="text1" w:val="000000"/>
                <w:lang w:eastAsia="es-ES"/>
              </w:rPr>
              <w:t>RA1.c. Se ha realizado la instalación del servicio de directorio en el servidor</w:t>
            </w:r>
          </w:p>
          <w:p>
            <w:pPr>
              <w:pStyle w:val="Normal"/>
              <w:widowControl w:val="false"/>
              <w:spacing w:lineRule="auto" w:line="276" w:before="0" w:after="0"/>
              <w:rPr/>
            </w:pPr>
            <w:r>
              <w:rPr>
                <w:rFonts w:cs="Arial"/>
                <w:color w:themeColor="text1" w:val="000000"/>
                <w:lang w:eastAsia="es-ES"/>
              </w:rPr>
              <w:t>RA1.d. Se ha realizado la configuración y personalización del servicio de directorio</w:t>
            </w:r>
          </w:p>
          <w:p>
            <w:pPr>
              <w:pStyle w:val="Normal"/>
              <w:widowControl w:val="false"/>
              <w:spacing w:lineRule="auto" w:line="276" w:before="0" w:after="0"/>
              <w:rPr/>
            </w:pPr>
            <w:r>
              <w:rPr>
                <w:rFonts w:cs="Arial"/>
                <w:color w:themeColor="text1" w:val="000000"/>
                <w:lang w:eastAsia="es-ES"/>
              </w:rPr>
              <w:t>RA1.e. Se ha integrado el servicio de directorio con otros servicios</w:t>
            </w:r>
          </w:p>
          <w:p>
            <w:pPr>
              <w:pStyle w:val="Normal"/>
              <w:widowControl w:val="false"/>
              <w:spacing w:lineRule="auto" w:line="276" w:before="0" w:after="0"/>
              <w:rPr/>
            </w:pPr>
            <w:r>
              <w:rPr>
                <w:rFonts w:cs="Arial"/>
                <w:color w:themeColor="text1" w:val="000000"/>
                <w:lang w:eastAsia="es-ES"/>
              </w:rPr>
              <w:t>RA1.f. Se han aplicado filtros de búsqueda en el servicio de directorio</w:t>
            </w:r>
          </w:p>
          <w:p>
            <w:pPr>
              <w:pStyle w:val="Normal"/>
              <w:widowControl w:val="false"/>
              <w:spacing w:lineRule="auto" w:line="276" w:before="0" w:after="0"/>
              <w:rPr/>
            </w:pPr>
            <w:r>
              <w:rPr>
                <w:rFonts w:cs="Arial"/>
                <w:color w:themeColor="text1" w:val="000000"/>
                <w:lang w:eastAsia="es-ES"/>
              </w:rPr>
              <w:t>RA1.g. Se ha utilizado el servicio de directorio como mecanismo de acreditación centralizada de los usuarios en una red</w:t>
            </w:r>
          </w:p>
          <w:p>
            <w:pPr>
              <w:pStyle w:val="Normal"/>
              <w:widowControl w:val="false"/>
              <w:spacing w:lineRule="auto" w:line="276" w:before="0" w:after="0"/>
              <w:rPr/>
            </w:pPr>
            <w:r>
              <w:rPr>
                <w:rFonts w:cs="Arial"/>
                <w:color w:themeColor="text1" w:val="000000"/>
                <w:lang w:eastAsia="es-ES"/>
              </w:rPr>
              <w:t>RA1.h. Se ha realizado la configuración del cliente para su integración en el servicio de directorio</w:t>
            </w:r>
          </w:p>
          <w:p>
            <w:pPr>
              <w:pStyle w:val="Normal"/>
              <w:widowControl w:val="false"/>
              <w:spacing w:lineRule="auto" w:line="276" w:before="0" w:after="0"/>
              <w:rPr/>
            </w:pPr>
            <w:r>
              <w:rPr>
                <w:rFonts w:cs="Arial"/>
                <w:color w:themeColor="text1" w:val="000000"/>
                <w:lang w:eastAsia="es-ES"/>
              </w:rPr>
              <w:t>RA1.i. Se han utilizado herramientas gráficas y comandos para la administración del servicio de directorio</w:t>
            </w:r>
          </w:p>
          <w:p>
            <w:pPr>
              <w:pStyle w:val="Normal"/>
              <w:widowControl w:val="false"/>
              <w:spacing w:lineRule="auto" w:line="276" w:before="0" w:after="0"/>
              <w:rPr/>
            </w:pPr>
            <w:r>
              <w:rPr>
                <w:rFonts w:cs="Arial"/>
                <w:color w:themeColor="text1" w:val="000000"/>
                <w:lang w:eastAsia="es-ES"/>
              </w:rPr>
              <w:t>RA1.j. Se ha documentado la estructura e implantación del servicio de directorio</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 Administrar sistemas operativos de servidor, instalando y configurando el software, en condiciones de calidad para asegurar el funcionamiento del sistema.</w:t>
              <w:br/>
              <w:t>12. Administrar usuarios de acuerdo a las especificaciones de explotación para garantizar los accesos y la disponibilidad de los recursos del sistema.</w:t>
              <w:br/>
              <w:t>15. Efectuar consultas, dirigiéndose a la persona adecuada y saber respetar la autonomía de los subordinados, informando cuando sea conveniente.</w:t>
              <w:br/>
              <w:t>16. Mantener el espíritu de innovación y actualización en el ámbito de su trabajo para adaptarse a los cambios tecnológicos y organizativos de su entorno profesional.</w:t>
              <w:br/>
              <w:t>18. Resolver problemas y tomar decisiones individuales, siguiendo las normas y procedimientos establecidos, definidos dentro del ámbito de su competencia.</w:t>
            </w:r>
          </w:p>
          <w:p>
            <w:pPr>
              <w:pStyle w:val="Normal"/>
              <w:widowControl w:val="false"/>
              <w:spacing w:before="0" w:after="0"/>
              <w:rPr/>
            </w:pPr>
            <w:r>
              <w:rPr/>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2. Instalar y configurar el software de base, siguiendo documentación técnica y especificaciones dadas, para administrar sistemas operativos de servidor.</w:t>
              <w:br/>
              <w:t>14. Asignar los accesos y recursos del sistema, aplicando las especificaciones de la explotación, para administrar usuarios.</w:t>
            </w:r>
          </w:p>
          <w:p>
            <w:pPr>
              <w:pStyle w:val="Normal"/>
              <w:widowControl w:val="false"/>
              <w:spacing w:before="0" w:after="0"/>
              <w:rPr/>
            </w:pPr>
            <w:r>
              <w:rPr/>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Funcionamiento de LDAP.</w:t>
            </w:r>
          </w:p>
          <w:p>
            <w:pPr>
              <w:pStyle w:val="Normal"/>
              <w:widowControl w:val="false"/>
              <w:spacing w:before="0" w:after="0"/>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Evolución de la gestión de usuarios con LDAP.</w:t>
            </w:r>
          </w:p>
          <w:p>
            <w:pPr>
              <w:pStyle w:val="Normal"/>
              <w:widowControl w:val="false"/>
              <w:spacing w:before="0" w:after="0"/>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Instalación y configuración de LDAP.</w:t>
              <w:br/>
              <w:t>Instalación y configuración de Active Directory</w:t>
              <w:br/>
              <w:t>Creación de usuarios.</w:t>
            </w:r>
          </w:p>
          <w:p>
            <w:pPr>
              <w:pStyle w:val="Normal"/>
              <w:widowControl w:val="false"/>
              <w:spacing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Si el servicio aprobado utiliza LDAP, instalar el directorio e integrar un cliente de pruebas; documentar configuración y resultados. Si no se utiliza LDAP, trabajar y evaluar el RA1 en las actividades propias de ASO.</w:t>
            </w:r>
          </w:p>
          <w:p>
            <w:pPr>
              <w:pStyle w:val="Normal"/>
              <w:widowControl w:val="false"/>
              <w:spacing w:lineRule="auto" w:line="276" w:before="0" w:after="0"/>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Modificación de la estructura de usuarios en función de los requisitos solicitados.</w:t>
            </w:r>
          </w:p>
          <w:p>
            <w:pPr>
              <w:pStyle w:val="Normal"/>
              <w:widowControl w:val="false"/>
              <w:spacing w:lineRule="auto" w:line="276" w:before="0" w:after="0"/>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Creación de script y uso de entorno gráfico para la gestión del servicio de directorio.</w:t>
            </w:r>
          </w:p>
          <w:p>
            <w:pPr>
              <w:pStyle w:val="Normal"/>
              <w:widowControl w:val="false"/>
              <w:spacing w:lineRule="auto" w:line="276"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Análisis funcional del servicio de directorio y su integración en la estructura de red del sistema.</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Enlaces y apuntes en Aules</w:t>
            </w:r>
          </w:p>
          <w:p>
            <w:pPr>
              <w:pStyle w:val="Normal"/>
              <w:widowControl w:val="false"/>
              <w:spacing w:lineRule="auto" w:line="276" w:before="0" w:after="0"/>
              <w:rPr/>
            </w:pPr>
            <w:r>
              <w:rPr/>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300"/>
        <w:gridCol w:w="938"/>
      </w:tblGrid>
      <w:tr>
        <w:trPr>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4</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rPr/>
            </w:pPr>
            <w:r>
              <w:rPr>
                <w:rFonts w:eastAsia="Arial" w:cs="Arial"/>
                <w:color w:themeColor="text1" w:val="000000"/>
                <w:szCs w:val="22"/>
              </w:rPr>
              <w:t>Integración de sistemas operativos en red</w:t>
            </w:r>
          </w:p>
        </w:tc>
        <w:tc>
          <w:tcPr>
            <w:tcW w:w="1300"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Horas de aula (propuesta 2026/2027)</w:t>
            </w:r>
          </w:p>
        </w:tc>
        <w:tc>
          <w:tcPr>
            <w:tcW w:w="93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t>16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6. Integra sistemas operativos libres y propietarios, justificando y garantizando su interoperabilidad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Fonts w:cs="Arial"/>
                <w:color w:themeColor="text1" w:val="000000"/>
                <w:lang w:eastAsia="es-ES"/>
              </w:rPr>
              <w:t>RA6.a. Se ha identificado la necesidad de compartir recursos en red entre diferentes sistemas operativos</w:t>
            </w:r>
          </w:p>
          <w:p>
            <w:pPr>
              <w:pStyle w:val="Normal"/>
              <w:widowControl w:val="false"/>
              <w:spacing w:lineRule="auto" w:line="276" w:before="0" w:after="0"/>
              <w:rPr/>
            </w:pPr>
            <w:r>
              <w:rPr>
                <w:rFonts w:cs="Arial"/>
                <w:color w:themeColor="text1" w:val="000000"/>
                <w:lang w:eastAsia="es-ES"/>
              </w:rPr>
              <w:t>RA6.b. Se han establecido niveles de seguridad para controlar el acceso del cliente a los recursos compartidos en red</w:t>
            </w:r>
          </w:p>
          <w:p>
            <w:pPr>
              <w:pStyle w:val="Normal"/>
              <w:widowControl w:val="false"/>
              <w:spacing w:lineRule="auto" w:line="276" w:before="0" w:after="0"/>
              <w:rPr/>
            </w:pPr>
            <w:r>
              <w:rPr>
                <w:rFonts w:cs="Arial"/>
                <w:color w:themeColor="text1" w:val="000000"/>
                <w:lang w:eastAsia="es-ES"/>
              </w:rPr>
              <w:t>RA6.c. Se ha comprobado la conectividad de la red en un escenario heterogéneo</w:t>
            </w:r>
          </w:p>
          <w:p>
            <w:pPr>
              <w:pStyle w:val="Normal"/>
              <w:widowControl w:val="false"/>
              <w:spacing w:lineRule="auto" w:line="276" w:before="0" w:after="0"/>
              <w:rPr/>
            </w:pPr>
            <w:r>
              <w:rPr>
                <w:rFonts w:cs="Arial"/>
                <w:color w:themeColor="text1" w:val="000000"/>
                <w:lang w:eastAsia="es-ES"/>
              </w:rPr>
              <w:t>RA6.d. Se ha descrito la funcionalidad de los servicios que permiten compartir recursos en red</w:t>
            </w:r>
          </w:p>
          <w:p>
            <w:pPr>
              <w:pStyle w:val="Normal"/>
              <w:widowControl w:val="false"/>
              <w:spacing w:lineRule="auto" w:line="276" w:before="0" w:after="0"/>
              <w:rPr/>
            </w:pPr>
            <w:r>
              <w:rPr>
                <w:rFonts w:cs="Arial"/>
                <w:color w:themeColor="text1" w:val="000000"/>
                <w:lang w:eastAsia="es-ES"/>
              </w:rPr>
              <w:t>RA6.e. Se han instalado y configurado servicios para compartir recursos en red</w:t>
            </w:r>
          </w:p>
          <w:p>
            <w:pPr>
              <w:pStyle w:val="Normal"/>
              <w:widowControl w:val="false"/>
              <w:spacing w:lineRule="auto" w:line="276" w:before="0" w:after="0"/>
              <w:rPr/>
            </w:pPr>
            <w:r>
              <w:rPr>
                <w:rFonts w:cs="Arial"/>
                <w:color w:themeColor="text1" w:val="000000"/>
                <w:lang w:eastAsia="es-ES"/>
              </w:rPr>
              <w:t>RA6.f. Se ha comprobado el funcionamiento de los servicios instalados</w:t>
            </w:r>
          </w:p>
          <w:p>
            <w:pPr>
              <w:pStyle w:val="Normal"/>
              <w:widowControl w:val="false"/>
              <w:spacing w:lineRule="auto" w:line="276" w:before="0" w:after="0"/>
              <w:rPr/>
            </w:pPr>
            <w:r>
              <w:rPr>
                <w:rFonts w:cs="Arial"/>
                <w:color w:themeColor="text1" w:val="000000"/>
                <w:lang w:eastAsia="es-ES"/>
              </w:rPr>
              <w:t>RA6.g. Se ha trabajado en grupo para acceder a sistemas de archivos e impresoras en red desde equipos con diferentes sistemas operativos</w:t>
            </w:r>
          </w:p>
          <w:p>
            <w:pPr>
              <w:pStyle w:val="Normal"/>
              <w:widowControl w:val="false"/>
              <w:spacing w:lineRule="auto" w:line="276" w:before="0" w:after="0"/>
              <w:rPr/>
            </w:pPr>
            <w:r>
              <w:rPr>
                <w:rFonts w:cs="Arial"/>
                <w:color w:themeColor="text1" w:val="000000"/>
                <w:lang w:eastAsia="es-ES"/>
              </w:rPr>
              <w:t>RA6.h. Se ha documentado la configuración de los servicios instalados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1a. Administrar sistemas operativos de servidor, instalando y configurando el software, en condiciones de calidad para asegurar el funcionamiento del sistema.</w:t>
              <w:br/>
              <w:t>12l. Administrar usuarios de acuerdo a las especificaciones de explotación para garantizar los accesos y la disponibilidad de los recursos del sistema.</w:t>
              <w:br/>
              <w:t>13m. Diagnosticar las disfunciones del sistema y adoptar las medidas correctivas para restablecer su funcionalidad.</w:t>
              <w:br/>
              <w:t>14n. Gestionar y/o realizar el mantenimiento de los recursos de su área (programando y verificando su cumplimiento), en función de las cargas de trabajo y el plan de mantenimiento.</w:t>
              <w:br/>
              <w:t>15ñ. Efectuar consultas, dirigiéndose a la persona adecuada y saber respetar la autonomía de los subordinados, informando cuando sea conveniente.</w:t>
              <w:br/>
              <w:t>16o. Mantener el espíritu de innovación y actualización en el ámbito de su trabajo para adaptarse a los cambios tecnológicos y organizativos de su entorno profesional.</w:t>
              <w:br/>
              <w:t>18q. Resolver problemas y tomar decisiones individuales, siguiendo las normas y procedimientos establecidos, definidos dentro del ámbito de su competencia.</w:t>
            </w:r>
          </w:p>
          <w:p>
            <w:pPr>
              <w:pStyle w:val="Normal"/>
              <w:widowControl w:val="false"/>
              <w:spacing w:before="0" w:after="0"/>
              <w:rPr/>
            </w:pPr>
            <w:r>
              <w:rPr/>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1a. Analizar la estructura del software de base, comparando las características y prestaciones de sistemas libres y propietarios, para administrar sistemas operativos de servidor.</w:t>
              <w:br/>
              <w:t>2b. Instalar y configurar el software de base, siguiendo documentación técnica y especificaciones dadas, para administrar sistemas operativos de servidor.</w:t>
              <w:br/>
              <w:t>14n. Asignar los accesos y recursos del sistema, aplicando las especificaciones de la explotación, para administrar usuarios.</w:t>
              <w:br/>
              <w:t>15ñ. Aplicar técnicas de monitorización interpretando los resultados y relacionándolos con las medidas correctoras para diagnosticar y corregir las disfunciones.</w:t>
              <w:br/>
              <w:t>16o. Establecer la planificación de tareas, analizando actividades y cargas de trabajo del sistema para gestionar el mantenimiento.</w:t>
              <w:br/>
              <w:t>18q. Identificar formas de intervención en situaciones colectivas, analizando el proceso de toma de decisiones y efectuando consultas para liderar las mismas.</w:t>
            </w:r>
          </w:p>
          <w:p>
            <w:pPr>
              <w:pStyle w:val="Normal"/>
              <w:widowControl w:val="false"/>
              <w:spacing w:before="0" w:after="0"/>
              <w:rPr/>
            </w:pPr>
            <w:r>
              <w:rPr/>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Necesidad de la integración de sistemas.</w:t>
            </w:r>
          </w:p>
          <w:p>
            <w:pPr>
              <w:pStyle w:val="Normal"/>
              <w:widowControl w:val="false"/>
              <w:spacing w:before="0" w:after="0"/>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Evolución de los diferentes sistemas de integración de sistemas operativos.</w:t>
            </w:r>
          </w:p>
          <w:p>
            <w:pPr>
              <w:pStyle w:val="Normal"/>
              <w:widowControl w:val="false"/>
              <w:spacing w:before="0" w:after="0"/>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Instalación y configuración de servicios de red.</w:t>
            </w:r>
          </w:p>
          <w:p>
            <w:pPr>
              <w:pStyle w:val="Normal"/>
              <w:widowControl w:val="false"/>
              <w:spacing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Si el servicio elegido requiere compartir recursos, configurar permisos y comprobar el acceso cliente-servidor. Incorporar pruebas entre sistemas libres y propietarios cuando se utilicen como evidencia del RA6; documentar la configuración y las pruebas.</w:t>
            </w:r>
          </w:p>
          <w:p>
            <w:pPr>
              <w:pStyle w:val="Normal"/>
              <w:widowControl w:val="false"/>
              <w:spacing w:lineRule="auto" w:line="276" w:before="0" w:after="0"/>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Instalación de servidor compartido de recursos.</w:t>
              <w:br/>
              <w:t>Creación de usuarios y grupos en Samba.</w:t>
            </w:r>
          </w:p>
          <w:p>
            <w:pPr>
              <w:pStyle w:val="Normal"/>
              <w:widowControl w:val="false"/>
              <w:spacing w:lineRule="auto" w:line="276" w:before="0" w:after="0"/>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Virtualización de servicios.</w:t>
              <w:br/>
              <w:t>Despliegue de sistemas virtualizados</w:t>
            </w:r>
          </w:p>
          <w:p>
            <w:pPr>
              <w:pStyle w:val="Normal"/>
              <w:widowControl w:val="false"/>
              <w:spacing w:lineRule="auto" w:line="276"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Instalación de servicios en Docker</w:t>
              <w:br/>
              <w:t>Instalación y configuración de NextCloud</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Enlaces y apuntes en Aules</w:t>
            </w:r>
          </w:p>
          <w:p>
            <w:pPr>
              <w:pStyle w:val="Normal"/>
              <w:widowControl w:val="false"/>
              <w:spacing w:lineRule="auto" w:line="276" w:before="0" w:after="0"/>
              <w:rPr/>
            </w:pPr>
            <w:r>
              <w:rPr/>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300"/>
        <w:gridCol w:w="938"/>
      </w:tblGrid>
      <w:tr>
        <w:trPr>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5</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rPr/>
            </w:pPr>
            <w:r>
              <w:rPr>
                <w:rFonts w:eastAsia="Arial" w:cs="Arial"/>
                <w:color w:themeColor="text1" w:val="000000"/>
                <w:szCs w:val="22"/>
              </w:rPr>
              <w:t>Automatización de tareas y monitorización del sistema</w:t>
            </w:r>
          </w:p>
        </w:tc>
        <w:tc>
          <w:tcPr>
            <w:tcW w:w="1300"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Horas de aula (propuesta 2026/2027)</w:t>
            </w:r>
          </w:p>
        </w:tc>
        <w:tc>
          <w:tcPr>
            <w:tcW w:w="93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t>16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3. Gestiona la automatización de tareas del sistema, aplicando criterios de eficiencia y utilizando comandos y herramientas gráficas</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Fonts w:cs="Arial"/>
                <w:color w:themeColor="text1" w:val="000000"/>
                <w:lang w:eastAsia="es-ES"/>
              </w:rPr>
              <w:t>RA3.a. Se han descrito las ventajas de la automatización de las tareas repetitivas en el sistema</w:t>
            </w:r>
          </w:p>
          <w:p>
            <w:pPr>
              <w:pStyle w:val="Normal"/>
              <w:widowControl w:val="false"/>
              <w:spacing w:lineRule="auto" w:line="276" w:before="0" w:after="0"/>
              <w:rPr/>
            </w:pPr>
            <w:r>
              <w:rPr>
                <w:rFonts w:cs="Arial"/>
                <w:color w:themeColor="text1" w:val="000000"/>
                <w:lang w:eastAsia="es-ES"/>
              </w:rPr>
              <w:t>RA3.b. Se han utilizado los comandos del sistema para la planificación de tareas</w:t>
            </w:r>
          </w:p>
          <w:p>
            <w:pPr>
              <w:pStyle w:val="Normal"/>
              <w:widowControl w:val="false"/>
              <w:spacing w:lineRule="auto" w:line="276" w:before="0" w:after="0"/>
              <w:rPr/>
            </w:pPr>
            <w:r>
              <w:rPr>
                <w:rFonts w:cs="Arial"/>
                <w:color w:themeColor="text1" w:val="000000"/>
                <w:lang w:eastAsia="es-ES"/>
              </w:rPr>
              <w:t>RA3.c. Se han establecido restricciones de seguridad</w:t>
            </w:r>
          </w:p>
          <w:p>
            <w:pPr>
              <w:pStyle w:val="Normal"/>
              <w:widowControl w:val="false"/>
              <w:spacing w:lineRule="auto" w:line="276" w:before="0" w:after="0"/>
              <w:rPr/>
            </w:pPr>
            <w:r>
              <w:rPr>
                <w:rFonts w:cs="Arial"/>
                <w:color w:themeColor="text1" w:val="000000"/>
                <w:lang w:eastAsia="es-ES"/>
              </w:rPr>
              <w:t>RA3.d. Se han realizado planificaciones de tareas repetitivas o puntuales relacionadas con la administración del sistema</w:t>
            </w:r>
          </w:p>
          <w:p>
            <w:pPr>
              <w:pStyle w:val="Normal"/>
              <w:widowControl w:val="false"/>
              <w:spacing w:lineRule="auto" w:line="276" w:before="0" w:after="0"/>
              <w:rPr/>
            </w:pPr>
            <w:r>
              <w:rPr>
                <w:rFonts w:cs="Arial"/>
                <w:color w:themeColor="text1" w:val="000000"/>
                <w:lang w:eastAsia="es-ES"/>
              </w:rPr>
              <w:t>RA3.e. Se ha automatizado la administración de cuentas</w:t>
            </w:r>
          </w:p>
          <w:p>
            <w:pPr>
              <w:pStyle w:val="Normal"/>
              <w:widowControl w:val="false"/>
              <w:spacing w:lineRule="auto" w:line="276" w:before="0" w:after="0"/>
              <w:rPr/>
            </w:pPr>
            <w:r>
              <w:rPr>
                <w:rFonts w:cs="Arial"/>
                <w:color w:themeColor="text1" w:val="000000"/>
                <w:lang w:eastAsia="es-ES"/>
              </w:rPr>
              <w:t>RA3.f. Se han instalado y configurado herramientas gráficas para la planificación de tareas</w:t>
            </w:r>
          </w:p>
          <w:p>
            <w:pPr>
              <w:pStyle w:val="Normal"/>
              <w:widowControl w:val="false"/>
              <w:spacing w:lineRule="auto" w:line="276" w:before="0" w:after="0"/>
              <w:rPr/>
            </w:pPr>
            <w:r>
              <w:rPr>
                <w:rFonts w:cs="Arial"/>
                <w:color w:themeColor="text1" w:val="000000"/>
                <w:lang w:eastAsia="es-ES"/>
              </w:rPr>
              <w:t>RA3.g. Se han utilizado herramientas gráficas para la planificación de tareas</w:t>
            </w:r>
          </w:p>
          <w:p>
            <w:pPr>
              <w:pStyle w:val="Normal"/>
              <w:widowControl w:val="false"/>
              <w:spacing w:lineRule="auto" w:line="276" w:before="0" w:after="0"/>
              <w:rPr/>
            </w:pPr>
            <w:r>
              <w:rPr>
                <w:rFonts w:cs="Arial"/>
                <w:color w:themeColor="text1" w:val="000000"/>
                <w:lang w:eastAsia="es-ES"/>
              </w:rPr>
              <w:t>RA3.h. Se han documentado los procesos programados como tareas automáticas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1a. Administrar sistemas operativos de servidor, instalando y configurando el software, en condiciones de calidad para asegurar el funcionamiento del sistema.</w:t>
              <w:br/>
              <w:t>13m. Diagnosticar las disfunciones del sistema y adoptar las medidas correctivas para restablecer su funcionalidad.</w:t>
              <w:br/>
              <w:t>14n. Gestionar y/o realizar el mantenimiento de los recursos de su área (programando y verificando su cumplimiento), en función de las cargas de trabajo y el plan de mantenimiento.</w:t>
            </w:r>
          </w:p>
          <w:p>
            <w:pPr>
              <w:pStyle w:val="Normal"/>
              <w:widowControl w:val="false"/>
              <w:spacing w:before="0" w:after="0"/>
              <w:rPr/>
            </w:pPr>
            <w:r>
              <w:rPr/>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15. Aplicar técnicas de monitorización interpretando los resultados y relacionándolos con las medidas correctoras para diagnosticar y corregir las disfunciones.</w:t>
              <w:br/>
              <w:t>16. Establecer la planificación de tareas, analizando actividades y cargas de trabajo del sistema para gestionar el mantenimiento.</w:t>
            </w:r>
          </w:p>
          <w:p>
            <w:pPr>
              <w:pStyle w:val="Normal"/>
              <w:widowControl w:val="false"/>
              <w:spacing w:before="0" w:after="0"/>
              <w:rPr/>
            </w:pPr>
            <w:r>
              <w:rPr/>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Monitorización del sistema</w:t>
            </w:r>
          </w:p>
          <w:p>
            <w:pPr>
              <w:pStyle w:val="Normal"/>
              <w:widowControl w:val="false"/>
              <w:spacing w:before="0" w:after="0"/>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Búsqueda de diferentes herramientas de monitorización y automatización de tareas.</w:t>
            </w:r>
          </w:p>
          <w:p>
            <w:pPr>
              <w:pStyle w:val="Normal"/>
              <w:widowControl w:val="false"/>
              <w:spacing w:before="0" w:after="0"/>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Creación de tareas programadas en Windows y Linux.</w:t>
              <w:br/>
              <w:t>Uso de herramientas de monitorización de tareas en Windows y Linux.</w:t>
            </w:r>
          </w:p>
          <w:p>
            <w:pPr>
              <w:pStyle w:val="Normal"/>
              <w:widowControl w:val="false"/>
              <w:spacing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Si el proyecto incorpora tareas programadas, configurar una tarea de mantenimiento o copia con cron o temporizadores, revisar su registro y documentar la ejecución. Si no se incorpora, trabajar y evaluar el RA3 en ASO.</w:t>
            </w:r>
          </w:p>
          <w:p>
            <w:pPr>
              <w:pStyle w:val="Normal"/>
              <w:widowControl w:val="false"/>
              <w:spacing w:lineRule="auto" w:line="276" w:before="0" w:after="0"/>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Modificación de tareas programadas.</w:t>
              <w:br/>
              <w:t>Análisis del sistema a través de la monitorización</w:t>
            </w:r>
          </w:p>
          <w:p>
            <w:pPr>
              <w:pStyle w:val="Normal"/>
              <w:widowControl w:val="false"/>
              <w:spacing w:lineRule="auto" w:line="276" w:before="0" w:after="0"/>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Instalación y configuración de herramientas para la creación de tareas y monitorización.</w:t>
              <w:br/>
              <w:t>Análisis de la seguridad del sistema.</w:t>
            </w:r>
          </w:p>
          <w:p>
            <w:pPr>
              <w:pStyle w:val="Normal"/>
              <w:widowControl w:val="false"/>
              <w:spacing w:lineRule="auto" w:line="276"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Búsqueda de herramientas para garantizar la seguridad del sistema.</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Enlaces y apuntes en Aules</w:t>
            </w:r>
          </w:p>
          <w:p>
            <w:pPr>
              <w:pStyle w:val="Normal"/>
              <w:widowControl w:val="false"/>
              <w:spacing w:lineRule="auto" w:line="276" w:before="0" w:after="0"/>
              <w:rPr/>
            </w:pPr>
            <w:r>
              <w:rPr/>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300"/>
        <w:gridCol w:w="938"/>
      </w:tblGrid>
      <w:tr>
        <w:trPr>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6</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rPr/>
            </w:pPr>
            <w:r>
              <w:rPr>
                <w:rFonts w:eastAsia="Arial" w:cs="Arial"/>
                <w:color w:themeColor="text1" w:val="000000"/>
                <w:szCs w:val="22"/>
              </w:rPr>
              <w:t>Servicios de acceso y administración remota.</w:t>
            </w:r>
          </w:p>
        </w:tc>
        <w:tc>
          <w:tcPr>
            <w:tcW w:w="1300"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Horas de aula (propuesta 2026/2027)</w:t>
            </w:r>
          </w:p>
        </w:tc>
        <w:tc>
          <w:tcPr>
            <w:tcW w:w="93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t>8</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4. Administra de forma remota el sistema operativo en red valorando su importancia y aplicando criterios de seguridad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Fonts w:cs="Arial"/>
                <w:color w:themeColor="text1" w:val="000000"/>
                <w:lang w:eastAsia="es-ES"/>
              </w:rPr>
              <w:t>RA4.a. Se han descrito métodos de acceso y administración remota de sistemas</w:t>
            </w:r>
          </w:p>
          <w:p>
            <w:pPr>
              <w:pStyle w:val="Normal"/>
              <w:widowControl w:val="false"/>
              <w:spacing w:lineRule="auto" w:line="276" w:before="0" w:after="0"/>
              <w:rPr/>
            </w:pPr>
            <w:r>
              <w:rPr>
                <w:rFonts w:cs="Arial"/>
                <w:color w:themeColor="text1" w:val="000000"/>
                <w:lang w:eastAsia="es-ES"/>
              </w:rPr>
              <w:t>RA4.b. Se ha diferenciado entre los servicios orientados a sesión y los no orientados a sesión</w:t>
            </w:r>
          </w:p>
          <w:p>
            <w:pPr>
              <w:pStyle w:val="Normal"/>
              <w:widowControl w:val="false"/>
              <w:spacing w:lineRule="auto" w:line="276" w:before="0" w:after="0"/>
              <w:rPr/>
            </w:pPr>
            <w:r>
              <w:rPr>
                <w:rFonts w:cs="Arial"/>
                <w:color w:themeColor="text1" w:val="000000"/>
                <w:lang w:eastAsia="es-ES"/>
              </w:rPr>
              <w:t>RA4.c. Se han utilizado herramientas de administración remota suministradas por el propio sistema operativo</w:t>
            </w:r>
          </w:p>
          <w:p>
            <w:pPr>
              <w:pStyle w:val="Normal"/>
              <w:widowControl w:val="false"/>
              <w:spacing w:lineRule="auto" w:line="276" w:before="0" w:after="0"/>
              <w:rPr/>
            </w:pPr>
            <w:r>
              <w:rPr>
                <w:rFonts w:cs="Arial"/>
                <w:color w:themeColor="text1" w:val="000000"/>
                <w:lang w:eastAsia="es-ES"/>
              </w:rPr>
              <w:t>RA4.d. Se han instalado servicios de acceso y administración remota</w:t>
            </w:r>
          </w:p>
          <w:p>
            <w:pPr>
              <w:pStyle w:val="Normal"/>
              <w:widowControl w:val="false"/>
              <w:spacing w:lineRule="auto" w:line="276" w:before="0" w:after="0"/>
              <w:rPr/>
            </w:pPr>
            <w:r>
              <w:rPr>
                <w:rFonts w:cs="Arial"/>
                <w:color w:themeColor="text1" w:val="000000"/>
                <w:lang w:eastAsia="es-ES"/>
              </w:rPr>
              <w:t>RA4.e. Se han utilizado comandos y herramientas gráficas para gestionar los servicios de acceso y administración remota</w:t>
            </w:r>
          </w:p>
          <w:p>
            <w:pPr>
              <w:pStyle w:val="Normal"/>
              <w:widowControl w:val="false"/>
              <w:spacing w:lineRule="auto" w:line="276" w:before="0" w:after="0"/>
              <w:rPr/>
            </w:pPr>
            <w:r>
              <w:rPr>
                <w:rFonts w:cs="Arial"/>
                <w:color w:themeColor="text1" w:val="000000"/>
                <w:lang w:eastAsia="es-ES"/>
              </w:rPr>
              <w:t>RA4.f. Se han creado cuentas de usuario para el acceso remoto</w:t>
            </w:r>
          </w:p>
          <w:p>
            <w:pPr>
              <w:pStyle w:val="Normal"/>
              <w:widowControl w:val="false"/>
              <w:spacing w:lineRule="auto" w:line="276" w:before="0" w:after="0"/>
              <w:rPr/>
            </w:pPr>
            <w:r>
              <w:rPr>
                <w:rFonts w:cs="Arial"/>
                <w:color w:themeColor="text1" w:val="000000"/>
                <w:lang w:eastAsia="es-ES"/>
              </w:rPr>
              <w:t>RA4.g. Se han realizado pruebas de acceso y administración remota entre sistemas heterogéneos</w:t>
            </w:r>
          </w:p>
          <w:p>
            <w:pPr>
              <w:pStyle w:val="Normal"/>
              <w:widowControl w:val="false"/>
              <w:spacing w:lineRule="auto" w:line="276" w:before="0" w:after="0"/>
              <w:rPr/>
            </w:pPr>
            <w:r>
              <w:rPr>
                <w:rFonts w:cs="Arial"/>
                <w:color w:themeColor="text1" w:val="000000"/>
                <w:lang w:eastAsia="es-ES"/>
              </w:rPr>
              <w:t>RA4.h. Se han utilizado mecanismos de encriptación de la información transferida</w:t>
            </w:r>
          </w:p>
          <w:p>
            <w:pPr>
              <w:pStyle w:val="Normal"/>
              <w:widowControl w:val="false"/>
              <w:spacing w:lineRule="auto" w:line="276" w:before="0" w:after="0"/>
              <w:rPr/>
            </w:pPr>
            <w:r>
              <w:rPr>
                <w:rFonts w:cs="Arial"/>
                <w:color w:themeColor="text1" w:val="000000"/>
                <w:lang w:eastAsia="es-ES"/>
              </w:rPr>
              <w:t>RA4.i. Se han documentado los procesos y servicios del sistema administrados de forma remota</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1a. Administrar sistemas operativos de servidor, instalando y configurando el software, en condiciones de calidad para asegurar el funcionamiento del sistema.</w:t>
              <w:br/>
              <w:t>15ñ. Efectuar consultas, dirigiéndose a la persona adecuada y saber respetar la autonomía de los subordinados, informando cuando sea conveniente.</w:t>
              <w:br/>
              <w:t>16o. Mantener el espíritu de innovación y actualización en el ámbito de su trabajo para adaptarse a los cambios tecnológicos y organizativos de su entorno profesional.</w:t>
              <w:br/>
              <w:t>18q. Resolver problemas y tomar decisiones individuales, siguiendo las normas y procedimientos establecidos, definidos dentro del ámbito de su competencia.</w:t>
              <w:br/>
              <w:t>19r. Gestionar su carrera profesional, analizando las oportunidades de empleo, autoempleo y de aprendizaje.</w:t>
              <w:br/>
              <w:t>20s. Participar de forma activa en la vida económica, social y cultural con actitud crítica y responsable.</w:t>
            </w:r>
          </w:p>
          <w:p>
            <w:pPr>
              <w:pStyle w:val="Normal"/>
              <w:widowControl w:val="false"/>
              <w:spacing w:before="0" w:after="0"/>
              <w:rPr/>
            </w:pPr>
            <w:r>
              <w:rPr/>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2b. Instalar y configurar el software de base, siguiendo documentación técnica y especificaciones dadas, para administrar sistemas operativos de servidor.</w:t>
              <w:br/>
              <w:t>18q. Identificar formas de intervención en situaciones colectivas, analizando el proceso de toma de decisiones y efectuando consultas para liderar las mismas.</w:t>
            </w:r>
          </w:p>
          <w:p>
            <w:pPr>
              <w:pStyle w:val="Normal"/>
              <w:widowControl w:val="false"/>
              <w:spacing w:before="0" w:after="0"/>
              <w:rPr/>
            </w:pPr>
            <w:r>
              <w:rPr/>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Necesidad de la gestión remota</w:t>
            </w:r>
          </w:p>
          <w:p>
            <w:pPr>
              <w:pStyle w:val="Normal"/>
              <w:widowControl w:val="false"/>
              <w:spacing w:before="0" w:after="0"/>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Búsqueda de diferentes protocolos de gestión remota en Windows y Linux.</w:t>
            </w:r>
          </w:p>
          <w:p>
            <w:pPr>
              <w:pStyle w:val="Normal"/>
              <w:widowControl w:val="false"/>
              <w:spacing w:before="0" w:after="0"/>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Configuración del escritorio remoto.</w:t>
              <w:br/>
              <w:t>Instalación y uso del servicio ssh.</w:t>
            </w:r>
          </w:p>
          <w:p>
            <w:pPr>
              <w:pStyle w:val="Normal"/>
              <w:widowControl w:val="false"/>
              <w:spacing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Configurar el acceso administrativo por SSH al servidor del proyecto, verificar el acceso cifrado desde el cliente y documentar la configuración y las pruebas.</w:t>
            </w:r>
          </w:p>
          <w:p>
            <w:pPr>
              <w:pStyle w:val="Normal"/>
              <w:widowControl w:val="false"/>
              <w:spacing w:lineRule="auto" w:line="276" w:before="0" w:after="0"/>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Configuración del sistema a través de la gestión remota</w:t>
            </w:r>
          </w:p>
          <w:p>
            <w:pPr>
              <w:pStyle w:val="Normal"/>
              <w:widowControl w:val="false"/>
              <w:spacing w:lineRule="auto" w:line="276" w:before="0" w:after="0"/>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Diferentes herramientas de control remoto.</w:t>
            </w:r>
          </w:p>
          <w:p>
            <w:pPr>
              <w:pStyle w:val="Normal"/>
              <w:widowControl w:val="false"/>
              <w:spacing w:lineRule="auto" w:line="276"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Situación actual de la gestión remota. Protocolos más utilizados</w:t>
              <w:br/>
              <w:t>Riesgos de la gestión remota</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Enlaces y apuntes en Aules</w:t>
            </w:r>
          </w:p>
          <w:p>
            <w:pPr>
              <w:pStyle w:val="Normal"/>
              <w:widowControl w:val="false"/>
              <w:spacing w:lineRule="auto" w:line="276" w:before="0" w:after="0"/>
              <w:rPr/>
            </w:pPr>
            <w:r>
              <w:rPr/>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300"/>
        <w:gridCol w:w="938"/>
      </w:tblGrid>
      <w:tr>
        <w:trPr>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7</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rPr/>
            </w:pPr>
            <w:r>
              <w:rPr>
                <w:rFonts w:eastAsia="Arial" w:cs="Arial"/>
                <w:color w:themeColor="text1" w:val="000000"/>
                <w:szCs w:val="22"/>
              </w:rPr>
              <w:t>Administración de servidores de impresión.</w:t>
            </w:r>
          </w:p>
        </w:tc>
        <w:tc>
          <w:tcPr>
            <w:tcW w:w="1300"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Horas de aula (propuesta 2026/2027)</w:t>
            </w:r>
          </w:p>
        </w:tc>
        <w:tc>
          <w:tcPr>
            <w:tcW w:w="93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t>4</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5. Administra servidores de impresión describiendo sus funciones e integrándolos en una red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Fonts w:cs="Arial"/>
                <w:color w:themeColor="text1" w:val="000000"/>
                <w:lang w:eastAsia="es-ES"/>
              </w:rPr>
              <w:t>RA5.a. Se ha descrito la funcionalidad de los sistemas y servidores de impresión</w:t>
            </w:r>
          </w:p>
          <w:p>
            <w:pPr>
              <w:pStyle w:val="Normal"/>
              <w:widowControl w:val="false"/>
              <w:spacing w:lineRule="auto" w:line="276" w:before="0" w:after="0"/>
              <w:rPr/>
            </w:pPr>
            <w:r>
              <w:rPr>
                <w:rFonts w:cs="Arial"/>
                <w:color w:themeColor="text1" w:val="000000"/>
                <w:lang w:eastAsia="es-ES"/>
              </w:rPr>
              <w:t>RA5.b. Se han identificado los puertos y los protocolos utilizados</w:t>
            </w:r>
          </w:p>
          <w:p>
            <w:pPr>
              <w:pStyle w:val="Normal"/>
              <w:widowControl w:val="false"/>
              <w:spacing w:lineRule="auto" w:line="276" w:before="0" w:after="0"/>
              <w:rPr/>
            </w:pPr>
            <w:r>
              <w:rPr>
                <w:rFonts w:cs="Arial"/>
                <w:color w:themeColor="text1" w:val="000000"/>
                <w:lang w:eastAsia="es-ES"/>
              </w:rPr>
              <w:t>RA5.c. Se han utilizado las herramientas para la gestión de impresoras integradas en el sistema operativo</w:t>
            </w:r>
          </w:p>
          <w:p>
            <w:pPr>
              <w:pStyle w:val="Normal"/>
              <w:widowControl w:val="false"/>
              <w:spacing w:lineRule="auto" w:line="276" w:before="0" w:after="0"/>
              <w:rPr/>
            </w:pPr>
            <w:r>
              <w:rPr>
                <w:rFonts w:cs="Arial"/>
                <w:color w:themeColor="text1" w:val="000000"/>
                <w:lang w:eastAsia="es-ES"/>
              </w:rPr>
              <w:t>RA5.d. Se ha instalado y configurado un servidor de impresión en entorno Web</w:t>
            </w:r>
          </w:p>
          <w:p>
            <w:pPr>
              <w:pStyle w:val="Normal"/>
              <w:widowControl w:val="false"/>
              <w:spacing w:lineRule="auto" w:line="276" w:before="0" w:after="0"/>
              <w:rPr/>
            </w:pPr>
            <w:r>
              <w:rPr>
                <w:rFonts w:cs="Arial"/>
                <w:color w:themeColor="text1" w:val="000000"/>
                <w:lang w:eastAsia="es-ES"/>
              </w:rPr>
              <w:t>RA5.e. Se han creado y clasificado impresoras lógicas</w:t>
            </w:r>
          </w:p>
          <w:p>
            <w:pPr>
              <w:pStyle w:val="Normal"/>
              <w:widowControl w:val="false"/>
              <w:spacing w:lineRule="auto" w:line="276" w:before="0" w:after="0"/>
              <w:rPr/>
            </w:pPr>
            <w:r>
              <w:rPr>
                <w:rFonts w:cs="Arial"/>
                <w:color w:themeColor="text1" w:val="000000"/>
                <w:lang w:eastAsia="es-ES"/>
              </w:rPr>
              <w:t>RA5.f. Se han creado grupos de impresión</w:t>
            </w:r>
          </w:p>
          <w:p>
            <w:pPr>
              <w:pStyle w:val="Normal"/>
              <w:widowControl w:val="false"/>
              <w:spacing w:lineRule="auto" w:line="276" w:before="0" w:after="0"/>
              <w:rPr/>
            </w:pPr>
            <w:r>
              <w:rPr>
                <w:rFonts w:cs="Arial"/>
                <w:color w:themeColor="text1" w:val="000000"/>
                <w:lang w:eastAsia="es-ES"/>
              </w:rPr>
              <w:t>RA5.g. Se han gestionado impresoras y colas de trabajos mediante comandos y herramientas gráficas</w:t>
            </w:r>
          </w:p>
          <w:p>
            <w:pPr>
              <w:pStyle w:val="Normal"/>
              <w:widowControl w:val="false"/>
              <w:spacing w:lineRule="auto" w:line="276" w:before="0" w:after="0"/>
              <w:rPr/>
            </w:pPr>
            <w:r>
              <w:rPr>
                <w:rFonts w:cs="Arial"/>
                <w:color w:themeColor="text1" w:val="000000"/>
                <w:lang w:eastAsia="es-ES"/>
              </w:rPr>
              <w:t>RA5.h. Se han compartido impresoras en red entre sistemas operativos diferentes</w:t>
            </w:r>
          </w:p>
          <w:p>
            <w:pPr>
              <w:pStyle w:val="Normal"/>
              <w:widowControl w:val="false"/>
              <w:spacing w:lineRule="auto" w:line="276" w:before="0" w:after="0"/>
              <w:rPr/>
            </w:pPr>
            <w:r>
              <w:rPr>
                <w:rFonts w:cs="Arial"/>
                <w:color w:themeColor="text1" w:val="000000"/>
                <w:lang w:eastAsia="es-ES"/>
              </w:rPr>
              <w:t>RA5.i. Se ha documentado la configuración del servidor de impresión y de las impresoras creadas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1a. Administrar sistemas operativos de servidor, instalando y configurando el software, en condiciones de calidad para asegurar el funcionamiento del sistema.</w:t>
              <w:br/>
              <w:t>14n. Gestionar y/o realizar el mantenimiento de los recursos de su área (programando y verificando su cumplimiento), en función de las cargas de trabajo y el plan de mantenimiento.</w:t>
              <w:br/>
              <w:t>15ñ. Efectuar consultas, dirigiéndose a la persona adecuada y saber respetar la autonomía de los subordinados, informando cuando sea conveniente.</w:t>
              <w:br/>
              <w:t>16o. Mantener el espíritu de innovación y actualización en el ámbito de su trabajo para adaptarse a los cambios tecnológicos y organizativos de su entorno profesional.</w:t>
              <w:br/>
              <w:t>18q. Resolver problemas y tomar decisiones individuales, siguiendo las normas y procedimientos establecidos, definidos dentro del ámbito de su competencia.</w:t>
              <w:br/>
              <w:t>20s. Participar de forma activa en la vida económica, social y cultural con actitud crítica y responsable.</w:t>
            </w:r>
          </w:p>
          <w:p>
            <w:pPr>
              <w:pStyle w:val="Normal"/>
              <w:widowControl w:val="false"/>
              <w:spacing w:before="0" w:after="0"/>
              <w:rPr/>
            </w:pPr>
            <w:r>
              <w:rPr/>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1a. Analizar la estructura del software de base, comparando las características y prestaciones de sistemas libres y propietarios, para administrar sistemas operativos de servidor.</w:t>
              <w:br/>
              <w:t>2b. Instalar y configurar el software de base, siguiendo documentación técnica y especificaciones dadas, para administrar sistemas operativos de servidor.</w:t>
              <w:br/>
              <w:t>14n. Asignar los accesos y recursos del sistema, aplicando las especificaciones de la explotación, para administrar usuarios.</w:t>
              <w:br/>
              <w:t>15ñ. Aplicar técnicas de monitorización interpretando los resultados y relacionándolos con las medidas correctoras para diagnosticar y corregir las disfunciones.</w:t>
              <w:br/>
              <w:t>16o. Establecer la planificación de tareas, analizando actividades y cargas de trabajo del sistema para gestionar el mantenimiento.</w:t>
              <w:br/>
              <w:t>18q. Identificar formas de intervención en situaciones colectivas, analizando el proceso de toma de decisiones y efectuando consultas para liderar las mismas.</w:t>
            </w:r>
          </w:p>
          <w:p>
            <w:pPr>
              <w:pStyle w:val="Normal"/>
              <w:widowControl w:val="false"/>
              <w:spacing w:before="0" w:after="0"/>
              <w:rPr/>
            </w:pPr>
            <w:r>
              <w:rPr/>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Servicios de impresión.</w:t>
            </w:r>
          </w:p>
          <w:p>
            <w:pPr>
              <w:pStyle w:val="Normal"/>
              <w:widowControl w:val="false"/>
              <w:spacing w:before="0" w:after="0"/>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Búsqueda de diferentes servicios de impresión en los sistemas actuales.</w:t>
            </w:r>
          </w:p>
          <w:p>
            <w:pPr>
              <w:pStyle w:val="Normal"/>
              <w:widowControl w:val="false"/>
              <w:spacing w:before="0" w:after="0"/>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Comandos para la gestión de impresoras y trabajos.</w:t>
              <w:br/>
              <w:t>Servicios de impresión en Linux a través de Samba y Cups.</w:t>
              <w:br/>
              <w:t>Configuración de Rol de impresión en Windows.</w:t>
            </w:r>
          </w:p>
          <w:p>
            <w:pPr>
              <w:pStyle w:val="Normal"/>
              <w:widowControl w:val="false"/>
              <w:spacing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Si el servicio aprobado es de impresión, instalar CUPS, gestionar una cola y comprobar un trabajo desde el cliente; documentar las pruebas. Si no se elige impresión, trabajar y evaluar el RA5 en ASO.</w:t>
            </w:r>
          </w:p>
          <w:p>
            <w:pPr>
              <w:pStyle w:val="Normal"/>
              <w:widowControl w:val="false"/>
              <w:spacing w:lineRule="auto" w:line="276" w:before="0" w:after="0"/>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Instalación y configuración de Cups.</w:t>
              <w:br/>
              <w:t>Instalación y configuración de servicios de impresión en Windows.</w:t>
            </w:r>
          </w:p>
          <w:p>
            <w:pPr>
              <w:pStyle w:val="Normal"/>
              <w:widowControl w:val="false"/>
              <w:spacing w:lineRule="auto" w:line="276" w:before="0" w:after="0"/>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Protocolos avanzados de impresión en Windows y Linux.</w:t>
            </w:r>
          </w:p>
          <w:p>
            <w:pPr>
              <w:pStyle w:val="Normal"/>
              <w:widowControl w:val="false"/>
              <w:spacing w:lineRule="auto" w:line="276"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Impresoras virtuales</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Enlaces y apuntes en Aules</w:t>
            </w:r>
          </w:p>
          <w:p>
            <w:pPr>
              <w:pStyle w:val="Normal"/>
              <w:widowControl w:val="false"/>
              <w:spacing w:lineRule="auto" w:line="276" w:before="0" w:after="0"/>
              <w:rPr/>
            </w:pPr>
            <w:r>
              <w:rPr/>
            </w:r>
          </w:p>
        </w:tc>
      </w:tr>
    </w:tbl>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spacing w:lineRule="auto" w:line="259" w:before="0" w:after="160"/>
        <w:jc w:val="left"/>
        <w:rPr/>
      </w:pPr>
      <w:r>
        <w:rPr/>
      </w:r>
    </w:p>
    <w:p>
      <w:pPr>
        <w:pStyle w:val="Heading1"/>
        <w:rPr/>
      </w:pPr>
      <w:bookmarkStart w:id="24" w:name="ASOPIEmpresa0"/>
      <w:r>
        <w:rPr/>
        <w:t>PROYECTO INTERMODULAR</w:t>
      </w:r>
      <w:bookmarkEnd w:id="24"/>
    </w:p>
    <w:p>
      <w:pPr>
        <w:pStyle w:val="Heading2"/>
        <w:rPr/>
      </w:pPr>
      <w:bookmarkStart w:id="25" w:name="ASOPIEmpresa1"/>
      <w:r>
        <w:rPr/>
        <w:t>Especificaciones</w:t>
      </w:r>
      <w:bookmarkEnd w:id="25"/>
    </w:p>
    <w:p>
      <w:pPr>
        <w:pStyle w:val="Normal"/>
        <w:rPr/>
      </w:pPr>
      <w:r>
        <w:rPr/>
        <w:t>La conexión se establece con el proyecto ya desarrollado en el repositorio hermano PI: construcción, instalación y administración de un nodo Proxmox individual con VMs/LXC y servicios Linux automatizados. Cada estudiante trabaja con hardware reutilizado autorizado o con Proxmox virtualizado en VirtualBox. El Proxmox del centro queda fuera del montaje previsto.</w:t>
      </w:r>
    </w:p>
    <w:p>
      <w:pPr>
        <w:pStyle w:val="Normal"/>
        <w:rPr/>
      </w:pPr>
      <w:r>
        <w:rPr/>
        <w:t>El producto incluye un nodo administrable, una plantilla Linux, dos invitados (servidor srv-aso y cliente de pruebas), un servicio de ASO aprobado, dos scripts Bash de inventario y copia del servicio, un playbook Ansible útil ejecutado sobre el servidor, copias y restauración comprobada, pruebas y memoria Markdown en un repositorio individual de GitHub.</w:t>
      </w:r>
    </w:p>
    <w:p>
      <w:pPr>
        <w:pStyle w:val="Normal"/>
        <w:rPr/>
      </w:pPr>
      <w:r>
        <w:rPr/>
        <w:t>PI desarrolla Proxmox y profundiza en Ansible. ASO aporta los conocimientos de Linux, procesos y servicios, scripting, permisos, integración y administración remota que el alumnado aplica en el proyecto. El servicio se acuerda según los conocimientos disponibles; Samba es una opción, no se exige desplegar todos los servicios. LDAP y CUPS solo se incorporarán si forman parte del servicio elegido o de una ampliación aprobada. Un proyecto realizado únicamente con Linux o Bash no acredita por sí solo los CE que requieren sistemas heterogéneos o guiones en sistemas propietarios.</w:t>
      </w:r>
    </w:p>
    <w:p>
      <w:pPr>
        <w:pStyle w:val="Heading2"/>
        <w:rPr/>
      </w:pPr>
      <w:bookmarkStart w:id="26" w:name="ASOPIEmpresa2"/>
      <w:r>
        <w:rPr/>
        <w:t>Distribución de elementos curriculares</w:t>
      </w:r>
      <w:bookmarkEnd w:id="26"/>
    </w:p>
    <w:p>
      <w:pPr>
        <w:pStyle w:val="Normal"/>
        <w:rPr/>
      </w:pPr>
      <w:r>
        <w:rPr/>
        <w:t>Las referencias RA/CE de esta tabla corresponden a ASO, no a los RA propios de PI. Son conexiones propuestas para seleccionar evidencias concretas; no suponen cobertura automática de un RA completo.</w:t>
      </w:r>
    </w:p>
    <w:tbl>
      <w:tblPr>
        <w:tblW w:w="9000" w:type="dxa"/>
        <w:jc w:val="left"/>
        <w:tblInd w:w="103" w:type="dxa"/>
        <w:tblLayout w:type="fixed"/>
        <w:tblCellMar>
          <w:top w:w="0" w:type="dxa"/>
          <w:left w:w="108" w:type="dxa"/>
          <w:bottom w:w="0" w:type="dxa"/>
          <w:right w:w="108" w:type="dxa"/>
        </w:tblCellMar>
      </w:tblPr>
      <w:tblGrid>
        <w:gridCol w:w="2097"/>
        <w:gridCol w:w="1503"/>
        <w:gridCol w:w="1998"/>
        <w:gridCol w:w="3402"/>
      </w:tblGrid>
      <w:tr>
        <w:trPr>
          <w:tblHeader w:val="true"/>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Aportación de ASO</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Unidad / RA</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CE candidatos para la coordinación</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Evidencia</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Procesos y operación del servicio</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UD2 / RA2</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RA2.d, f, g,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Estado, arranque, registros, diagnóstico y documentación del servicio.</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Scripts de inventario y copia</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UD1 / RA7</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RA7.a, b, e, f,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Dos scripts propios adaptados; caso correcto y caso de error; copia y recuperación verificadas.</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Integración y permisos, según servicio</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UD4 / RA6</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RA6.b, e, f, h</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Configuración y pruebas cliente-servidor; completar la heterogeneidad exigida por el CE cuando corresponda.</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Tareas programadas, si se incorporan</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UD5 / RA3</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RA3.b, d, h</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Programación con cron o timers y registros. Ejecutar Ansible manualmente no acredita por sí solo planificación temporal.</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Administración remota</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UD6 / RA4</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RA4.d, e, h,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SSH, acceso administrativo, cifrado y documentación.</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Directorio, condicionado a la elección</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UD3 / RA1</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RA1.c, d, h, j</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Instalación de LDAP e integración de cliente si el servicio lo requiere.</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Impresión, condicionado a la elección</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UD7 / RA5</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RA5.d, g,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CUPS, gestión de colas y documentación si se elige este servicio.</w:t>
            </w:r>
          </w:p>
        </w:tc>
      </w:tr>
    </w:tbl>
    <w:p>
      <w:pPr>
        <w:pStyle w:val="Normal"/>
        <w:rPr/>
      </w:pPr>
      <w:r>
        <w:rPr/>
        <w:t>La coordinación se realizará antes de S13 (base Linux y SSH), S21 (servicio, permisos y pruebas) y S26 (Bash y equipo controlador de Ansible). Se comprobarán los aprendizajes disponibles y se acordarán apoyos o un servicio equivalente si falta algún requisito. Estas referencias son hitos del PI, no fechas confirmadas del calendario de ASO.</w:t>
      </w:r>
    </w:p>
    <w:p>
      <w:pPr>
        <w:pStyle w:val="Normal"/>
        <w:rPr/>
      </w:pPr>
      <w:r>
        <w:rPr/>
        <w:t>Las evidencias compartidas se localizarán en la memoria del proyecto, sin exigir otra memoria paralela. Cada módulo valorará sus propios RA y CE; no se trasladará automáticamente la nota de PI a ASO ni se sumarán horas por duplicado. Los aprendizajes de ASO que no cubra el servicio seleccionado seguirán trabajándose y evaluándose en ASO.</w:t>
      </w:r>
    </w:p>
    <w:p>
      <w:pPr>
        <w:pStyle w:val="Heading1"/>
        <w:rPr/>
      </w:pPr>
      <w:bookmarkStart w:id="27" w:name="ASOPIEmpresa3"/>
      <w:r>
        <w:rPr/>
        <w:t>PLAN FORMATIVO EN EMPRESA</w:t>
      </w:r>
      <w:bookmarkEnd w:id="27"/>
    </w:p>
    <w:p>
      <w:pPr>
        <w:pStyle w:val="Normal"/>
        <w:rPr/>
      </w:pPr>
      <w:r>
        <w:rPr/>
        <w:t>La previsión de actividades y resultados de aprendizaje de ASO en empresa tiene carácter provisional, puesto que en el momento de elaborar esta programación no se conocen las empresas de destino, sus entornos tecnológicos ni las tareas que podrán ofrecer al alumnado. No se puede asegurar de antemano que en todas las empresas se desarrollen contenidos específicos de este módulo. Una vez conocida la empresa, la tutoría del centro y la tutoría de empresa concretarán las actividades viables, los resultados de aprendizaje y criterios de evaluación relacionados, las evidencias y el seguimiento, y actualizarán el plan formativo correspondiente. Solo se incorporarán a la evaluación de ASO los aprendizajes efectivamente trabajados y acreditados. Si la empresa no permite desarrollar una actividad prevista, se revisará la planificación para asegurar el aprendizaje y su evaluación en el centro.</w:t>
      </w:r>
    </w:p>
    <w:p>
      <w:pPr>
        <w:pStyle w:val="Normal"/>
        <w:rPr/>
      </w:pPr>
      <w:r>
        <w:rPr/>
        <w:t>La ventana general de formación en empresa confirmada por el centro va del 6 de abril al 18 de junio de 2027. No todo el alumnado se incorporará ni finalizará el mismo día. Las fechas individuales, la jornada, la distribución efectiva de horas y las actividades concretas de ASO se definirán con cada empresa en el plan formativo correspondiente. Como referencia, 400 horas suponen 50 jornadas de ocho horas, sin que ese cálculo fije un calendario común.</w:t>
      </w:r>
    </w:p>
    <w:p>
      <w:pPr>
        <w:pStyle w:val="Normal"/>
        <w:rPr/>
      </w:pPr>
      <w:r>
        <w:rPr/>
        <w:t>Posibilidades orientativas, no tareas garantizadas: gestionar cuentas con supervisión; consultar registros y diagnosticar incidencias; comprobar tareas programadas; documentar intervenciones; administrar servicios remotamente cuando exista autorización.</w:t>
      </w:r>
    </w:p>
    <w:p>
      <w:pPr>
        <w:pStyle w:val="Normal"/>
        <w:rPr/>
      </w:pPr>
      <w:r>
        <w:rPr/>
        <w:t>La tabla siguiente queda provisionalmente pendiente. Antes del inicio de la estancia, las tutorías del centro y de la empresa concretarán los RA y CE, las actividades viables, el desarrollo en cada ámbito, el modo de evaluación compartida y sus porcentajes, las evidencias y las personas responsables del seguimiento.</w:t>
      </w:r>
    </w:p>
    <w:p>
      <w:pPr>
        <w:pStyle w:val="Normal"/>
        <w:rPr/>
      </w:pPr>
      <w:r>
        <w:rPr/>
        <w:t>Quedan pendientes del plan formativo qué RA se comparten, sus actividades concretas y los porcentajes. La disponibilidad de tareas depende de cada empresa. No asignar automáticamente 31 horas, ni convertir los pesos de calificación de los RA en horas de estancia. Las evidencias deben evitar datos reales de clientes, credenciales o información confidencial.</w:t>
      </w:r>
    </w:p>
    <w:tbl>
      <w:tblPr>
        <w:tblStyle w:val="TableGrid"/>
        <w:tblW w:w="9345" w:type="dxa"/>
        <w:jc w:val="left"/>
        <w:tblInd w:w="108" w:type="dxa"/>
        <w:tblLayout w:type="fixed"/>
        <w:tblCellMar>
          <w:top w:w="0" w:type="dxa"/>
          <w:left w:w="108" w:type="dxa"/>
          <w:bottom w:w="0" w:type="dxa"/>
          <w:right w:w="108" w:type="dxa"/>
        </w:tblCellMar>
        <w:tblLook w:noHBand="1" w:noVBand="1" w:firstColumn="1" w:lastRow="0" w:lastColumn="0" w:firstRow="1" w:val="06a0"/>
      </w:tblPr>
      <w:tblGrid>
        <w:gridCol w:w="2425"/>
        <w:gridCol w:w="899"/>
        <w:gridCol w:w="998"/>
        <w:gridCol w:w="1613"/>
        <w:gridCol w:w="1087"/>
        <w:gridCol w:w="1167"/>
        <w:gridCol w:w="1156"/>
      </w:tblGrid>
      <w:tr>
        <w:trPr>
          <w:trHeight w:val="300" w:hRule="atLeast"/>
        </w:trPr>
        <w:tc>
          <w:tcPr>
            <w:tcW w:w="2425" w:type="dxa"/>
            <w:vMerge w:val="restart"/>
            <w:tcBorders/>
            <w:shd w:color="auto" w:fill="767171" w:themeFill="background2" w:themeFillShade="80" w:val="clear"/>
            <w:vAlign w:val="center"/>
          </w:tcPr>
          <w:p>
            <w:pPr>
              <w:pStyle w:val="Normal"/>
              <w:widowControl w:val="false"/>
              <w:spacing w:before="0" w:after="120"/>
              <w:jc w:val="center"/>
              <w:rPr>
                <w:sz w:val="18"/>
                <w:szCs w:val="18"/>
              </w:rPr>
            </w:pPr>
            <w:r>
              <w:rPr>
                <w:b/>
                <w:bCs/>
                <w:color w:themeColor="background1" w:val="FFFFFF"/>
                <w:sz w:val="18"/>
                <w:szCs w:val="18"/>
              </w:rPr>
              <w:t>Resultado de aprendizaje</w:t>
            </w:r>
          </w:p>
        </w:tc>
        <w:tc>
          <w:tcPr>
            <w:tcW w:w="899" w:type="dxa"/>
            <w:vMerge w:val="restart"/>
            <w:tcBorders/>
            <w:shd w:color="auto" w:fill="767171" w:themeFill="background2" w:themeFillShade="80" w:val="clear"/>
            <w:vAlign w:val="center"/>
          </w:tcPr>
          <w:p>
            <w:pPr>
              <w:pStyle w:val="Normal"/>
              <w:widowControl w:val="false"/>
              <w:spacing w:before="0" w:after="120"/>
              <w:jc w:val="center"/>
              <w:rPr>
                <w:sz w:val="18"/>
                <w:szCs w:val="18"/>
              </w:rPr>
            </w:pPr>
            <w:r>
              <w:rPr>
                <w:b/>
                <w:bCs/>
                <w:color w:themeColor="background1" w:val="FFFFFF"/>
                <w:sz w:val="18"/>
                <w:szCs w:val="18"/>
              </w:rPr>
              <w:t>Centro</w:t>
            </w:r>
          </w:p>
        </w:tc>
        <w:tc>
          <w:tcPr>
            <w:tcW w:w="998" w:type="dxa"/>
            <w:vMerge w:val="restart"/>
            <w:tcBorders/>
            <w:shd w:color="auto" w:fill="767171" w:themeFill="background2" w:themeFillShade="80" w:val="clear"/>
            <w:vAlign w:val="center"/>
          </w:tcPr>
          <w:p>
            <w:pPr>
              <w:pStyle w:val="Normal"/>
              <w:widowControl w:val="false"/>
              <w:spacing w:before="0" w:after="120"/>
              <w:jc w:val="center"/>
              <w:rPr>
                <w:b/>
                <w:bCs/>
                <w:color w:themeColor="background1" w:val="FFFFFF"/>
                <w:sz w:val="18"/>
                <w:szCs w:val="18"/>
              </w:rPr>
            </w:pPr>
            <w:r>
              <w:rPr>
                <w:b/>
                <w:bCs/>
                <w:color w:themeColor="background1" w:val="FFFFFF"/>
                <w:sz w:val="18"/>
                <w:szCs w:val="18"/>
              </w:rPr>
              <w:t>Empresa</w:t>
            </w:r>
          </w:p>
        </w:tc>
        <w:tc>
          <w:tcPr>
            <w:tcW w:w="5023" w:type="dxa"/>
            <w:gridSpan w:val="4"/>
            <w:tcBorders/>
            <w:shd w:color="auto" w:fill="767171" w:themeFill="background2" w:themeFillShade="80" w:val="clear"/>
            <w:vAlign w:val="center"/>
          </w:tcPr>
          <w:p>
            <w:pPr>
              <w:pStyle w:val="Normal"/>
              <w:widowControl w:val="false"/>
              <w:spacing w:before="0" w:after="120"/>
              <w:jc w:val="center"/>
              <w:rPr>
                <w:sz w:val="18"/>
                <w:szCs w:val="18"/>
              </w:rPr>
            </w:pPr>
            <w:r>
              <w:rPr>
                <w:b/>
                <w:bCs/>
                <w:color w:themeColor="background1" w:val="FFFFFF"/>
                <w:sz w:val="18"/>
                <w:szCs w:val="18"/>
              </w:rPr>
              <w:t>Evaluación compartida</w:t>
            </w:r>
          </w:p>
        </w:tc>
      </w:tr>
      <w:tr>
        <w:trPr>
          <w:trHeight w:val="300" w:hRule="atLeast"/>
        </w:trPr>
        <w:tc>
          <w:tcPr>
            <w:tcW w:w="2425" w:type="dxa"/>
            <w:vMerge w:val="continue"/>
            <w:tcBorders/>
            <w:shd w:color="auto" w:fill="767171" w:themeFill="background2" w:themeFillShade="80" w:val="clear"/>
            <w:vAlign w:val="center"/>
          </w:tcPr>
          <w:p>
            <w:pPr>
              <w:pStyle w:val="Normal"/>
              <w:widowControl w:val="false"/>
              <w:spacing w:before="0" w:after="120"/>
              <w:jc w:val="center"/>
              <w:rPr>
                <w:b/>
                <w:bCs/>
              </w:rPr>
            </w:pPr>
            <w:r>
              <w:rPr>
                <w:b/>
                <w:bCs/>
              </w:rPr>
            </w:r>
          </w:p>
        </w:tc>
        <w:tc>
          <w:tcPr>
            <w:tcW w:w="899" w:type="dxa"/>
            <w:vMerge w:val="continue"/>
            <w:tcBorders/>
            <w:shd w:color="auto" w:fill="767171" w:themeFill="background2" w:themeFillShade="80" w:val="clear"/>
            <w:vAlign w:val="center"/>
          </w:tcPr>
          <w:p>
            <w:pPr>
              <w:pStyle w:val="Normal"/>
              <w:widowControl w:val="false"/>
              <w:spacing w:before="0" w:after="120"/>
              <w:jc w:val="center"/>
              <w:rPr>
                <w:b/>
                <w:bCs/>
              </w:rPr>
            </w:pPr>
            <w:r>
              <w:rPr>
                <w:b/>
                <w:bCs/>
              </w:rPr>
            </w:r>
          </w:p>
        </w:tc>
        <w:tc>
          <w:tcPr>
            <w:tcW w:w="998" w:type="dxa"/>
            <w:vMerge w:val="continue"/>
            <w:tcBorders/>
            <w:shd w:color="auto" w:fill="767171" w:themeFill="background2" w:themeFillShade="80" w:val="clear"/>
            <w:vAlign w:val="center"/>
          </w:tcPr>
          <w:p>
            <w:pPr>
              <w:pStyle w:val="Normal"/>
              <w:widowControl w:val="false"/>
              <w:spacing w:before="0" w:after="120"/>
              <w:jc w:val="center"/>
              <w:rPr>
                <w:b/>
                <w:bCs/>
                <w:szCs w:val="20"/>
              </w:rPr>
            </w:pPr>
            <w:r>
              <w:rPr>
                <w:b/>
                <w:bCs/>
                <w:szCs w:val="20"/>
              </w:rPr>
            </w:r>
          </w:p>
        </w:tc>
        <w:tc>
          <w:tcPr>
            <w:tcW w:w="1613" w:type="dxa"/>
            <w:tcBorders/>
            <w:shd w:color="auto" w:fill="DDDDDD" w:val="clear"/>
            <w:vAlign w:val="center"/>
          </w:tcPr>
          <w:p>
            <w:pPr>
              <w:pStyle w:val="Normal"/>
              <w:widowControl w:val="false"/>
              <w:spacing w:before="0" w:after="120"/>
              <w:jc w:val="center"/>
              <w:rPr>
                <w:sz w:val="18"/>
                <w:szCs w:val="18"/>
              </w:rPr>
            </w:pPr>
            <w:r>
              <w:rPr>
                <w:sz w:val="18"/>
                <w:szCs w:val="18"/>
              </w:rPr>
              <w:t>Modo</w:t>
            </w:r>
          </w:p>
        </w:tc>
        <w:tc>
          <w:tcPr>
            <w:tcW w:w="1087" w:type="dxa"/>
            <w:tcBorders/>
            <w:shd w:color="auto" w:fill="DDDDDD" w:val="clear"/>
            <w:vAlign w:val="center"/>
          </w:tcPr>
          <w:p>
            <w:pPr>
              <w:pStyle w:val="Normal"/>
              <w:widowControl w:val="false"/>
              <w:spacing w:before="0" w:after="120"/>
              <w:jc w:val="center"/>
              <w:rPr>
                <w:sz w:val="18"/>
                <w:szCs w:val="18"/>
              </w:rPr>
            </w:pPr>
            <w:r>
              <w:rPr>
                <w:sz w:val="18"/>
                <w:szCs w:val="18"/>
              </w:rPr>
              <w:t>% Centro</w:t>
            </w:r>
          </w:p>
        </w:tc>
        <w:tc>
          <w:tcPr>
            <w:tcW w:w="1167" w:type="dxa"/>
            <w:tcBorders/>
            <w:shd w:color="auto" w:fill="DDDDDD" w:val="clear"/>
            <w:vAlign w:val="center"/>
          </w:tcPr>
          <w:p>
            <w:pPr>
              <w:pStyle w:val="Normal"/>
              <w:widowControl w:val="false"/>
              <w:spacing w:before="0" w:after="120"/>
              <w:jc w:val="center"/>
              <w:rPr>
                <w:sz w:val="18"/>
                <w:szCs w:val="18"/>
              </w:rPr>
            </w:pPr>
            <w:r>
              <w:rPr>
                <w:sz w:val="18"/>
                <w:szCs w:val="18"/>
              </w:rPr>
              <w:t>% Empresa</w:t>
            </w:r>
          </w:p>
        </w:tc>
        <w:tc>
          <w:tcPr>
            <w:tcW w:w="1156" w:type="dxa"/>
            <w:tcBorders/>
            <w:shd w:color="auto" w:fill="DDDDDD" w:val="clear"/>
            <w:vAlign w:val="center"/>
          </w:tcPr>
          <w:p>
            <w:pPr>
              <w:pStyle w:val="Normal"/>
              <w:widowControl w:val="false"/>
              <w:spacing w:before="0" w:after="120"/>
              <w:jc w:val="center"/>
              <w:rPr>
                <w:sz w:val="18"/>
                <w:szCs w:val="18"/>
              </w:rPr>
            </w:pPr>
            <w:r>
              <w:rPr>
                <w:sz w:val="18"/>
                <w:szCs w:val="18"/>
              </w:rPr>
              <w:t>% Ampliac.</w:t>
            </w:r>
          </w:p>
        </w:tc>
      </w:tr>
      <w:tr>
        <w:trPr>
          <w:trHeight w:val="300" w:hRule="atLeast"/>
        </w:trPr>
        <w:tc>
          <w:tcPr>
            <w:tcW w:w="2425" w:type="dxa"/>
            <w:tcBorders/>
            <w:vAlign w:val="center"/>
          </w:tcPr>
          <w:p>
            <w:pPr>
              <w:pStyle w:val="Normal"/>
              <w:spacing w:before="0" w:after="120"/>
              <w:rPr/>
            </w:pPr>
            <w:r>
              <w:rPr/>
              <w:t>RA por determinar según la empresa asignada</w:t>
            </w:r>
          </w:p>
        </w:tc>
        <w:tc>
          <w:tcPr>
            <w:tcW w:w="899" w:type="dxa"/>
            <w:tcBorders/>
            <w:vAlign w:val="center"/>
          </w:tcPr>
          <w:p>
            <w:pPr>
              <w:pStyle w:val="Normal"/>
              <w:spacing w:before="0" w:after="120"/>
              <w:rPr/>
            </w:pPr>
            <w:r>
              <w:rPr/>
              <w:t>Pendiente</w:t>
            </w:r>
          </w:p>
        </w:tc>
        <w:tc>
          <w:tcPr>
            <w:tcW w:w="998" w:type="dxa"/>
            <w:tcBorders/>
            <w:vAlign w:val="center"/>
          </w:tcPr>
          <w:p>
            <w:pPr>
              <w:pStyle w:val="Normal"/>
              <w:spacing w:before="0" w:after="120"/>
              <w:rPr/>
            </w:pPr>
            <w:r>
              <w:rPr/>
              <w:t>Pendiente</w:t>
            </w:r>
          </w:p>
        </w:tc>
        <w:tc>
          <w:tcPr>
            <w:tcW w:w="1613" w:type="dxa"/>
            <w:tcBorders/>
            <w:vAlign w:val="center"/>
          </w:tcPr>
          <w:p>
            <w:pPr>
              <w:pStyle w:val="Normal"/>
              <w:spacing w:before="0" w:after="120"/>
              <w:rPr/>
            </w:pPr>
            <w:r>
              <w:rPr/>
              <w:t>Pendiente</w:t>
            </w:r>
          </w:p>
        </w:tc>
        <w:tc>
          <w:tcPr>
            <w:tcW w:w="1087" w:type="dxa"/>
            <w:tcBorders/>
            <w:vAlign w:val="center"/>
          </w:tcPr>
          <w:p>
            <w:pPr>
              <w:pStyle w:val="Normal"/>
              <w:spacing w:before="0" w:after="120"/>
              <w:rPr/>
            </w:pPr>
            <w:r>
              <w:rPr/>
              <w:t>—</w:t>
            </w:r>
          </w:p>
        </w:tc>
        <w:tc>
          <w:tcPr>
            <w:tcW w:w="1167" w:type="dxa"/>
            <w:tcBorders/>
            <w:vAlign w:val="center"/>
          </w:tcPr>
          <w:p>
            <w:pPr>
              <w:pStyle w:val="Normal"/>
              <w:spacing w:before="0" w:after="120"/>
              <w:rPr/>
            </w:pPr>
            <w:r>
              <w:rPr/>
              <w:t>—</w:t>
            </w:r>
          </w:p>
        </w:tc>
        <w:tc>
          <w:tcPr>
            <w:tcW w:w="1156" w:type="dxa"/>
            <w:tcBorders/>
            <w:vAlign w:val="center"/>
          </w:tcPr>
          <w:p>
            <w:pPr>
              <w:pStyle w:val="Normal"/>
              <w:spacing w:before="0" w:after="120"/>
              <w:rPr/>
            </w:pPr>
            <w:r>
              <w:rPr/>
              <w:t>—</w:t>
            </w:r>
          </w:p>
        </w:tc>
      </w:tr>
      <w:tr>
        <w:trPr>
          <w:trHeight w:val="300" w:hRule="atLeast"/>
        </w:trPr>
        <w:tc>
          <w:tcPr>
            <w:tcW w:w="9345" w:type="dxa"/>
            <w:gridSpan w:val="7"/>
            <w:tcBorders/>
            <w:shd w:color="auto" w:fill="808080" w:val="clear"/>
            <w:vAlign w:val="center"/>
          </w:tcPr>
          <w:p>
            <w:pPr>
              <w:pStyle w:val="Normal"/>
              <w:spacing w:before="0" w:after="120"/>
              <w:rPr/>
            </w:pPr>
            <w:r>
              <w:rPr/>
              <w:t>Actividades formativas a realizar en la empresa relacionadas con los resultados de aprendizaje</w:t>
            </w:r>
          </w:p>
        </w:tc>
      </w:tr>
      <w:tr>
        <w:trPr>
          <w:trHeight w:val="300" w:hRule="atLeast"/>
        </w:trPr>
        <w:tc>
          <w:tcPr>
            <w:tcW w:w="9345" w:type="dxa"/>
            <w:gridSpan w:val="7"/>
            <w:tcBorders/>
          </w:tcPr>
          <w:p>
            <w:pPr>
              <w:pStyle w:val="Normal"/>
              <w:spacing w:before="0" w:after="120"/>
              <w:rPr/>
            </w:pPr>
            <w:r>
              <w:rPr/>
              <w:t>Pendientes de concretar con la empresa asignada antes del inicio de la estancia: tareas, RA y CE relacionados, evidencias, seguimiento y personas responsables.</w:t>
            </w:r>
          </w:p>
        </w:tc>
      </w:tr>
    </w:tbl>
    <w:p>
      <w:pPr>
        <w:pStyle w:val="Heading1"/>
        <w:pBdr>
          <w:top w:val="single" w:sz="12" w:space="1" w:color="C00000"/>
          <w:left w:val="single" w:sz="12" w:space="4" w:color="C00000"/>
          <w:bottom w:val="single" w:sz="12" w:space="1" w:color="C00000"/>
          <w:right w:val="single" w:sz="12" w:space="4" w:color="C00000"/>
        </w:pBdr>
        <w:rPr/>
      </w:pPr>
      <w:bookmarkStart w:id="28" w:name="ASOIndice17"/>
      <w:r>
        <w:rPr/>
        <w:t>EVALUACIÓN Y CALIFICACIÓN</w:t>
      </w:r>
      <w:bookmarkEnd w:id="28"/>
    </w:p>
    <w:p>
      <w:pPr>
        <w:pStyle w:val="Normal"/>
        <w:rPr>
          <w:rFonts w:cs="Arial"/>
          <w:color w:themeColor="background2" w:themeShade="bf" w:val="AEAAAA"/>
        </w:rPr>
      </w:pPr>
      <w:r>
        <w:rPr>
          <w:rFonts w:cs="Arial"/>
        </w:rPr>
        <w:t>La evaluación del aprendizaje es un factor fundamental para garantizar la calidad del proceso de enseñanza y aprendizaje. Por tanto, la evaluación es un proceso permanente y continuo, aunque en algunos momentos se realicen acciones específicas con un fin determinado. En función de cuál sea este momento, podemos diferenciar:</w:t>
      </w:r>
    </w:p>
    <w:p>
      <w:pPr>
        <w:pStyle w:val="ListParagraph"/>
        <w:numPr>
          <w:ilvl w:val="0"/>
          <w:numId w:val="2"/>
        </w:numPr>
        <w:suppressAutoHyphens w:val="false"/>
        <w:spacing w:lineRule="auto" w:line="259" w:before="0" w:after="160"/>
        <w:contextualSpacing/>
        <w:rPr>
          <w:color w:themeColor="background2" w:themeShade="bf" w:val="AEAAAA"/>
        </w:rPr>
      </w:pPr>
      <w:r>
        <w:rPr>
          <w:b/>
          <w:bCs/>
        </w:rPr>
        <w:t>Evaluación inicial o diagnóstica</w:t>
      </w:r>
      <w:r>
        <w:rPr/>
        <w:t>. Se realiza al comienzo del módulo, en el mes de septiembre y su finalidad es la toma de decisiones sobre la planificación inicial del módulo la unidad formativa según las capacidades y necesidades del alumnado. Por norma general se realizará por medio de un cuestionario que valore los conocimientos previos.</w:t>
      </w:r>
    </w:p>
    <w:p>
      <w:pPr>
        <w:pStyle w:val="ListParagraph"/>
        <w:rPr>
          <w:color w:themeColor="background2" w:themeShade="bf" w:val="AEAAAA"/>
        </w:rPr>
      </w:pPr>
      <w:r>
        <w:rPr/>
        <w:t>Una vez analizadas las respuestas de todo el alumnado, el equipo educativo realizará las adaptaciones necesarias de la propuesta didáctica.</w:t>
      </w:r>
    </w:p>
    <w:p>
      <w:pPr>
        <w:pStyle w:val="ListParagraph"/>
        <w:numPr>
          <w:ilvl w:val="0"/>
          <w:numId w:val="2"/>
        </w:numPr>
        <w:suppressAutoHyphens w:val="false"/>
        <w:spacing w:lineRule="auto" w:line="259" w:before="0" w:after="160"/>
        <w:contextualSpacing/>
        <w:rPr>
          <w:color w:themeColor="background2" w:themeShade="bf" w:val="AEAAAA"/>
        </w:rPr>
      </w:pPr>
      <w:r>
        <w:rPr>
          <w:b/>
          <w:bCs/>
        </w:rPr>
        <w:t xml:space="preserve">Evaluación continua. </w:t>
      </w:r>
      <w:r>
        <w:rPr/>
        <w:t>Se realiza durante el desarrollo de la unidad formativa y con ella se puede valorar el progreso del</w:t>
      </w:r>
      <w:r>
        <w:rPr>
          <w:b/>
          <w:bCs/>
        </w:rPr>
        <w:t xml:space="preserve"> </w:t>
      </w:r>
      <w:r>
        <w:rPr/>
        <w:t xml:space="preserve">alumnado, así como la calidad de la práctica docente. Permite ir adaptándose a las circunstancias e imponderables que vayan surgiendo e ir mejorando el proceso. </w:t>
      </w:r>
    </w:p>
    <w:p>
      <w:pPr>
        <w:pStyle w:val="ListParagraph"/>
        <w:rPr>
          <w:color w:themeColor="background2" w:themeShade="bf" w:val="AEAAAA"/>
        </w:rPr>
      </w:pPr>
      <w:r>
        <w:rPr/>
        <w:t xml:space="preserve">Al ser una </w:t>
      </w:r>
      <w:r>
        <w:rPr>
          <w:b/>
          <w:bCs/>
        </w:rPr>
        <w:t>evaluación competencial</w:t>
      </w:r>
      <w:r>
        <w:rPr/>
        <w:t xml:space="preserve"> en el que se toma como referente los resultados de aprendizaje, estos se ponderan en porcentajes indicando la relevancia que tienen en el total de la calificación de la evaluación final del alumnado.</w:t>
      </w:r>
    </w:p>
    <w:p>
      <w:pPr>
        <w:pStyle w:val="ListParagraph"/>
        <w:rPr>
          <w:color w:themeColor="background2" w:themeShade="bf" w:val="AEAAAA"/>
        </w:rPr>
      </w:pPr>
      <w:r>
        <w:rPr/>
        <w:t>Esta evaluación se realiza por medio de instrumentos de evaluación y criterios de calificación que se indican en cada una de las actividades con calificación de la programación de aula.</w:t>
      </w:r>
    </w:p>
    <w:p>
      <w:pPr>
        <w:pStyle w:val="ListParagraph"/>
        <w:numPr>
          <w:ilvl w:val="0"/>
          <w:numId w:val="2"/>
        </w:numPr>
        <w:suppressAutoHyphens w:val="false"/>
        <w:spacing w:lineRule="auto" w:line="259" w:before="0" w:after="160"/>
        <w:contextualSpacing/>
        <w:rPr>
          <w:b/>
          <w:bCs/>
          <w:color w:themeColor="background2" w:themeShade="bf" w:val="AEAAAA"/>
        </w:rPr>
      </w:pPr>
      <w:r>
        <w:rPr>
          <w:b/>
          <w:bCs/>
        </w:rPr>
        <w:t xml:space="preserve">Evaluación final. </w:t>
      </w:r>
      <w:r>
        <w:rPr/>
        <w:t xml:space="preserve">Si el/la alumno/a no supera por medio de la evaluación continua el módulo, tendrá derecho a una evaluación en la convocatoria ordinaria y extraordinaria de los RAs no superados. </w:t>
      </w:r>
    </w:p>
    <w:p>
      <w:pPr>
        <w:pStyle w:val="Heading2"/>
        <w:rPr/>
      </w:pPr>
      <w:bookmarkStart w:id="29" w:name="ASOIndice18"/>
      <w:r>
        <w:rPr/>
        <w:t>Instrumentos de evaluación</w:t>
      </w:r>
      <w:bookmarkEnd w:id="29"/>
    </w:p>
    <w:p>
      <w:pPr>
        <w:pStyle w:val="Normal"/>
        <w:rPr/>
      </w:pPr>
      <w:r>
        <w:rPr/>
      </w:r>
    </w:p>
    <w:tbl>
      <w:tblPr>
        <w:tblStyle w:val="Tablaconcuadrcula"/>
        <w:tblW w:w="9345" w:type="dxa"/>
        <w:jc w:val="left"/>
        <w:tblInd w:w="113" w:type="dxa"/>
        <w:tblLayout w:type="fixed"/>
        <w:tblCellMar>
          <w:top w:w="0" w:type="dxa"/>
          <w:left w:w="108" w:type="dxa"/>
          <w:bottom w:w="0" w:type="dxa"/>
          <w:right w:w="108" w:type="dxa"/>
        </w:tblCellMar>
        <w:tblLook w:noHBand="1" w:noVBand="1" w:firstColumn="1" w:lastRow="0" w:lastColumn="0" w:firstRow="1" w:val="06a0"/>
      </w:tblPr>
      <w:tblGrid>
        <w:gridCol w:w="1620"/>
        <w:gridCol w:w="2925"/>
        <w:gridCol w:w="4800"/>
      </w:tblGrid>
      <w:tr>
        <w:trPr>
          <w:trHeight w:val="300" w:hRule="atLeast"/>
        </w:trPr>
        <w:tc>
          <w:tcPr>
            <w:tcW w:w="1620" w:type="dxa"/>
            <w:tcBorders/>
            <w:shd w:color="auto" w:fill="767171" w:themeFill="background2" w:themeFillShade="80" w:val="clear"/>
          </w:tcPr>
          <w:p>
            <w:pPr>
              <w:pStyle w:val="Normal"/>
              <w:widowControl w:val="false"/>
              <w:suppressAutoHyphens w:val="true"/>
              <w:spacing w:before="0" w:after="120"/>
              <w:jc w:val="center"/>
              <w:rPr>
                <w:b/>
                <w:bCs/>
                <w:color w:themeColor="background1" w:val="FFFFFF"/>
              </w:rPr>
            </w:pPr>
            <w:r>
              <w:rPr>
                <w:b/>
                <w:bCs/>
                <w:color w:themeColor="background1" w:val="FFFFFF"/>
                <w:sz w:val="20"/>
                <w:lang w:val="es-ES" w:bidi="hi-IN"/>
              </w:rPr>
              <w:t>Código</w:t>
            </w:r>
          </w:p>
        </w:tc>
        <w:tc>
          <w:tcPr>
            <w:tcW w:w="2925" w:type="dxa"/>
            <w:tcBorders/>
            <w:shd w:color="auto" w:fill="767171" w:themeFill="background2" w:themeFillShade="80" w:val="clear"/>
          </w:tcPr>
          <w:p>
            <w:pPr>
              <w:pStyle w:val="Normal"/>
              <w:widowControl w:val="false"/>
              <w:suppressAutoHyphens w:val="true"/>
              <w:spacing w:before="0" w:after="120"/>
              <w:jc w:val="center"/>
              <w:rPr>
                <w:b/>
                <w:bCs/>
                <w:color w:themeColor="background1" w:val="FFFFFF"/>
              </w:rPr>
            </w:pPr>
            <w:r>
              <w:rPr>
                <w:b/>
                <w:bCs/>
                <w:color w:themeColor="background1" w:val="FFFFFF"/>
                <w:sz w:val="20"/>
                <w:lang w:val="es-ES" w:bidi="hi-IN"/>
              </w:rPr>
              <w:t>Nombre</w:t>
            </w:r>
          </w:p>
        </w:tc>
        <w:tc>
          <w:tcPr>
            <w:tcW w:w="4800" w:type="dxa"/>
            <w:tcBorders/>
            <w:shd w:color="auto" w:fill="767171" w:themeFill="background2" w:themeFillShade="80" w:val="clear"/>
          </w:tcPr>
          <w:p>
            <w:pPr>
              <w:pStyle w:val="Normal"/>
              <w:widowControl w:val="false"/>
              <w:suppressAutoHyphens w:val="true"/>
              <w:spacing w:before="0" w:after="120"/>
              <w:jc w:val="center"/>
              <w:rPr>
                <w:b/>
                <w:bCs/>
                <w:color w:themeColor="background1" w:val="FFFFFF"/>
              </w:rPr>
            </w:pPr>
            <w:r>
              <w:rPr>
                <w:b/>
                <w:bCs/>
                <w:color w:themeColor="background1" w:val="FFFFFF"/>
                <w:sz w:val="20"/>
                <w:lang w:val="es-ES" w:bidi="hi-IN"/>
              </w:rPr>
              <w:t>Descripción</w:t>
            </w:r>
          </w:p>
        </w:tc>
      </w:tr>
      <w:tr>
        <w:trPr>
          <w:trHeight w:val="300" w:hRule="atLeast"/>
        </w:trPr>
        <w:tc>
          <w:tcPr>
            <w:tcW w:w="1620" w:type="dxa"/>
            <w:tcBorders/>
          </w:tcPr>
          <w:p>
            <w:pPr>
              <w:pStyle w:val="Normal"/>
              <w:widowControl w:val="false"/>
              <w:suppressAutoHyphens w:val="true"/>
              <w:spacing w:before="0" w:after="120"/>
              <w:rPr>
                <w:sz w:val="20"/>
                <w:lang w:val="es-ES" w:bidi="hi-IN"/>
              </w:rPr>
            </w:pPr>
            <w:r>
              <w:rPr>
                <w:sz w:val="20"/>
                <w:lang w:val="es-ES" w:bidi="hi-IN"/>
              </w:rPr>
              <w:t>IE1</w:t>
            </w:r>
          </w:p>
        </w:tc>
        <w:tc>
          <w:tcPr>
            <w:tcW w:w="2925" w:type="dxa"/>
            <w:tcBorders/>
          </w:tcPr>
          <w:p>
            <w:pPr>
              <w:pStyle w:val="Normal"/>
              <w:widowControl w:val="false"/>
              <w:suppressAutoHyphens w:val="true"/>
              <w:spacing w:before="0" w:after="120"/>
              <w:rPr>
                <w:sz w:val="20"/>
                <w:lang w:val="es-ES" w:bidi="hi-IN"/>
              </w:rPr>
            </w:pPr>
            <w:r>
              <w:rPr>
                <w:sz w:val="20"/>
                <w:lang w:val="es-ES" w:bidi="hi-IN"/>
              </w:rPr>
              <w:t>Cuestionario</w:t>
            </w:r>
          </w:p>
        </w:tc>
        <w:tc>
          <w:tcPr>
            <w:tcW w:w="4800" w:type="dxa"/>
            <w:tcBorders/>
          </w:tcPr>
          <w:p>
            <w:pPr>
              <w:pStyle w:val="Normal"/>
              <w:widowControl w:val="false"/>
              <w:suppressAutoHyphens w:val="true"/>
              <w:spacing w:before="0" w:after="120"/>
              <w:rPr>
                <w:sz w:val="20"/>
                <w:lang w:val="es-ES" w:bidi="hi-IN"/>
              </w:rPr>
            </w:pPr>
            <w:r>
              <w:rPr>
                <w:sz w:val="20"/>
                <w:lang w:val="es-ES" w:bidi="hi-IN"/>
              </w:rPr>
              <w:t>Relación de preguntas con diferentes tipos de respuestas (única, múltiple, respuesta breve ...)</w:t>
            </w:r>
          </w:p>
        </w:tc>
      </w:tr>
      <w:tr>
        <w:trPr>
          <w:trHeight w:val="300" w:hRule="atLeast"/>
        </w:trPr>
        <w:tc>
          <w:tcPr>
            <w:tcW w:w="1620" w:type="dxa"/>
            <w:tcBorders/>
          </w:tcPr>
          <w:p>
            <w:pPr>
              <w:pStyle w:val="Normal"/>
              <w:widowControl w:val="false"/>
              <w:suppressAutoHyphens w:val="true"/>
              <w:spacing w:before="0" w:after="120"/>
              <w:rPr>
                <w:sz w:val="20"/>
                <w:lang w:val="es-ES" w:bidi="hi-IN"/>
              </w:rPr>
            </w:pPr>
            <w:r>
              <w:rPr>
                <w:sz w:val="20"/>
                <w:lang w:val="es-ES" w:bidi="hi-IN"/>
              </w:rPr>
              <w:t>IE2</w:t>
            </w:r>
          </w:p>
        </w:tc>
        <w:tc>
          <w:tcPr>
            <w:tcW w:w="2925" w:type="dxa"/>
            <w:tcBorders/>
          </w:tcPr>
          <w:p>
            <w:pPr>
              <w:pStyle w:val="Normal"/>
              <w:widowControl w:val="false"/>
              <w:suppressAutoHyphens w:val="true"/>
              <w:spacing w:before="0" w:after="120"/>
              <w:rPr>
                <w:sz w:val="20"/>
                <w:lang w:val="es-ES" w:bidi="hi-IN"/>
              </w:rPr>
            </w:pPr>
            <w:r>
              <w:rPr>
                <w:sz w:val="20"/>
                <w:lang w:val="es-ES" w:bidi="hi-IN"/>
              </w:rPr>
              <w:t>Ejemplo guiado</w:t>
            </w:r>
          </w:p>
        </w:tc>
        <w:tc>
          <w:tcPr>
            <w:tcW w:w="4800" w:type="dxa"/>
            <w:tcBorders/>
          </w:tcPr>
          <w:p>
            <w:pPr>
              <w:pStyle w:val="Normal"/>
              <w:widowControl w:val="false"/>
              <w:suppressAutoHyphens w:val="true"/>
              <w:spacing w:before="0" w:after="120"/>
              <w:rPr>
                <w:sz w:val="20"/>
                <w:lang w:val="es-ES" w:bidi="hi-IN"/>
              </w:rPr>
            </w:pPr>
            <w:r>
              <w:rPr>
                <w:sz w:val="20"/>
                <w:lang w:val="es-ES" w:bidi="hi-IN"/>
              </w:rPr>
              <w:t>Tareas desarrolladas paso a paso, bajo supervisión del docente, al tiempo que se sigue una serie de explicaciones.</w:t>
            </w:r>
          </w:p>
        </w:tc>
      </w:tr>
      <w:tr>
        <w:trPr>
          <w:trHeight w:val="300" w:hRule="atLeast"/>
        </w:trPr>
        <w:tc>
          <w:tcPr>
            <w:tcW w:w="1620" w:type="dxa"/>
            <w:tcBorders/>
          </w:tcPr>
          <w:p>
            <w:pPr>
              <w:pStyle w:val="Normal"/>
              <w:widowControl w:val="false"/>
              <w:suppressAutoHyphens w:val="true"/>
              <w:spacing w:before="0" w:after="120"/>
              <w:rPr>
                <w:sz w:val="20"/>
                <w:lang w:val="es-ES" w:bidi="hi-IN"/>
              </w:rPr>
            </w:pPr>
            <w:r>
              <w:rPr>
                <w:sz w:val="20"/>
                <w:lang w:val="es-ES" w:bidi="hi-IN"/>
              </w:rPr>
              <w:t>IE3</w:t>
            </w:r>
          </w:p>
        </w:tc>
        <w:tc>
          <w:tcPr>
            <w:tcW w:w="2925" w:type="dxa"/>
            <w:tcBorders/>
          </w:tcPr>
          <w:p>
            <w:pPr>
              <w:pStyle w:val="Normal"/>
              <w:widowControl w:val="false"/>
              <w:suppressAutoHyphens w:val="true"/>
              <w:spacing w:before="0" w:after="120"/>
              <w:rPr>
                <w:sz w:val="20"/>
                <w:lang w:val="es-ES" w:bidi="hi-IN"/>
              </w:rPr>
            </w:pPr>
            <w:r>
              <w:rPr>
                <w:sz w:val="20"/>
                <w:lang w:val="es-ES" w:bidi="hi-IN"/>
              </w:rPr>
              <w:t>Resolución de actividades</w:t>
            </w:r>
          </w:p>
        </w:tc>
        <w:tc>
          <w:tcPr>
            <w:tcW w:w="4800" w:type="dxa"/>
            <w:tcBorders/>
          </w:tcPr>
          <w:p>
            <w:pPr>
              <w:pStyle w:val="Normal"/>
              <w:widowControl w:val="false"/>
              <w:suppressAutoHyphens w:val="true"/>
              <w:spacing w:before="0" w:after="120"/>
              <w:rPr>
                <w:sz w:val="20"/>
                <w:lang w:val="es-ES" w:bidi="hi-IN"/>
              </w:rPr>
            </w:pPr>
            <w:r>
              <w:rPr>
                <w:sz w:val="20"/>
                <w:lang w:val="es-ES" w:bidi="hi-IN"/>
              </w:rPr>
              <w:t>Tareas o ejercicios concretos y aislados de aspectos curriculares, que pueden seguir una secuencia lógica o acumulativa.</w:t>
            </w:r>
          </w:p>
        </w:tc>
      </w:tr>
      <w:tr>
        <w:trPr>
          <w:trHeight w:val="300" w:hRule="atLeast"/>
        </w:trPr>
        <w:tc>
          <w:tcPr>
            <w:tcW w:w="1620" w:type="dxa"/>
            <w:tcBorders/>
          </w:tcPr>
          <w:p>
            <w:pPr>
              <w:pStyle w:val="Normal"/>
              <w:widowControl w:val="false"/>
              <w:suppressAutoHyphens w:val="true"/>
              <w:spacing w:before="0" w:after="120"/>
              <w:rPr>
                <w:sz w:val="20"/>
                <w:lang w:val="es-ES" w:bidi="hi-IN"/>
              </w:rPr>
            </w:pPr>
            <w:r>
              <w:rPr>
                <w:sz w:val="20"/>
                <w:lang w:val="es-ES" w:bidi="hi-IN"/>
              </w:rPr>
              <w:t>IE4</w:t>
            </w:r>
          </w:p>
        </w:tc>
        <w:tc>
          <w:tcPr>
            <w:tcW w:w="2925" w:type="dxa"/>
            <w:tcBorders/>
          </w:tcPr>
          <w:p>
            <w:pPr>
              <w:pStyle w:val="Normal"/>
              <w:widowControl w:val="false"/>
              <w:suppressAutoHyphens w:val="true"/>
              <w:spacing w:before="0" w:after="120"/>
              <w:rPr>
                <w:sz w:val="20"/>
                <w:lang w:val="es-ES" w:bidi="hi-IN"/>
              </w:rPr>
            </w:pPr>
            <w:r>
              <w:rPr>
                <w:sz w:val="20"/>
                <w:lang w:val="es-ES" w:bidi="hi-IN"/>
              </w:rPr>
              <w:t>Prueba objetiva</w:t>
            </w:r>
          </w:p>
        </w:tc>
        <w:tc>
          <w:tcPr>
            <w:tcW w:w="4800" w:type="dxa"/>
            <w:tcBorders/>
          </w:tcPr>
          <w:p>
            <w:pPr>
              <w:pStyle w:val="Normal"/>
              <w:widowControl w:val="false"/>
              <w:suppressAutoHyphens w:val="true"/>
              <w:spacing w:before="0" w:after="120"/>
              <w:rPr>
                <w:sz w:val="20"/>
                <w:lang w:val="es-ES" w:bidi="hi-IN"/>
              </w:rPr>
            </w:pPr>
            <w:r>
              <w:rPr>
                <w:sz w:val="20"/>
                <w:lang w:val="es-ES" w:bidi="hi-IN"/>
              </w:rPr>
              <w:t>Conjunto de tareas teórico-prácticas con limitación temporal.</w:t>
            </w:r>
          </w:p>
        </w:tc>
      </w:tr>
    </w:tbl>
    <w:p>
      <w:pPr>
        <w:pStyle w:val="Heading2"/>
        <w:rPr/>
      </w:pPr>
      <w:bookmarkStart w:id="30" w:name="ASOIndice19"/>
      <w:r>
        <w:rPr/>
        <w:t>Criterios de calificación</w:t>
      </w:r>
      <w:bookmarkEnd w:id="30"/>
    </w:p>
    <w:p>
      <w:pPr>
        <w:pStyle w:val="Normal"/>
        <w:rPr>
          <w:color w:themeColor="background2" w:themeShade="bf" w:val="AEAAAA"/>
        </w:rPr>
      </w:pPr>
      <w:r>
        <w:rPr/>
        <w:t xml:space="preserve">Las </w:t>
      </w:r>
      <w:r>
        <w:rPr>
          <w:b/>
          <w:bCs/>
        </w:rPr>
        <w:t>actividades de enseñanza-aprendizaje de evaluación</w:t>
      </w:r>
      <w:r>
        <w:rPr/>
        <w:t xml:space="preserve"> contenidas en cada unidad formativa serán valoradas de 0 a 10 puntos. Dichas actividades están asociadas a uno o más Criterios de evaluación (e indirectamente, a uno o más resultados de aprendizaje).</w:t>
      </w:r>
    </w:p>
    <w:p>
      <w:pPr>
        <w:pStyle w:val="Normal"/>
        <w:rPr>
          <w:color w:themeColor="background2" w:themeShade="bf" w:val="AEAAAA"/>
        </w:rPr>
      </w:pPr>
      <w:r>
        <w:rPr/>
        <w:t>Para calcular la calificación de cada resultado de aprendizaje se tendrán en cuenta los criterios de evaluación trabajados en cada actividad de enseñanza-aprendizaje.</w:t>
      </w:r>
    </w:p>
    <w:p>
      <w:pPr>
        <w:pStyle w:val="Normal"/>
        <w:rPr>
          <w:color w:themeColor="background2" w:themeShade="bf" w:val="AEAAAA"/>
        </w:rPr>
      </w:pPr>
      <w:r>
        <w:rPr/>
        <w:t>La calificación final se calculará como la media ponderada de los Resultados de Aprendizaje y los Criterios de evaluación, según las ponderaciones detalladas en el Anexo I.</w:t>
      </w:r>
    </w:p>
    <w:p>
      <w:pPr>
        <w:pStyle w:val="Normal"/>
        <w:jc w:val="left"/>
        <w:rPr>
          <w:b/>
          <w:bCs/>
          <w:color w:themeColor="background2" w:themeShade="bf" w:val="AEAAAA"/>
        </w:rPr>
      </w:pPr>
      <w:r>
        <w:rPr>
          <w:b/>
          <w:bCs/>
        </w:rPr>
        <w:t>Los criterios de calificación de cada resultado de aprendizaje se detallan en el anexo I.</w:t>
      </w:r>
    </w:p>
    <w:p>
      <w:pPr>
        <w:pStyle w:val="Normal"/>
        <w:rPr/>
      </w:pPr>
      <w:r>
        <w:rPr/>
        <w:t>Para superar el módulo, el alumnado debe obtener una calificación igual o mayor a 5 en cada RA.</w:t>
      </w:r>
    </w:p>
    <w:p>
      <w:pPr>
        <w:pStyle w:val="Normal"/>
        <w:rPr/>
      </w:pPr>
      <w:r>
        <w:rPr/>
        <w:t>La calificación oficial del módulo se consignará entre 1 y 10, sin decimales, conforme al artículo 5 de la Orden 8/2025. Las valoraciones de actividades y RA se expresan internamente entre 0 y 10.</w:t>
      </w:r>
    </w:p>
    <w:p>
      <w:pPr>
        <w:pStyle w:val="Normal"/>
        <w:rPr/>
      </w:pPr>
      <w:r>
        <w:rPr/>
      </w:r>
    </w:p>
    <w:p>
      <w:pPr>
        <w:pStyle w:val="Heading2"/>
        <w:rPr/>
      </w:pPr>
      <w:bookmarkStart w:id="31" w:name="ASOIndice20"/>
      <w:bookmarkStart w:id="32" w:name="_Toc101953472"/>
      <w:r>
        <w:rPr/>
        <w:t>Recuperación de los resultados de aprendizaje</w:t>
      </w:r>
      <w:bookmarkEnd w:id="32"/>
      <w:r>
        <w:rPr/>
        <w:t xml:space="preserve"> </w:t>
      </w:r>
      <w:bookmarkEnd w:id="31"/>
    </w:p>
    <w:p>
      <w:pPr>
        <w:pStyle w:val="Normal"/>
        <w:rPr>
          <w:color w:themeColor="background2" w:themeShade="bf" w:val="AEAAAA"/>
        </w:rPr>
      </w:pPr>
      <w:r>
        <w:rPr/>
        <w:t>La recuperación de los RAs no superados y/o actividades se realizará durante el periodo lectivo ordinario del curso de las siguientes maneras dependiendo de las características de las actividades evaluables y del criterio docente:</w:t>
      </w:r>
    </w:p>
    <w:p>
      <w:pPr>
        <w:pStyle w:val="ListParagraph"/>
        <w:numPr>
          <w:ilvl w:val="0"/>
          <w:numId w:val="4"/>
        </w:numPr>
        <w:rPr>
          <w:color w:themeColor="background2" w:themeShade="bf" w:val="AEAAAA"/>
        </w:rPr>
      </w:pPr>
      <w:r>
        <w:rPr/>
        <w:t>Realización o rectificación de las mismas actividades evaluables asociadas al CE/RA siempre que no se haya proporcionado las soluciones y/o no exista riesgo de copia.</w:t>
      </w:r>
    </w:p>
    <w:p>
      <w:pPr>
        <w:pStyle w:val="ListParagraph"/>
        <w:rPr>
          <w:color w:themeColor="background2" w:themeShade="bf" w:val="AEAAAA"/>
        </w:rPr>
      </w:pPr>
      <w:r>
        <w:rPr>
          <w:color w:themeColor="background2" w:themeShade="bf" w:val="AEAAAA"/>
        </w:rPr>
      </w:r>
    </w:p>
    <w:p>
      <w:pPr>
        <w:pStyle w:val="ListParagraph"/>
        <w:numPr>
          <w:ilvl w:val="0"/>
          <w:numId w:val="4"/>
        </w:numPr>
        <w:rPr>
          <w:color w:themeColor="background2" w:themeShade="bf" w:val="AEAAAA"/>
        </w:rPr>
      </w:pPr>
      <w:r>
        <w:rPr/>
        <w:t>Pruebas escritas finales con contenido teórico-práctico. Cada elemento de la prueba deberá indicar el RA asociado y su puntuación.</w:t>
      </w:r>
    </w:p>
    <w:p>
      <w:pPr>
        <w:pStyle w:val="Normal"/>
        <w:rPr>
          <w:color w:themeColor="background2" w:themeShade="bf" w:val="AEAAAA"/>
        </w:rPr>
      </w:pPr>
      <w:r>
        <w:rPr/>
        <w:t>Los RA no superados se valorarán con los mismos criterios del apartado 7.2, entre 0 y 10.</w:t>
      </w:r>
    </w:p>
    <w:p>
      <w:pPr>
        <w:pStyle w:val="Normal"/>
        <w:rPr/>
      </w:pPr>
      <w:r>
        <w:rPr/>
      </w:r>
    </w:p>
    <w:p>
      <w:pPr>
        <w:pStyle w:val="Normal"/>
        <w:suppressAutoHyphens w:val="false"/>
        <w:spacing w:lineRule="auto" w:line="259" w:before="0" w:after="160"/>
        <w:rPr>
          <w:color w:themeColor="background2" w:themeShade="bf" w:val="AEAAAA"/>
        </w:rPr>
      </w:pPr>
      <w:r>
        <w:rPr/>
        <w:t>La pérdida del derecho a la evaluación continua de un módulo se comunicará conforme a la Orden 8/2025 y al procedimiento F15.PC02. El alumnado será evaluado de los RA afectados mediante los procedimientos y en el momento previstos por el docente; si no supera el módulo en la primera convocatoria, dispondrá de la convocatoria extraordinaria del mismo curso.</w:t>
      </w:r>
    </w:p>
    <w:p>
      <w:pPr>
        <w:pStyle w:val="Normal"/>
        <w:suppressAutoHyphens w:val="false"/>
        <w:spacing w:lineRule="auto" w:line="259" w:before="0" w:after="160"/>
        <w:rPr>
          <w:color w:themeColor="background2" w:themeShade="bf" w:val="AEAAAA"/>
        </w:rPr>
      </w:pPr>
      <w:r>
        <w:rPr/>
        <w:t>El alumnado que no haya superado el módulo en la primera convocatoria podrá presentarse a la extraordinaria del mismo curso. El docente facilitará un programa formativo específico que indique los RA no superados, las actividades de recuperación, los criterios de evaluación y el momento de realización. La calificación oficial del módulo en la convocatoria extraordinaria será numérica, de 1 a 10 y sin decimales.</w:t>
      </w:r>
    </w:p>
    <w:p>
      <w:pPr>
        <w:pStyle w:val="Heading2"/>
        <w:rPr/>
      </w:pPr>
      <w:bookmarkStart w:id="33" w:name="_Toc101953471"/>
      <w:bookmarkStart w:id="34" w:name="ASOIndice21"/>
      <w:r>
        <w:rPr/>
        <w:t>Criterios de inasistencia</w:t>
      </w:r>
      <w:bookmarkEnd w:id="33"/>
      <w:bookmarkEnd w:id="34"/>
    </w:p>
    <w:p>
      <w:pPr>
        <w:pStyle w:val="Normal"/>
        <w:rPr>
          <w:color w:themeColor="background2" w:themeShade="bf" w:val="AEAAAA"/>
        </w:rPr>
      </w:pPr>
      <w:r>
        <w:rPr/>
        <w:t>Según los artículos 7 y 8 de la Orden 8/2025, de 22 de abril, y los apartados 8 y 9.5 de la Resolución de 16 de julio de 2026, en régimen presencial la asistencia a las actividades formativas mantiene la matrícula. La presencialidad será de al menos el 85 % y el centro registrará las faltas de asistencia.</w:t>
      </w:r>
    </w:p>
    <w:p>
      <w:pPr>
        <w:pStyle w:val="Normal"/>
        <w:rPr>
          <w:color w:themeColor="background2" w:themeShade="bf" w:val="AEAAAA"/>
        </w:rPr>
      </w:pPr>
      <w:r>
        <w:rPr/>
        <w:t>Se perderá el derecho a la evaluación continua de un módulo al superar el 15 % de inasistencia a sus actividades formativas. Al alcanzar el 10 %, el profesorado informará a la tutoría del grupo. Superado el límite, el centro notificará de forma fehaciente la pérdida motivada y sus consecuencias. El procedimiento interno se documentará mediante F15.PC02.</w:t>
      </w:r>
    </w:p>
    <w:p>
      <w:pPr>
        <w:pStyle w:val="Normal"/>
        <w:rPr>
          <w:color w:themeColor="background2" w:themeShade="bf" w:val="AEAAAA"/>
        </w:rPr>
      </w:pPr>
      <w:r>
        <w:rPr/>
        <w:t>La pérdida de matrícula por inasistencia se produce al alcanzar el 15 % de horas de faltas injustificadas del curso matriculado o por no asistir durante 10 días lectivos consecutivos. Para el cómputo se excluyen los módulos pendientes de cursos anteriores y los convalidados o con renuncia a convocatoria. El centro advertirá de la posibilidad de pérdida al llegar al 5 % de inasistencia o a 8 días lectivos consecutivos sin justificar.</w:t>
      </w:r>
    </w:p>
    <w:p>
      <w:pPr>
        <w:pStyle w:val="Normal"/>
        <w:rPr>
          <w:color w:themeColor="background2" w:themeShade="bf" w:val="AEAAAA"/>
        </w:rPr>
      </w:pPr>
      <w:r>
        <w:rPr/>
        <w:t>Las faltas justificadas y las posibles medidas de flexibilización se valorarán conforme al artículo 8 de la Orden 8/2025 y al apartado 8.2 de las instrucciones de 2026/2027. La dirección del centro tramitará la pérdida de matrícula con notificación y audiencia previa según el apartado 8.3 de dichas instrucciones.</w:t>
      </w:r>
    </w:p>
    <w:p>
      <w:pPr>
        <w:pStyle w:val="Normal"/>
        <w:rPr>
          <w:color w:themeColor="background2" w:themeShade="bf" w:val="AEAAAA"/>
        </w:rPr>
      </w:pPr>
      <w:r>
        <w:rPr/>
        <w:t>La pérdida del derecho a la evaluación continua de un módulo y la pérdida de matrícula son situaciones distintas: la primera afecta al modo de evaluar ese módulo; la segunda supone la pérdida de la plaza escolar del curso y de los módulos matriculados.</w:t>
      </w:r>
    </w:p>
    <w:p>
      <w:pPr>
        <w:pStyle w:val="Heading1"/>
        <w:pBdr>
          <w:top w:val="single" w:sz="12" w:space="1" w:color="C00000"/>
          <w:left w:val="single" w:sz="12" w:space="4" w:color="C00000"/>
          <w:bottom w:val="single" w:sz="12" w:space="1" w:color="C00000"/>
          <w:right w:val="single" w:sz="12" w:space="4" w:color="C00000"/>
        </w:pBdr>
        <w:rPr/>
      </w:pPr>
      <w:bookmarkStart w:id="35" w:name="_Toc219449757"/>
      <w:bookmarkStart w:id="36" w:name="_Toc101953473"/>
      <w:r>
        <w:rPr/>
        <w:t>E</w:t>
      </w:r>
      <w:bookmarkEnd w:id="36"/>
      <w:r>
        <w:rPr/>
        <w:t>VALUACIÓN DE LA PRÁCTICA DOCENTE</w:t>
      </w:r>
      <w:bookmarkEnd w:id="35"/>
    </w:p>
    <w:p>
      <w:pPr>
        <w:pStyle w:val="Normal"/>
        <w:spacing w:before="240" w:after="240"/>
        <w:rPr/>
      </w:pPr>
      <w:r>
        <w:rPr>
          <w:rFonts w:eastAsia="Arial" w:cs="Arial"/>
          <w:szCs w:val="22"/>
        </w:rPr>
        <w:t>De acuerdo con el apartado 19 de la Resolución de 16 de julio de 2026, de la Secretaría Autonómica de Educación, por la que se dictan instrucciones sobre ordenación académica y de organización de los centros que impartan los grados D y E de Formación Profesional durante el curso 2026-2027 en la Comunitat Valenciana, el profesorado evaluará la obtención de los resultados de aprendizaje del alumnado, el proceso de enseñanza y su propia práctica docente en relación con los reales decretos y el currículo del título, con las necesidades educativas del entorno económico y productivo del centro y con las características del alumnado.</w:t>
      </w:r>
    </w:p>
    <w:p>
      <w:pPr>
        <w:pStyle w:val="Normal"/>
        <w:spacing w:before="240" w:after="240"/>
        <w:rPr/>
      </w:pPr>
      <w:r>
        <w:rPr>
          <w:rFonts w:eastAsia="Arial" w:cs="Arial"/>
          <w:szCs w:val="22"/>
        </w:rPr>
        <w:t>Esta evaluación implicará la revisión, cuando proceda, del Proyecto Curricular del Ciclo Formativo y de las programaciones didácticas.</w:t>
      </w:r>
    </w:p>
    <w:p>
      <w:pPr>
        <w:pStyle w:val="Normal"/>
        <w:spacing w:before="240" w:after="240"/>
        <w:rPr/>
      </w:pPr>
      <w:r>
        <w:rPr>
          <w:rFonts w:eastAsia="Arial" w:cs="Arial"/>
          <w:szCs w:val="22"/>
        </w:rPr>
        <w:t>Al finalizar el curso académico, y a la vista de los resultados obtenidos por el alumnado, se evaluará el desarrollo de la presente programación didáctica y de la práctica docente, teniendo en consideración, entre otros, los siguientes aspectos:</w:t>
      </w:r>
    </w:p>
    <w:p>
      <w:pPr>
        <w:pStyle w:val="Normal"/>
        <w:spacing w:before="240" w:after="240"/>
        <w:rPr/>
      </w:pPr>
      <w:r>
        <w:rPr>
          <w:rFonts w:eastAsia="Arial" w:cs="Arial"/>
          <w:szCs w:val="22"/>
        </w:rPr>
        <w:t>a) La adecuación de la secuenciación y temporalización de los resultados de aprendizaje, criterios de evaluación y contenidos.</w:t>
      </w:r>
    </w:p>
    <w:p>
      <w:pPr>
        <w:pStyle w:val="Normal"/>
        <w:spacing w:before="240" w:after="240"/>
        <w:rPr/>
      </w:pPr>
      <w:r>
        <w:rPr>
          <w:rFonts w:eastAsia="Arial" w:cs="Arial"/>
          <w:szCs w:val="22"/>
        </w:rPr>
        <w:t>b) La adecuación de la metodología utilizada y de las actividades de enseñanza-aprendizaje desarrolladas.</w:t>
      </w:r>
    </w:p>
    <w:p>
      <w:pPr>
        <w:pStyle w:val="Normal"/>
        <w:spacing w:before="240" w:after="240"/>
        <w:rPr/>
      </w:pPr>
      <w:r>
        <w:rPr>
          <w:rFonts w:eastAsia="Arial" w:cs="Arial"/>
          <w:szCs w:val="22"/>
        </w:rPr>
        <w:t>c) La idoneidad de los recursos, materiales, espacios y equipamientos utilizados.</w:t>
      </w:r>
    </w:p>
    <w:p>
      <w:pPr>
        <w:pStyle w:val="Normal"/>
        <w:spacing w:before="240" w:after="240"/>
        <w:rPr/>
      </w:pPr>
      <w:r>
        <w:rPr>
          <w:rFonts w:eastAsia="Arial" w:cs="Arial"/>
          <w:szCs w:val="22"/>
        </w:rPr>
        <w:t>d) La adecuación de los procedimientos e instrumentos de evaluación y de los criterios de calificación establecidos.</w:t>
      </w:r>
    </w:p>
    <w:p>
      <w:pPr>
        <w:pStyle w:val="Normal"/>
        <w:spacing w:before="240" w:after="240"/>
        <w:rPr/>
      </w:pPr>
      <w:r>
        <w:rPr>
          <w:rFonts w:eastAsia="Arial" w:cs="Arial"/>
          <w:szCs w:val="22"/>
        </w:rPr>
        <w:t>e) La eficacia de las medidas adoptadas para atender a la diversidad y a las diferentes necesidades del alumnado.</w:t>
      </w:r>
    </w:p>
    <w:p>
      <w:pPr>
        <w:pStyle w:val="Normal"/>
        <w:spacing w:before="240" w:after="240"/>
        <w:rPr/>
      </w:pPr>
      <w:r>
        <w:rPr>
          <w:rFonts w:eastAsia="Arial" w:cs="Arial"/>
          <w:szCs w:val="22"/>
        </w:rPr>
        <w:t>f) Los resultados obtenidos por el alumnado, tanto en el centro educativo como, cuando corresponda, durante la fase de formación en empresa u organismo equiparado.</w:t>
      </w:r>
    </w:p>
    <w:p>
      <w:pPr>
        <w:pStyle w:val="Normal"/>
        <w:spacing w:before="240" w:after="240"/>
        <w:rPr/>
      </w:pPr>
      <w:r>
        <w:rPr>
          <w:rFonts w:eastAsia="Arial" w:cs="Arial"/>
          <w:szCs w:val="22"/>
        </w:rPr>
        <w:t>g) Las dificultades detectadas durante el desarrollo de la programación y las correspondientes propuestas de mejora.</w:t>
      </w:r>
    </w:p>
    <w:p>
      <w:pPr>
        <w:pStyle w:val="Normal"/>
        <w:suppressAutoHyphens w:val="false"/>
        <w:spacing w:lineRule="auto" w:line="259" w:before="0" w:after="160"/>
        <w:rPr>
          <w:color w:themeColor="background2" w:themeShade="bf" w:val="AEAAAA"/>
        </w:rPr>
      </w:pPr>
      <w:bookmarkStart w:id="37" w:name="_Toc101811418"/>
      <w:r>
        <w:rPr/>
        <w:t xml:space="preserve">Dicha evaluación se completará como un apartado en la </w:t>
      </w:r>
      <w:r>
        <w:rPr>
          <w:b/>
          <w:bCs/>
        </w:rPr>
        <w:t>programación de aula (F02.PC02)</w:t>
      </w:r>
      <w:r>
        <w:rPr/>
        <w:t xml:space="preserve"> y trimestralmente la Jefatura de familia profesional lo incluirá en el </w:t>
      </w:r>
      <w:r>
        <w:rPr>
          <w:b/>
          <w:bCs/>
        </w:rPr>
        <w:t>informe trimestral de seguimiento de las programaciones (F03.PC02).</w:t>
      </w:r>
    </w:p>
    <w:p>
      <w:pPr>
        <w:pStyle w:val="Heading1"/>
        <w:pBdr>
          <w:top w:val="single" w:sz="12" w:space="1" w:color="C00000"/>
          <w:left w:val="single" w:sz="12" w:space="4" w:color="C00000"/>
          <w:bottom w:val="single" w:sz="12" w:space="1" w:color="C00000"/>
          <w:right w:val="single" w:sz="12" w:space="4" w:color="C00000"/>
        </w:pBdr>
        <w:rPr/>
      </w:pPr>
      <w:bookmarkStart w:id="38" w:name="_Toc101953474"/>
      <w:bookmarkStart w:id="39" w:name="_Toc101811419"/>
      <w:bookmarkEnd w:id="37"/>
      <w:r>
        <w:rPr/>
        <w:t>Medidas de atención a la diversidad</w:t>
      </w:r>
      <w:bookmarkEnd w:id="38"/>
      <w:bookmarkEnd w:id="39"/>
    </w:p>
    <w:p>
      <w:pPr>
        <w:pStyle w:val="Normal"/>
        <w:rPr>
          <w:color w:themeColor="background2" w:themeShade="bf" w:val="AEAAAA"/>
        </w:rPr>
      </w:pPr>
      <w:r>
        <w:rPr/>
        <w:t>En la actualidad la atención al alumnado con necesidades específicas de apoyo educativo está regulada en la Comunidad Valenciana a través de la siguiente normativa:</w:t>
      </w:r>
    </w:p>
    <w:p>
      <w:pPr>
        <w:pStyle w:val="ListParagraph"/>
        <w:numPr>
          <w:ilvl w:val="0"/>
          <w:numId w:val="3"/>
        </w:numPr>
        <w:suppressAutoHyphens w:val="false"/>
        <w:spacing w:lineRule="auto" w:line="259" w:before="0" w:after="160"/>
        <w:contextualSpacing/>
        <w:rPr>
          <w:color w:themeColor="background2" w:themeShade="bf" w:val="AEAAAA"/>
        </w:rPr>
      </w:pPr>
      <w:r>
        <w:rPr/>
        <w:t>Decreto 104/2018, de 27 de julio, del Consell, por el que se desarrollan los principios de equidad y de inclusión en el sistema educativo valenciano.</w:t>
      </w:r>
    </w:p>
    <w:p>
      <w:pPr>
        <w:pStyle w:val="ListParagraph"/>
        <w:numPr>
          <w:ilvl w:val="0"/>
          <w:numId w:val="3"/>
        </w:numPr>
        <w:suppressAutoHyphens w:val="false"/>
        <w:spacing w:lineRule="auto" w:line="259" w:before="0" w:after="160"/>
        <w:contextualSpacing/>
        <w:rPr>
          <w:color w:themeColor="background2" w:themeShade="bf" w:val="AEAAAA"/>
        </w:rPr>
      </w:pPr>
      <w:r>
        <w:rP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p>
    <w:p>
      <w:pPr>
        <w:pStyle w:val="Normal"/>
        <w:rPr>
          <w:color w:themeColor="background2" w:themeShade="bf" w:val="AEAAAA"/>
        </w:rPr>
      </w:pPr>
      <w:r>
        <w:rPr/>
        <w:t>Esta normativa establece las medidas de respuesta educativa para la inclusión que constituyen todas las actuaciones educativas planificadas con la finalidad de eliminar las barreras identificadas en los diversos contextos donde se desarrolla el proceso educativo de todo el alumnado, y contribuyen de esta manera a la personalización del proceso de aprendizaje en todas las etapas educativas. Están divididas en cuatro niveles. En concreto, nos centraremos en las medidas de nivel III y IV.</w:t>
      </w:r>
    </w:p>
    <w:p>
      <w:pPr>
        <w:pStyle w:val="ListParagraph"/>
        <w:numPr>
          <w:ilvl w:val="0"/>
          <w:numId w:val="3"/>
        </w:numPr>
        <w:suppressAutoHyphens w:val="false"/>
        <w:spacing w:lineRule="auto" w:line="259" w:before="0" w:after="160"/>
        <w:contextualSpacing/>
        <w:rPr>
          <w:color w:themeColor="background2" w:themeShade="bf" w:val="AEAAAA"/>
        </w:rPr>
      </w:pPr>
      <w:r>
        <w:rPr/>
        <w:t>Nivel III: Lo constituyen las medidas dirigidas al alumnado que requiere una respuesta diferenciada, individualmente o en grupo, que implican apoyos ordinarios adicionales.</w:t>
      </w:r>
    </w:p>
    <w:p>
      <w:pPr>
        <w:pStyle w:val="ListParagraph"/>
        <w:numPr>
          <w:ilvl w:val="0"/>
          <w:numId w:val="3"/>
        </w:numPr>
        <w:suppressAutoHyphens w:val="false"/>
        <w:spacing w:lineRule="auto" w:line="259" w:before="0" w:after="160"/>
        <w:contextualSpacing/>
        <w:rPr>
          <w:color w:themeColor="background2" w:themeShade="bf" w:val="AEAAAA"/>
        </w:rPr>
      </w:pPr>
      <w:r>
        <w:rPr/>
        <w:t>Nivel IV: Lo constituyen las medidas dirigidas al alumnado con necesidades específicas de apoyo educativo que requiere una respuesta personalizada e individualizada de carácter extraordinario que implique apoyos especializados adicionales.</w:t>
      </w:r>
    </w:p>
    <w:p>
      <w:pPr>
        <w:pStyle w:val="Normal"/>
        <w:rPr>
          <w:color w:themeColor="background2" w:themeShade="bf" w:val="AEAAAA"/>
        </w:rPr>
      </w:pPr>
      <w:r>
        <w:rPr/>
        <w:t>El departamento de orientación informará de los alumnos/as que necesitan medidas de respuesta educativa para la inclusión de niveles III y IV para personalizar el proceso de aprendizaje. En concreto, sirvan las siguientes de orientación:</w:t>
      </w:r>
    </w:p>
    <w:p>
      <w:pPr>
        <w:pStyle w:val="ListParagraph"/>
        <w:numPr>
          <w:ilvl w:val="0"/>
          <w:numId w:val="5"/>
        </w:numPr>
        <w:suppressAutoHyphens w:val="false"/>
        <w:spacing w:lineRule="auto" w:line="259" w:before="0" w:after="160"/>
        <w:contextualSpacing/>
        <w:rPr>
          <w:color w:themeColor="background2" w:themeShade="bf" w:val="AEAAAA"/>
        </w:rPr>
      </w:pPr>
      <w:r>
        <w:rPr/>
        <w:t>Nivel III - Adecuación personalizada de las programaciones didácticas. Comporta la planificación de las unidades didácticas y las actividades curriculares en diferentes niveles de amplitud, la utilización de diversas formas de representación y de expresión, actividades e instrumentos de evaluación.</w:t>
      </w:r>
    </w:p>
    <w:p>
      <w:pPr>
        <w:pStyle w:val="ListParagraph"/>
        <w:numPr>
          <w:ilvl w:val="0"/>
          <w:numId w:val="5"/>
        </w:numPr>
        <w:suppressAutoHyphens w:val="false"/>
        <w:spacing w:lineRule="auto" w:line="259" w:before="0" w:after="160"/>
        <w:contextualSpacing/>
        <w:rPr>
          <w:color w:themeColor="background2" w:themeShade="bf" w:val="AEAAAA"/>
        </w:rPr>
      </w:pPr>
      <w:r>
        <w:rPr/>
        <w:t>Nivel III - Accesibilidad personalizada con medios comunes. Las adaptaciones de acceso tienen como objetivo que el alumnado que presenta necesidades específicas de apoyo educativo pueda acceder a las experiencias educativas comunes en entornos normalizados y desarrollar el currículum ordinario o, si procede, el currículum adaptado. Estas adaptaciones implican la modificación o la provisión materiales, espaciales, personales, de comunicación, metodológicos u organizativos.</w:t>
      </w:r>
    </w:p>
    <w:p>
      <w:pPr>
        <w:pStyle w:val="ListParagraph"/>
        <w:numPr>
          <w:ilvl w:val="0"/>
          <w:numId w:val="5"/>
        </w:numPr>
        <w:suppressAutoHyphens w:val="false"/>
        <w:spacing w:lineRule="auto" w:line="259" w:before="0" w:after="160"/>
        <w:contextualSpacing/>
        <w:rPr>
          <w:color w:themeColor="background2" w:themeShade="bf" w:val="AEAAAA"/>
        </w:rPr>
      </w:pPr>
      <w:r>
        <w:rPr/>
        <w:t xml:space="preserve">Nivel IV - Accesibilidad personalizada con medios específicos como por ejemplo en el caso de discapacidad auditiva, con la utilización de una emisora FM como sistema aumentativo de la comunicación. </w:t>
      </w:r>
    </w:p>
    <w:p>
      <w:pPr>
        <w:pStyle w:val="ListParagraph"/>
        <w:numPr>
          <w:ilvl w:val="0"/>
          <w:numId w:val="5"/>
        </w:numPr>
        <w:suppressAutoHyphens w:val="false"/>
        <w:spacing w:lineRule="auto" w:line="259" w:before="0" w:after="160"/>
        <w:contextualSpacing/>
        <w:rPr>
          <w:color w:themeColor="background2" w:themeShade="bf" w:val="AEAAAA"/>
        </w:rPr>
      </w:pPr>
      <w:r>
        <w:rPr/>
        <w:t>Nivel IV - Itinerario formativo personalizado en Formación Profesional:  si fuera necesario, se podrá ampliar el número de convocatorias hasta seis.</w:t>
      </w:r>
    </w:p>
    <w:p>
      <w:pPr>
        <w:pStyle w:val="Normal"/>
        <w:suppressAutoHyphens w:val="false"/>
        <w:spacing w:lineRule="auto" w:line="259" w:before="0" w:after="160"/>
        <w:rPr/>
      </w:pPr>
      <w:r>
        <w:rPr/>
      </w:r>
    </w:p>
    <w:p>
      <w:pPr>
        <w:pStyle w:val="Normal"/>
        <w:rPr/>
      </w:pPr>
      <w:r>
        <w:rPr/>
      </w:r>
      <w:r>
        <w:br w:type="page"/>
      </w:r>
    </w:p>
    <w:p>
      <w:pPr>
        <w:pStyle w:val="Heading1"/>
        <w:spacing w:before="0" w:after="240"/>
        <w:rPr/>
      </w:pPr>
      <w:bookmarkStart w:id="40" w:name="ASOIndice24"/>
      <w:r>
        <w:rPr/>
        <w:t>ANEXO I</w:t>
      </w:r>
      <w:bookmarkEnd w:id="40"/>
    </w:p>
    <w:p>
      <w:pPr>
        <w:pStyle w:val="Normal"/>
        <w:rPr/>
      </w:pPr>
      <w:r>
        <w:rPr/>
        <w:t>A continuación, se detallan las ponderaciones de los Resultados de aprendizaje del módulo, así como la ponderación de cada Criterio de evaluación respecto a su Resultado de aprendizaje.</w:t>
      </w:r>
    </w:p>
    <w:p>
      <w:pPr>
        <w:pStyle w:val="Standard"/>
        <w:widowControl w:val="false"/>
        <w:spacing w:before="0" w:after="0"/>
        <w:jc w:val="left"/>
        <w:rPr>
          <w:sz w:val="22"/>
          <w:szCs w:val="22"/>
        </w:rPr>
      </w:pPr>
      <w:r>
        <w:rPr>
          <w:sz w:val="22"/>
          <w:szCs w:val="22"/>
        </w:rPr>
      </w:r>
    </w:p>
    <w:p>
      <w:pPr>
        <w:pStyle w:val="Standard"/>
        <w:widowControl w:val="false"/>
        <w:spacing w:before="0" w:after="0"/>
        <w:jc w:val="left"/>
        <w:rPr>
          <w:sz w:val="22"/>
          <w:szCs w:val="22"/>
        </w:rPr>
      </w:pPr>
      <w:r>
        <w:rPr>
          <w:sz w:val="22"/>
          <w:szCs w:val="22"/>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themeColor="background1" w:val="FFFFFF"/>
                <w:sz w:val="19"/>
                <w:szCs w:val="19"/>
              </w:rPr>
            </w:pPr>
            <w:r>
              <w:rPr>
                <w:b/>
                <w:bCs/>
                <w:color w:themeColor="background1" w:val="FFFFFF"/>
                <w:sz w:val="19"/>
                <w:szCs w:val="19"/>
              </w:rPr>
              <w:t>Resultado de aprendizaje (0374.1)</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Administra el servicio de directorio interpretando especificaciones e integrándolo en una red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18.00 %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identificado la función, los elementos y las estructuras lógicas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 determinado y creado el esquema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 realizado la instalación del servicio de directorio en el servidor</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 realizado la configuración y personalización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 integrado el servicio de directorio con otros servicios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aplicado filtros de búsqueda en 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 utilizado el servicio de directorio como mecanismo de acreditación centralizada de los usuarios en una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 realizado la configuración del cliente para su integración en 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utilizado herramientas gráficas y comandos para la administración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j. Se ha documentado la estructura e implantación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bl>
    <w:p>
      <w:pPr>
        <w:pStyle w:val="Normal"/>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themeColor="background1" w:val="FFFFFF"/>
                <w:sz w:val="19"/>
                <w:szCs w:val="19"/>
              </w:rPr>
            </w:pPr>
            <w:r>
              <w:rPr>
                <w:b/>
                <w:bCs/>
                <w:color w:themeColor="background1" w:val="FFFFFF"/>
                <w:sz w:val="19"/>
                <w:szCs w:val="19"/>
              </w:rPr>
              <w:t>Resultado de aprendizaje (0374.2)</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Administra procesos del sistema describiéndolos y aplicando criterios de seguridad y eficiencia</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8.00 %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descrito el concepto de proceso del sistema, tipos, estados y ciclo de vida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utilizado interrupciones y excepciones para describir los eventos internos del procesador</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 diferenciado entre proceso, hilo y trabajo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realizado tareas de creación, manipulación y terminación de procesos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 utilizado el sistema de archivos como medio lógico para el registro e identificación de los procesos del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utilizado herramientas gráficas y comandos para el control y seguimiento de los procesos del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 comprobado la secuencia de arranque del sistema, los procesos implicados y la relación entre ellos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tomado medidas de seguridad ante la aparición de procesos no identificados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documentado los procesos habituales del sistema, su función y relación entre ellos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11.12 %</w:t>
            </w:r>
          </w:p>
        </w:tc>
      </w:tr>
    </w:tbl>
    <w:p>
      <w:pPr>
        <w:pStyle w:val="Normal"/>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themeColor="background1" w:val="FFFFFF"/>
                <w:sz w:val="19"/>
                <w:szCs w:val="19"/>
              </w:rPr>
            </w:pPr>
            <w:r>
              <w:rPr>
                <w:b/>
                <w:bCs/>
                <w:color w:themeColor="background1" w:val="FFFFFF"/>
                <w:sz w:val="19"/>
                <w:szCs w:val="19"/>
              </w:rPr>
              <w:t>Resultado de aprendizaje (0374.3)</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Gestiona la automatización de tareas del sistema, aplicando criterios de eficiencia y utilizando comandos y herramientas gráficas</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18.00 %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descrito las ventajas de la automatización de las tareas repetitivas en 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utilizado los comandos del sistema para la planificación de tareas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establecido restricciones de seguridad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realizado planificaciones de tareas repetitivas o puntuales relacionadas con la administración del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 automatizado la administración de cuentas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instalado y configurado herramientas gráficas para la planificación de tareas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utilizado herramientas gráficas para la planificación de tareas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documentado los procesos programados como tareas automáticas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bl>
    <w:p>
      <w:pPr>
        <w:pStyle w:val="Normal"/>
        <w:rPr/>
      </w:pPr>
      <w:r>
        <w:rPr/>
      </w:r>
    </w:p>
    <w:p>
      <w:pPr>
        <w:pStyle w:val="Normal"/>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themeColor="background1" w:val="FFFFFF"/>
                <w:sz w:val="19"/>
                <w:szCs w:val="19"/>
              </w:rPr>
            </w:pPr>
            <w:r>
              <w:rPr>
                <w:b/>
                <w:bCs/>
                <w:color w:themeColor="background1" w:val="FFFFFF"/>
                <w:sz w:val="19"/>
                <w:szCs w:val="19"/>
              </w:rPr>
              <w:t>Resultado de aprendizaje (0374.4)</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Administra de forma remota el sistema operativo en red valorando su importancia y aplicando criterios de seguridad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9.00 %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descrito métodos de acceso y administración remota de sistemas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 diferenciado entre los servicios orientados a sesión y los no orientados a sesión</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utilizado herramientas de administración remota suministradas por el propio sistema operativo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instalado servicios de acceso y administración remota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utilizado comandos y herramientas gráficas para gestionar los servicios de acceso y administración remota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creado cuentas de usuario para el acceso remoto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realizado pruebas de acceso y administración remota entre sistemas heterogéneos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utilizado mecanismos de encriptación de la información transferida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documentado los procesos y servicios del sistema administrados de forma remota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11.12 %</w:t>
            </w:r>
          </w:p>
        </w:tc>
      </w:tr>
    </w:tbl>
    <w:p>
      <w:pPr>
        <w:pStyle w:val="Normal"/>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themeColor="background1" w:val="FFFFFF"/>
                <w:sz w:val="19"/>
                <w:szCs w:val="19"/>
              </w:rPr>
            </w:pPr>
            <w:r>
              <w:rPr>
                <w:b/>
                <w:bCs/>
                <w:color w:themeColor="background1" w:val="FFFFFF"/>
                <w:sz w:val="19"/>
                <w:szCs w:val="19"/>
              </w:rPr>
              <w:t>Resultado de aprendizaje (0374.5)</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Administra servidores de impresión describiendo sus funciones e integrándolos en una red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5.00 %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 descrito la funcionalidad de los sistemas y servidores de impresión</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identificado los puertos y los protocolos utilizados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utilizado las herramientas para la gestión de impresoras integradas en el sistema operativo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 instalado y configurado un servidor de impresión en entorno Web</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creado y clasificado impresoras lógicas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creado grupos de impresión</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gestionado impresoras y colas de trabajos mediante comandos y herramientas gráficas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compartido impresoras en red entre sistemas operativos diferentes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 documentado la configuración del servidor de impresión y de las impresoras creadas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11.12 %</w:t>
            </w:r>
          </w:p>
        </w:tc>
      </w:tr>
    </w:tbl>
    <w:p>
      <w:pPr>
        <w:pStyle w:val="Normal"/>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themeColor="background1" w:val="FFFFFF"/>
                <w:sz w:val="19"/>
                <w:szCs w:val="19"/>
              </w:rPr>
            </w:pPr>
            <w:r>
              <w:rPr>
                <w:b/>
                <w:bCs/>
                <w:color w:themeColor="background1" w:val="FFFFFF"/>
                <w:sz w:val="19"/>
                <w:szCs w:val="19"/>
              </w:rPr>
              <w:t>Resultado de aprendizaje (0374.6)</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Integra sistemas operativos libres y propietarios, justificando y garantizando su interoperabilidad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22.00 %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 identificado la necesidad de compartir recursos en red entre diferentes sistemas operativos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establecido niveles de seguridad para controlar el acceso del cliente a los recursos compartidos en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 comprobado la conectividad de la red en un escenario heterogéneo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 descrito la funcionalidad de los servicios que permiten compartir recursos en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instalado y configurado servicios para compartir recursos en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 comprobado el funcionamiento de los servicios instalados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 trabajado en grupo para acceder a sistemas de archivos e impresoras en red desde equipos con diferentes sistemas operativos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 documentado la configuración de los servicios instalados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bl>
    <w:p>
      <w:pPr>
        <w:pStyle w:val="Normal"/>
        <w:rPr/>
      </w:pPr>
      <w:r>
        <w:rPr/>
      </w:r>
    </w:p>
    <w:tbl>
      <w:tblPr>
        <w:tblW w:w="9413"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1"/>
        <w:gridCol w:w="1492"/>
      </w:tblGrid>
      <w:tr>
        <w:trPr>
          <w:trHeight w:val="390" w:hRule="atLeast"/>
        </w:trPr>
        <w:tc>
          <w:tcPr>
            <w:tcW w:w="7921"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themeColor="background1" w:val="FFFFFF"/>
                <w:sz w:val="19"/>
                <w:szCs w:val="19"/>
              </w:rPr>
            </w:pPr>
            <w:r>
              <w:rPr>
                <w:b/>
                <w:bCs/>
                <w:color w:themeColor="background1" w:val="FFFFFF"/>
                <w:sz w:val="19"/>
                <w:szCs w:val="19"/>
              </w:rPr>
              <w:t>Resultado de aprendizaje (0374.7)</w:t>
            </w:r>
          </w:p>
        </w:tc>
        <w:tc>
          <w:tcPr>
            <w:tcW w:w="1492"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1"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Utiliza lenguajes de guiones en sistemas operativos, describiendo su aplicación y administrando servicios del sistema operativo</w:t>
            </w:r>
          </w:p>
        </w:tc>
        <w:tc>
          <w:tcPr>
            <w:tcW w:w="1492"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20.00 %</w:t>
            </w:r>
          </w:p>
        </w:tc>
      </w:tr>
      <w:tr>
        <w:trPr>
          <w:trHeight w:val="300" w:hRule="atLeast"/>
        </w:trPr>
        <w:tc>
          <w:tcPr>
            <w:tcW w:w="7921"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92"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utilizado y combinado las estructuras del lenguaje para crear guiones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utilizado herramientas para depurar errores sintácticos y de ejecución</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interpretado guiones de configuración del sistema operativo</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realizado cambios y adaptaciones de guiones del sistema</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creado y probado guiones de administración de servicios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creado y probado guiones de automatización de tareas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implantado guiones en sistemas libres y propietarios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consultado y utilizado librerías de funciones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637"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documentado los guiones creados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11.12 %</w:t>
            </w:r>
          </w:p>
        </w:tc>
      </w:tr>
    </w:tbl>
    <w:p>
      <w:pPr>
        <w:pStyle w:val="Normal"/>
        <w:rPr/>
      </w:pPr>
      <w:r>
        <w:rPr/>
      </w:r>
    </w:p>
    <w:p>
      <w:pPr>
        <w:pStyle w:val="Normal"/>
        <w:rPr/>
      </w:pPr>
      <w:r>
        <w:rPr/>
      </w:r>
    </w:p>
    <w:p>
      <w:pPr>
        <w:pStyle w:val="Normal"/>
        <w:rPr/>
      </w:pPr>
      <w:r>
        <w:rPr/>
      </w:r>
    </w:p>
    <w:p>
      <w:pPr>
        <w:pStyle w:val="Normal"/>
        <w:spacing w:before="0" w:after="120"/>
        <w:rPr>
          <w:rFonts w:eastAsia="Arial" w:cs="Arial"/>
          <w:color w:val="000000"/>
          <w:sz w:val="19"/>
          <w:szCs w:val="19"/>
        </w:rPr>
      </w:pPr>
      <w:r>
        <w:rPr>
          <w:rFonts w:eastAsia="Arial" w:cs="Arial"/>
          <w:color w:val="000000"/>
          <w:sz w:val="19"/>
          <w:szCs w:val="19"/>
        </w:rPr>
      </w:r>
    </w:p>
    <w:sectPr>
      <w:headerReference w:type="even" r:id="rId26"/>
      <w:headerReference w:type="default" r:id="rId27"/>
      <w:headerReference w:type="first" r:id="rId28"/>
      <w:footerReference w:type="even" r:id="rId29"/>
      <w:footerReference w:type="default" r:id="rId30"/>
      <w:footerReference w:type="first" r:id="rId31"/>
      <w:footnotePr>
        <w:numFmt w:val="decimal"/>
      </w:footnotePr>
      <w:type w:val="nextPage"/>
      <w:pgSz w:w="11906" w:h="16838"/>
      <w:pgMar w:left="1418" w:right="1134" w:gutter="0" w:header="709" w:top="1950" w:footer="709" w:bottom="1134"/>
      <w:pgNumType w:fmt="decimal"/>
      <w:formProt w:val="false"/>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Calibri Light">
    <w:charset w:val="01"/>
    <w:family w:val="swiss"/>
    <w:pitch w:val="variable"/>
  </w:font>
  <w:font w:name="Times New Roman">
    <w:charset w:val="01"/>
    <w:family w:val="roman"/>
    <w:pitch w:val="variable"/>
  </w:font>
  <w:font w:name="Liberation Sans">
    <w:altName w:val="Arial"/>
    <w:charset w:val="01"/>
    <w:family w:val="swiss"/>
    <w:pitch w:val="variable"/>
  </w:font>
  <w:font w:name="Courier New">
    <w:charset w:val="01"/>
    <w:family w:val="swiss"/>
    <w:pitch w:val="variable"/>
  </w:font>
  <w:font w:name="Segoe UI">
    <w:charset w:val="01"/>
    <w:family w:val="swiss"/>
    <w:pitch w:val="variable"/>
  </w:font>
  <w:font w:name="Century Gothic">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8</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45</w:t>
    </w:r>
    <w:r>
      <w:rPr>
        <w:sz w:val="14"/>
        <w:szCs w:val="14"/>
      </w:rPr>
      <w:fldChar w:fldCharType="end"/>
    </w:r>
  </w:p>
  <w:p>
    <w:pPr>
      <w:pStyle w:val="Footer"/>
      <w:spacing w:before="0" w:after="120"/>
      <w:rPr>
        <w:sz w:val="14"/>
        <w:szCs w:val="14"/>
      </w:rPr>
    </w:pPr>
    <w:r>
      <w:rPr>
        <w:rStyle w:val="PageNumber"/>
        <w:rFonts w:eastAsia="" w:eastAsiaTheme="majorEastAsia"/>
        <w:sz w:val="14"/>
        <w:szCs w:val="14"/>
      </w:rPr>
      <w:t>Nº edición: 0</w:t>
    </w:r>
    <w:r>
      <w:rPr>
        <w:rStyle w:val="PageNumber"/>
        <w:rFonts w:eastAsia="" w:eastAsiaTheme="majorEastAsia"/>
        <w:sz w:val="14"/>
        <w:szCs w:val="14"/>
      </w:rPr>
      <w:t>4</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8</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45</w:t>
    </w:r>
    <w:r>
      <w:rPr>
        <w:sz w:val="14"/>
        <w:szCs w:val="14"/>
      </w:rPr>
      <w:fldChar w:fldCharType="end"/>
    </w:r>
  </w:p>
  <w:p>
    <w:pPr>
      <w:pStyle w:val="Footer"/>
      <w:spacing w:before="0" w:after="120"/>
      <w:rPr>
        <w:sz w:val="14"/>
        <w:szCs w:val="14"/>
      </w:rPr>
    </w:pPr>
    <w:r>
      <w:rPr>
        <w:rStyle w:val="PageNumber"/>
        <w:rFonts w:eastAsia="" w:eastAsiaTheme="majorEastAsia"/>
        <w:sz w:val="14"/>
        <w:szCs w:val="14"/>
      </w:rPr>
      <w:t>Nº edición: 0</w:t>
    </w:r>
    <w:r>
      <w:rPr>
        <w:rStyle w:val="PageNumber"/>
        <w:rFonts w:eastAsia="" w:eastAsiaTheme="majorEastAsia"/>
        <w:sz w:val="14"/>
        <w:szCs w:val="14"/>
      </w:rPr>
      <w:t>4</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16</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45</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01 </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16</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45</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01 </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45</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45</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01 </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45</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45</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01 </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Caracteresdenotaalpie"/>
        </w:rPr>
        <w:footnoteRef/>
      </w:r>
      <w:r>
        <w:rPr/>
        <w:t xml:space="preserve"> </w:t>
      </w:r>
      <w:r>
        <w:rPr/>
        <w:t>Agregado mínimo de competencias profesionales susceptible de reconocimiento y acreditación parcial.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9"/>
      <w:gridCol w:w="2556"/>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31332776"/>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44"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2" name="Imagen 11800746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180074680"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9"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3"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6"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4"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75061464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cstheme="minorBidi"/>
              <w:b/>
              <w:bCs/>
            </w:rPr>
          </w:pPr>
          <w:r>
            <w:rPr>
              <w:rFonts w:cs="" w:cstheme="minorBidi"/>
              <w:b/>
              <w:bCs/>
            </w:rPr>
            <w:t>F01.PC02 PROPUESTA DIDÁCTICA</w:t>
          </w:r>
        </w:p>
      </w:tc>
    </w:tr>
  </w:tbl>
  <w:p>
    <w:pPr>
      <w:pStyle w:val="Header"/>
      <w:spacing w:before="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9"/>
      <w:gridCol w:w="2556"/>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5"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831332776"/>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44"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6" name="Imagen 11800746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180074680"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9"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7"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6"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8"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5061464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cstheme="minorBidi"/>
              <w:b/>
              <w:bCs/>
            </w:rPr>
          </w:pPr>
          <w:r>
            <w:rPr>
              <w:rFonts w:cs="" w:cstheme="minorBidi"/>
              <w:b/>
              <w:bCs/>
            </w:rPr>
            <w:t>F01.PC02 PROPUESTA DIDÁCTICA</w:t>
          </w:r>
        </w:p>
      </w:tc>
    </w:tr>
  </w:tbl>
  <w:p>
    <w:pPr>
      <w:pStyle w:val="Header"/>
      <w:spacing w:before="0" w:after="12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9"/>
      <w:gridCol w:w="2556"/>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9"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52"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0" name="Imagen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7"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9"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11" name="Imagen8"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8"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6"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12" name="Imagen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9"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rPr>
          </w:pPr>
          <w:r>
            <w:rPr>
              <w:rFonts w:cs="" w:cstheme="minorBidi"/>
              <w:b/>
            </w:rPr>
            <w:t>F01.PC02 PROGRAMACIÓN DIDÁCTICA</w:t>
          </w:r>
        </w:p>
      </w:tc>
    </w:tr>
  </w:tbl>
  <w:p>
    <w:pPr>
      <w:pStyle w:val="Header"/>
      <w:spacing w:before="0" w:after="12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9"/>
      <w:gridCol w:w="2556"/>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52"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4" name="Imagen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7"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9"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15" name="Imagen8"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8"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6"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16" name="Imagen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9"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rPr>
          </w:pPr>
          <w:r>
            <w:rPr>
              <w:rFonts w:cs="" w:cstheme="minorBidi"/>
              <w:b/>
            </w:rPr>
            <w:t>F01.PC02 PROGRAMACIÓN DIDÁCTICA</w:t>
          </w:r>
        </w:p>
      </w:tc>
    </w:tr>
  </w:tbl>
  <w:p>
    <w:pPr>
      <w:pStyle w:val="Header"/>
      <w:spacing w:before="0" w:after="12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9"/>
      <w:gridCol w:w="2556"/>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7"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4"/>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81"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8" name="Imagen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6"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9"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19" name="Imagen16"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6"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6"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20" name="Imagen1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bCs/>
            </w:rPr>
          </w:pPr>
          <w:r>
            <w:rPr>
              <w:rFonts w:cs="" w:cstheme="minorBidi"/>
              <w:b/>
              <w:bCs/>
            </w:rPr>
            <w:t>F01.PC02 PROPUESTA DIDÁCTICA</w:t>
          </w:r>
        </w:p>
      </w:tc>
    </w:tr>
  </w:tbl>
  <w:p>
    <w:pPr>
      <w:pStyle w:val="Header"/>
      <w:spacing w:before="0" w:after="12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9"/>
      <w:gridCol w:w="2556"/>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21"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4"/>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81"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22" name="Imagen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6"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9"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23" name="Imagen16"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6"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6"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24" name="Imagen1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1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bCs/>
            </w:rPr>
          </w:pPr>
          <w:r>
            <w:rPr>
              <w:rFonts w:cs="" w:cstheme="minorBidi"/>
              <w:b/>
              <w:bCs/>
            </w:rPr>
            <w:t>F01.PC02 PROPUESTA DIDÁCTICA</w:t>
          </w:r>
        </w:p>
      </w:tc>
    </w:tr>
  </w:tbl>
  <w:p>
    <w:pPr>
      <w:pStyle w:val="Header"/>
      <w:spacing w:before="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decimal"/>
      <w:pStyle w:val="Heading1"/>
      <w:lvlText w:val="%1"/>
      <w:lvlJc w:val="left"/>
      <w:pPr>
        <w:tabs>
          <w:tab w:val="num" w:pos="0"/>
        </w:tabs>
        <w:ind w:left="432" w:hanging="432"/>
      </w:pPr>
      <w:rPr/>
    </w:lvl>
    <w:lvl w:ilvl="1">
      <w:start w:val="1"/>
      <w:numFmt w:val="decimal"/>
      <w:pStyle w:val="Heading2"/>
      <w:lvlText w:val="%1.%2"/>
      <w:lvlJc w:val="left"/>
      <w:pPr>
        <w:tabs>
          <w:tab w:val="num" w:pos="568"/>
        </w:tabs>
        <w:ind w:left="1144" w:hanging="576"/>
      </w:pPr>
      <w:rPr/>
    </w:lvl>
    <w:lvl w:ilvl="2">
      <w:start w:val="1"/>
      <w:numFmt w:val="decimal"/>
      <w:pStyle w:val="Heading3"/>
      <w:lvlText w:val="%1.%2.%3"/>
      <w:lvlJc w:val="left"/>
      <w:pPr>
        <w:tabs>
          <w:tab w:val="num" w:pos="0"/>
        </w:tabs>
        <w:ind w:left="720" w:hanging="720"/>
      </w:pPr>
      <w:rPr/>
    </w:lvl>
    <w:lvl w:ilvl="3">
      <w:start w:val="1"/>
      <w:numFmt w:val="decimal"/>
      <w:pStyle w:val="Heading4"/>
      <w:lvlText w:val="%1.%2.%3.%4"/>
      <w:lvlJc w:val="left"/>
      <w:pPr>
        <w:tabs>
          <w:tab w:val="num" w:pos="0"/>
        </w:tabs>
        <w:ind w:left="864" w:hanging="864"/>
      </w:pPr>
      <w:rPr/>
    </w:lvl>
    <w:lvl w:ilvl="4">
      <w:start w:val="1"/>
      <w:numFmt w:val="decimal"/>
      <w:pStyle w:val="Heading5"/>
      <w:lvlText w:val="%1.%2.%3.%4.%5"/>
      <w:lvlJc w:val="left"/>
      <w:pPr>
        <w:tabs>
          <w:tab w:val="num" w:pos="0"/>
        </w:tabs>
        <w:ind w:left="1008" w:hanging="1008"/>
      </w:pPr>
      <w:rPr/>
    </w:lvl>
    <w:lvl w:ilvl="5">
      <w:start w:val="1"/>
      <w:numFmt w:val="decimal"/>
      <w:pStyle w:val="Heading6"/>
      <w:lvlText w:val="%1.%2.%3.%4.%5.%6"/>
      <w:lvlJc w:val="left"/>
      <w:pPr>
        <w:tabs>
          <w:tab w:val="num" w:pos="0"/>
        </w:tabs>
        <w:ind w:left="1152" w:hanging="1152"/>
      </w:pPr>
      <w:rPr/>
    </w:lvl>
    <w:lvl w:ilvl="6">
      <w:start w:val="1"/>
      <w:numFmt w:val="decimal"/>
      <w:pStyle w:val="Heading7"/>
      <w:lvlText w:val="%1.%2.%3.%4.%5.%6.%7"/>
      <w:lvlJc w:val="left"/>
      <w:pPr>
        <w:tabs>
          <w:tab w:val="num" w:pos="0"/>
        </w:tabs>
        <w:ind w:left="1296" w:hanging="1296"/>
      </w:pPr>
      <w:rPr/>
    </w:lvl>
    <w:lvl w:ilvl="7">
      <w:start w:val="1"/>
      <w:numFmt w:val="decimal"/>
      <w:pStyle w:val="Heading8"/>
      <w:lvlText w:val="%1.%2.%3.%4.%5.%6.%7.%8"/>
      <w:lvlJc w:val="left"/>
      <w:pPr>
        <w:tabs>
          <w:tab w:val="num" w:pos="0"/>
        </w:tabs>
        <w:ind w:left="1440" w:hanging="1440"/>
      </w:pPr>
      <w:rPr/>
    </w:lvl>
    <w:lvl w:ilvl="8">
      <w:start w:val="1"/>
      <w:numFmt w:val="decimal"/>
      <w:pStyle w:val="Heading9"/>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sz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08"/>
  <w:autoHyphenation w:val="true"/>
  <w:hyphenationZone w:val="425"/>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5324"/>
    <w:pPr>
      <w:widowControl/>
      <w:suppressAutoHyphens w:val="true"/>
      <w:bidi w:val="0"/>
      <w:spacing w:before="0" w:after="120"/>
      <w:jc w:val="both"/>
    </w:pPr>
    <w:rPr>
      <w:rFonts w:ascii="Arial" w:hAnsi="Arial" w:eastAsia="Times New Roman" w:cs="Times New Roman"/>
      <w:color w:val="auto"/>
      <w:kern w:val="2"/>
      <w:sz w:val="22"/>
      <w:szCs w:val="24"/>
      <w:lang w:val="es-ES" w:eastAsia="zh-CN" w:bidi="ar-SA"/>
    </w:rPr>
  </w:style>
  <w:style w:type="paragraph" w:styleId="Heading1">
    <w:name w:val="heading 1"/>
    <w:basedOn w:val="Normal"/>
    <w:next w:val="Normal"/>
    <w:link w:val="Ttulo1Car"/>
    <w:uiPriority w:val="9"/>
    <w:qFormat/>
    <w:rsid w:val="00c273f4"/>
    <w:pPr>
      <w:keepNext w:val="true"/>
      <w:keepLines/>
      <w:numPr>
        <w:ilvl w:val="0"/>
        <w:numId w:val="1"/>
      </w:numPr>
      <w:tabs>
        <w:tab w:val="clear" w:pos="708"/>
        <w:tab w:val="left" w:pos="709" w:leader="none"/>
      </w:tabs>
      <w:spacing w:before="240" w:after="240"/>
      <w:outlineLvl w:val="0"/>
    </w:pPr>
    <w:rPr>
      <w:rFonts w:eastAsia="" w:cs="" w:cstheme="majorBidi" w:eastAsiaTheme="majorEastAsia"/>
      <w:color w:val="C00000"/>
      <w:sz w:val="32"/>
      <w:szCs w:val="32"/>
    </w:rPr>
  </w:style>
  <w:style w:type="paragraph" w:styleId="Heading2">
    <w:name w:val="heading 2"/>
    <w:basedOn w:val="Normal"/>
    <w:next w:val="Normal"/>
    <w:link w:val="Ttulo2Car"/>
    <w:uiPriority w:val="9"/>
    <w:unhideWhenUsed/>
    <w:qFormat/>
    <w:rsid w:val="00bb0946"/>
    <w:pPr>
      <w:keepNext w:val="true"/>
      <w:keepLines/>
      <w:numPr>
        <w:ilvl w:val="1"/>
        <w:numId w:val="1"/>
      </w:numPr>
      <w:spacing w:before="120" w:after="120"/>
      <w:outlineLvl w:val="1"/>
    </w:pPr>
    <w:rPr>
      <w:rFonts w:eastAsia="" w:cs="" w:cstheme="majorBidi" w:eastAsiaTheme="majorEastAsia"/>
      <w:color w:val="C00000"/>
      <w:sz w:val="28"/>
      <w:szCs w:val="26"/>
    </w:rPr>
  </w:style>
  <w:style w:type="paragraph" w:styleId="Heading3">
    <w:name w:val="heading 3"/>
    <w:basedOn w:val="Normal"/>
    <w:next w:val="Normal"/>
    <w:link w:val="Ttulo3Car"/>
    <w:uiPriority w:val="9"/>
    <w:semiHidden/>
    <w:unhideWhenUsed/>
    <w:qFormat/>
    <w:rsid w:val="00443ea2"/>
    <w:pPr>
      <w:keepNext w:val="true"/>
      <w:keepLines/>
      <w:numPr>
        <w:ilvl w:val="2"/>
        <w:numId w:val="1"/>
      </w:numPr>
      <w:outlineLvl w:val="2"/>
    </w:pPr>
    <w:rPr>
      <w:rFonts w:eastAsia="" w:cs="" w:cstheme="majorBidi" w:eastAsiaTheme="majorEastAsia"/>
      <w:color w:val="C00000"/>
      <w:sz w:val="24"/>
    </w:rPr>
  </w:style>
  <w:style w:type="paragraph" w:styleId="Heading4">
    <w:name w:val="heading 4"/>
    <w:basedOn w:val="Normal"/>
    <w:next w:val="Normal"/>
    <w:link w:val="Ttulo4Car"/>
    <w:uiPriority w:val="9"/>
    <w:semiHidden/>
    <w:unhideWhenUsed/>
    <w:qFormat/>
    <w:rsid w:val="002e3c12"/>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Ttulo5Car"/>
    <w:uiPriority w:val="9"/>
    <w:semiHidden/>
    <w:unhideWhenUsed/>
    <w:qFormat/>
    <w:rsid w:val="002e3c12"/>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Ttulo6Car"/>
    <w:uiPriority w:val="9"/>
    <w:semiHidden/>
    <w:unhideWhenUsed/>
    <w:qFormat/>
    <w:rsid w:val="002e3c12"/>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
    <w:next w:val="Normal"/>
    <w:link w:val="Ttulo7Car"/>
    <w:uiPriority w:val="9"/>
    <w:semiHidden/>
    <w:unhideWhenUsed/>
    <w:qFormat/>
    <w:rsid w:val="002e3c12"/>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Ttulo8Car"/>
    <w:uiPriority w:val="9"/>
    <w:semiHidden/>
    <w:unhideWhenUsed/>
    <w:qFormat/>
    <w:rsid w:val="002e3c12"/>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Ttulo9Car"/>
    <w:uiPriority w:val="9"/>
    <w:semiHidden/>
    <w:unhideWhenUsed/>
    <w:qFormat/>
    <w:rsid w:val="002e3c12"/>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qFormat/>
    <w:rsid w:val="009f388c"/>
    <w:rPr>
      <w:rFonts w:ascii="Times New Roman" w:hAnsi="Times New Roman" w:eastAsia="Times New Roman" w:cs="Times New Roman"/>
      <w:kern w:val="2"/>
      <w:sz w:val="24"/>
      <w:szCs w:val="24"/>
      <w:lang w:eastAsia="zh-CN"/>
    </w:rPr>
  </w:style>
  <w:style w:type="character" w:styleId="PiedepginaCar" w:customStyle="1">
    <w:name w:val="Pie de página Car"/>
    <w:basedOn w:val="DefaultParagraphFont"/>
    <w:uiPriority w:val="99"/>
    <w:qFormat/>
    <w:rsid w:val="009f388c"/>
    <w:rPr>
      <w:rFonts w:ascii="Times New Roman" w:hAnsi="Times New Roman" w:eastAsia="Times New Roman" w:cs="Times New Roman"/>
      <w:kern w:val="2"/>
      <w:sz w:val="24"/>
      <w:szCs w:val="24"/>
      <w:lang w:eastAsia="zh-CN"/>
    </w:rPr>
  </w:style>
  <w:style w:type="character" w:styleId="Ttulo1Car" w:customStyle="1">
    <w:name w:val="Título 1 Car"/>
    <w:basedOn w:val="DefaultParagraphFont"/>
    <w:uiPriority w:val="9"/>
    <w:qFormat/>
    <w:rsid w:val="00c273f4"/>
    <w:rPr>
      <w:rFonts w:ascii="Arial" w:hAnsi="Arial" w:eastAsia="" w:cs="" w:cstheme="majorBidi" w:eastAsiaTheme="majorEastAsia"/>
      <w:color w:val="C00000"/>
      <w:kern w:val="2"/>
      <w:sz w:val="32"/>
      <w:szCs w:val="32"/>
      <w:lang w:eastAsia="zh-CN"/>
    </w:rPr>
  </w:style>
  <w:style w:type="character" w:styleId="Ttulo2Car" w:customStyle="1">
    <w:name w:val="Título 2 Car"/>
    <w:basedOn w:val="DefaultParagraphFont"/>
    <w:uiPriority w:val="9"/>
    <w:qFormat/>
    <w:rsid w:val="00bb0946"/>
    <w:rPr>
      <w:rFonts w:ascii="Arial" w:hAnsi="Arial" w:eastAsia="" w:cs="" w:cstheme="majorBidi" w:eastAsiaTheme="majorEastAsia"/>
      <w:color w:val="C00000"/>
      <w:kern w:val="2"/>
      <w:sz w:val="28"/>
      <w:szCs w:val="26"/>
      <w:lang w:eastAsia="zh-CN"/>
    </w:rPr>
  </w:style>
  <w:style w:type="character" w:styleId="Ttulo3Car" w:customStyle="1">
    <w:name w:val="Título 3 Car"/>
    <w:basedOn w:val="DefaultParagraphFont"/>
    <w:uiPriority w:val="9"/>
    <w:semiHidden/>
    <w:qFormat/>
    <w:rsid w:val="00443ea2"/>
    <w:rPr>
      <w:rFonts w:ascii="Arial" w:hAnsi="Arial" w:eastAsia="" w:cs="" w:cstheme="majorBidi" w:eastAsiaTheme="majorEastAsia"/>
      <w:color w:val="C00000"/>
      <w:kern w:val="2"/>
      <w:sz w:val="24"/>
      <w:szCs w:val="24"/>
      <w:lang w:eastAsia="zh-CN"/>
    </w:rPr>
  </w:style>
  <w:style w:type="character" w:styleId="PageNumber">
    <w:name w:val="page number"/>
    <w:basedOn w:val="DefaultParagraphFont"/>
    <w:qFormat/>
    <w:rsid w:val="00d96fa4"/>
    <w:rPr/>
  </w:style>
  <w:style w:type="character" w:styleId="Ttulo4Car" w:customStyle="1">
    <w:name w:val="Título 4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accent1" w:themeShade="bf" w:val="2F5496"/>
      <w:kern w:val="2"/>
      <w:szCs w:val="24"/>
      <w:lang w:eastAsia="zh-CN"/>
    </w:rPr>
  </w:style>
  <w:style w:type="character" w:styleId="Ttulo5Car" w:customStyle="1">
    <w:name w:val="Título 5 Car"/>
    <w:basedOn w:val="DefaultParagraphFont"/>
    <w:uiPriority w:val="9"/>
    <w:semiHidden/>
    <w:qFormat/>
    <w:rsid w:val="002e3c12"/>
    <w:rPr>
      <w:rFonts w:ascii="Calibri Light" w:hAnsi="Calibri Light" w:eastAsia="" w:cs="" w:asciiTheme="majorHAnsi" w:cstheme="majorBidi" w:eastAsiaTheme="majorEastAsia" w:hAnsiTheme="majorHAnsi"/>
      <w:color w:themeColor="accent1" w:themeShade="bf" w:val="2F5496"/>
      <w:kern w:val="2"/>
      <w:szCs w:val="24"/>
      <w:lang w:eastAsia="zh-CN"/>
    </w:rPr>
  </w:style>
  <w:style w:type="character" w:styleId="Ttulo6Car" w:customStyle="1">
    <w:name w:val="Título 6 Car"/>
    <w:basedOn w:val="DefaultParagraphFont"/>
    <w:uiPriority w:val="9"/>
    <w:semiHidden/>
    <w:qFormat/>
    <w:rsid w:val="002e3c12"/>
    <w:rPr>
      <w:rFonts w:ascii="Calibri Light" w:hAnsi="Calibri Light" w:eastAsia="" w:cs="" w:asciiTheme="majorHAnsi" w:cstheme="majorBidi" w:eastAsiaTheme="majorEastAsia" w:hAnsiTheme="majorHAnsi"/>
      <w:color w:themeColor="accent1" w:themeShade="7f" w:val="1F3763"/>
      <w:kern w:val="2"/>
      <w:szCs w:val="24"/>
      <w:lang w:eastAsia="zh-CN"/>
    </w:rPr>
  </w:style>
  <w:style w:type="character" w:styleId="Ttulo7Car" w:customStyle="1">
    <w:name w:val="Título 7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accent1" w:themeShade="7f" w:val="1F3763"/>
      <w:kern w:val="2"/>
      <w:szCs w:val="24"/>
      <w:lang w:eastAsia="zh-CN"/>
    </w:rPr>
  </w:style>
  <w:style w:type="character" w:styleId="Ttulo8Car" w:customStyle="1">
    <w:name w:val="Título 8 Car"/>
    <w:basedOn w:val="DefaultParagraphFont"/>
    <w:uiPriority w:val="9"/>
    <w:semiHidden/>
    <w:qFormat/>
    <w:rsid w:val="002e3c12"/>
    <w:rPr>
      <w:rFonts w:ascii="Calibri Light" w:hAnsi="Calibri Light" w:eastAsia="" w:cs="" w:asciiTheme="majorHAnsi" w:cstheme="majorBidi" w:eastAsiaTheme="majorEastAsia" w:hAnsiTheme="majorHAnsi"/>
      <w:color w:themeColor="text1" w:themeTint="d8" w:val="272727"/>
      <w:kern w:val="2"/>
      <w:sz w:val="21"/>
      <w:szCs w:val="21"/>
      <w:lang w:eastAsia="zh-CN"/>
    </w:rPr>
  </w:style>
  <w:style w:type="character" w:styleId="Ttulo9Car" w:customStyle="1">
    <w:name w:val="Título 9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text1" w:themeTint="d8" w:val="272727"/>
      <w:kern w:val="2"/>
      <w:sz w:val="21"/>
      <w:szCs w:val="21"/>
      <w:lang w:eastAsia="zh-CN"/>
    </w:rPr>
  </w:style>
  <w:style w:type="character" w:styleId="ExplicacinCar" w:customStyle="1">
    <w:name w:val="Explicación Car"/>
    <w:basedOn w:val="SubttuloCar"/>
    <w:link w:val="Explicacin"/>
    <w:qFormat/>
    <w:rsid w:val="00117cbe"/>
    <w:rPr>
      <w:rFonts w:ascii="Arial" w:hAnsi="Arial" w:eastAsia="" w:eastAsiaTheme="minorEastAsia"/>
      <w:color w:themeColor="text1" w:themeTint="a5" w:val="5A5A5A"/>
      <w:spacing w:val="15"/>
      <w:kern w:val="2"/>
      <w:sz w:val="20"/>
      <w:lang w:val="es-MX" w:eastAsia="zh-CN"/>
    </w:rPr>
  </w:style>
  <w:style w:type="character" w:styleId="Hyperlink">
    <w:name w:val="Hyperlink"/>
    <w:basedOn w:val="DefaultParagraphFont"/>
    <w:uiPriority w:val="99"/>
    <w:unhideWhenUsed/>
    <w:rsid w:val="00117cbe"/>
    <w:rPr>
      <w:color w:themeColor="hyperlink" w:val="0563C1"/>
      <w:u w:val="single"/>
    </w:rPr>
  </w:style>
  <w:style w:type="character" w:styleId="SubtleEmphasis">
    <w:name w:val="Subtle Emphasis"/>
    <w:basedOn w:val="DefaultParagraphFont"/>
    <w:uiPriority w:val="19"/>
    <w:qFormat/>
    <w:rsid w:val="00117cbe"/>
    <w:rPr>
      <w:i/>
      <w:iCs/>
      <w:color w:themeColor="background1" w:themeShade="a6" w:val="A6A6A6"/>
    </w:rPr>
  </w:style>
  <w:style w:type="character" w:styleId="SubttuloCar" w:customStyle="1">
    <w:name w:val="Subtítulo Car"/>
    <w:basedOn w:val="DefaultParagraphFont"/>
    <w:uiPriority w:val="11"/>
    <w:qFormat/>
    <w:rsid w:val="00117cbe"/>
    <w:rPr>
      <w:rFonts w:eastAsia="" w:eastAsiaTheme="minorEastAsia"/>
      <w:color w:themeColor="text1" w:themeTint="a5" w:val="5A5A5A"/>
      <w:spacing w:val="15"/>
      <w:kern w:val="2"/>
      <w:lang w:eastAsia="zh-CN"/>
    </w:rPr>
  </w:style>
  <w:style w:type="character" w:styleId="TextonotapieCar" w:customStyle="1">
    <w:name w:val="Texto nota pie Car"/>
    <w:basedOn w:val="DefaultParagraphFont"/>
    <w:uiPriority w:val="99"/>
    <w:qFormat/>
    <w:rsid w:val="0051727f"/>
    <w:rPr>
      <w:rFonts w:ascii="Arial" w:hAnsi="Arial"/>
      <w:sz w:val="20"/>
      <w:szCs w:val="20"/>
      <w:lang w:val="es-MX"/>
    </w:rPr>
  </w:style>
  <w:style w:type="character" w:styleId="Caracteresdenotaalpie" w:customStyle="1">
    <w:name w:val="Caracteres de nota al pie"/>
    <w:uiPriority w:val="99"/>
    <w:semiHidden/>
    <w:unhideWhenUsed/>
    <w:qFormat/>
    <w:rsid w:val="0051727f"/>
    <w:rPr>
      <w:vertAlign w:val="superscript"/>
    </w:rPr>
  </w:style>
  <w:style w:type="character" w:styleId="FootnoteCharacters" w:customStyle="1">
    <w:name w:val="Footnote Characters"/>
    <w:qFormat/>
    <w:rPr>
      <w:vertAlign w:val="superscript"/>
    </w:rPr>
  </w:style>
  <w:style w:type="character" w:styleId="FootnoteAnchor" w:customStyle="1">
    <w:name w:val="Footnote Anchor"/>
    <w:qFormat/>
    <w:rPr>
      <w:vertAlign w:val="superscript"/>
    </w:rPr>
  </w:style>
  <w:style w:type="character" w:styleId="normaltextrun" w:customStyle="1">
    <w:name w:val="normaltextrun"/>
    <w:basedOn w:val="DefaultParagraphFont"/>
    <w:qFormat/>
    <w:rsid w:val="008c381e"/>
    <w:rPr/>
  </w:style>
  <w:style w:type="character" w:styleId="eop" w:customStyle="1">
    <w:name w:val="eop"/>
    <w:basedOn w:val="DefaultParagraphFont"/>
    <w:qFormat/>
    <w:rsid w:val="008c381e"/>
    <w:rPr/>
  </w:style>
  <w:style w:type="character" w:styleId="Smbolosdenumeracin" w:customStyle="1">
    <w:name w:val="Símbolos de numeración"/>
    <w:qFormat/>
    <w:rPr/>
  </w:style>
  <w:style w:type="character" w:styleId="Caracteresdenotafinal" w:customStyle="1">
    <w:name w:val="Caracteres de nota final"/>
    <w:qFormat/>
    <w:rPr>
      <w:vertAlign w:val="superscript"/>
    </w:rPr>
  </w:style>
  <w:style w:type="character" w:styleId="EndnoteCharacters" w:customStyle="1">
    <w:name w:val="Endnote Characters"/>
    <w:qFormat/>
    <w:rPr>
      <w:vertAlign w:val="superscript"/>
    </w:rPr>
  </w:style>
  <w:style w:type="character" w:styleId="EndnoteAnchor" w:customStyle="1">
    <w:name w:val="Endnote Anchor"/>
    <w:qFormat/>
    <w:rPr>
      <w:vertAlign w:val="superscript"/>
    </w:rPr>
  </w:style>
  <w:style w:type="character" w:styleId="Caracteresdenotaalpieuser">
    <w:name w:val="Caracteres de nota al pie (user)"/>
    <w:uiPriority w:val="99"/>
    <w:semiHidden/>
    <w:unhideWhenUsed/>
    <w:qFormat/>
    <w:rsid w:val="0034591f"/>
    <w:rPr>
      <w:vertAlign w:val="superscript"/>
    </w:rPr>
  </w:style>
  <w:style w:type="character" w:styleId="FootnoteReference">
    <w:name w:val="footnote reference"/>
    <w:rPr>
      <w:vertAlign w:val="superscript"/>
    </w:rPr>
  </w:style>
  <w:style w:type="character" w:styleId="Caracteresdenotafinaluser">
    <w:name w:val="Caracteres de nota final (user)"/>
    <w:qFormat/>
    <w:rPr>
      <w:vertAlign w:val="superscript"/>
    </w:rPr>
  </w:style>
  <w:style w:type="character" w:styleId="EndnoteReference">
    <w:name w:val="endnote reference"/>
    <w:rPr>
      <w:vertAlign w:val="superscript"/>
    </w:rPr>
  </w:style>
  <w:style w:type="character" w:styleId="FollowedHyperlink">
    <w:name w:val="FollowedHyperlink"/>
    <w:rPr>
      <w:color w:val="80000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rPr>
  </w:style>
  <w:style w:type="paragraph" w:styleId="ndice" w:customStyle="1">
    <w:name w:val="Índice"/>
    <w:basedOn w:val="Normal"/>
    <w:qFormat/>
    <w:pPr>
      <w:suppressLineNumbers/>
    </w:pPr>
    <w:rPr>
      <w:rFonts w:cs="Lucida Sans"/>
    </w:rPr>
  </w:style>
  <w:style w:type="paragraph" w:styleId="Ttulouser" w:customStyle="1">
    <w:name w:val="Título (user)"/>
    <w:basedOn w:val="Normal"/>
    <w:next w:val="BodyText"/>
    <w:qFormat/>
    <w:pPr>
      <w:keepNext w:val="true"/>
      <w:spacing w:before="240" w:after="120"/>
    </w:pPr>
    <w:rPr>
      <w:rFonts w:eastAsia="Noto Sans CJK SC" w:cs="Lohit Devanagari"/>
      <w:sz w:val="28"/>
      <w:szCs w:val="28"/>
    </w:rPr>
  </w:style>
  <w:style w:type="paragraph" w:styleId="ndiceuser" w:customStyle="1">
    <w:name w:val="Índice (user)"/>
    <w:basedOn w:val="Normal"/>
    <w:qFormat/>
    <w:pPr>
      <w:suppressLineNumbers/>
    </w:pPr>
    <w:rPr>
      <w:rFonts w:cs="Lohit Devanagari"/>
    </w:rPr>
  </w:style>
  <w:style w:type="paragraph" w:styleId="Ttulo1" w:customStyle="1">
    <w:name w:val="Título1"/>
    <w:basedOn w:val="Normal"/>
    <w:next w:val="BodyText"/>
    <w:qFormat/>
    <w:pPr>
      <w:keepNext w:val="true"/>
      <w:spacing w:before="240" w:after="120"/>
    </w:pPr>
    <w:rPr>
      <w:rFonts w:ascii="Liberation Sans" w:hAnsi="Liberation Sans" w:eastAsia="Microsoft YaHei" w:cs="Lucida Sans"/>
      <w:sz w:val="28"/>
      <w:szCs w:val="28"/>
    </w:rPr>
  </w:style>
  <w:style w:type="paragraph" w:styleId="Cabeceraypie" w:customStyle="1">
    <w:name w:val="Cabecera y pie"/>
    <w:basedOn w:val="Normal"/>
    <w:qFormat/>
    <w:pPr/>
    <w:rPr/>
  </w:style>
  <w:style w:type="paragraph" w:styleId="Cabeceraypieuser" w:customStyle="1">
    <w:name w:val="Cabecera y pie (user)"/>
    <w:basedOn w:val="Normal"/>
    <w:qFormat/>
    <w:pPr/>
    <w:rPr/>
  </w:style>
  <w:style w:type="paragraph" w:styleId="Header">
    <w:name w:val="header"/>
    <w:basedOn w:val="Normal"/>
    <w:link w:val="EncabezadoCar"/>
    <w:unhideWhenUsed/>
    <w:rsid w:val="009f388c"/>
    <w:pPr>
      <w:tabs>
        <w:tab w:val="clear" w:pos="708"/>
        <w:tab w:val="center" w:pos="4252" w:leader="none"/>
        <w:tab w:val="right" w:pos="8504" w:leader="none"/>
      </w:tabs>
    </w:pPr>
    <w:rPr/>
  </w:style>
  <w:style w:type="paragraph" w:styleId="Footer">
    <w:name w:val="footer"/>
    <w:basedOn w:val="Normal"/>
    <w:link w:val="PiedepginaCar"/>
    <w:unhideWhenUsed/>
    <w:rsid w:val="009f388c"/>
    <w:pPr>
      <w:tabs>
        <w:tab w:val="clear" w:pos="708"/>
        <w:tab w:val="center" w:pos="4252" w:leader="none"/>
        <w:tab w:val="right" w:pos="8504" w:leader="none"/>
      </w:tabs>
    </w:pPr>
    <w:rPr/>
  </w:style>
  <w:style w:type="paragraph" w:styleId="Textosinformato1" w:customStyle="1">
    <w:name w:val="Texto sin formato1"/>
    <w:basedOn w:val="Normal"/>
    <w:qFormat/>
    <w:rsid w:val="00593c69"/>
    <w:pPr>
      <w:widowControl w:val="false"/>
      <w:spacing w:before="0" w:after="0"/>
      <w:jc w:val="left"/>
    </w:pPr>
    <w:rPr>
      <w:rFonts w:ascii="Courier New" w:hAnsi="Courier New" w:eastAsia="Lucida Sans Unicode"/>
      <w:sz w:val="24"/>
      <w:lang w:val="es-ES_tradnl" w:eastAsia="ar-SA"/>
    </w:rPr>
  </w:style>
  <w:style w:type="paragraph" w:styleId="ListParagraph">
    <w:name w:val="List Paragraph"/>
    <w:basedOn w:val="Normal"/>
    <w:uiPriority w:val="34"/>
    <w:qFormat/>
    <w:rsid w:val="00131ff1"/>
    <w:pPr>
      <w:spacing w:before="0" w:after="120"/>
      <w:ind w:left="720"/>
      <w:contextualSpacing/>
    </w:pPr>
    <w:rPr/>
  </w:style>
  <w:style w:type="paragraph" w:styleId="Explicacin" w:customStyle="1">
    <w:name w:val="Explicación"/>
    <w:basedOn w:val="Subtitle"/>
    <w:link w:val="ExplicacinCar"/>
    <w:qFormat/>
    <w:rsid w:val="00117cbe"/>
    <w:pPr>
      <w:suppressAutoHyphens w:val="false"/>
      <w:spacing w:lineRule="auto" w:line="259"/>
    </w:pPr>
    <w:rPr>
      <w:rFonts w:ascii="Arial" w:hAnsi="Arial"/>
      <w:sz w:val="20"/>
      <w:lang w:val="es-MX"/>
    </w:rPr>
  </w:style>
  <w:style w:type="paragraph" w:styleId="Subtitle">
    <w:name w:val="Subtitle"/>
    <w:basedOn w:val="Normal"/>
    <w:next w:val="Normal"/>
    <w:link w:val="SubttuloCar"/>
    <w:uiPriority w:val="11"/>
    <w:qFormat/>
    <w:rsid w:val="00117cbe"/>
    <w:pPr>
      <w:spacing w:before="0" w:after="160"/>
    </w:pPr>
    <w:rPr>
      <w:rFonts w:ascii="Calibri" w:hAnsi="Calibri" w:eastAsia="" w:cs="" w:asciiTheme="minorHAnsi" w:cstheme="minorBidi" w:eastAsiaTheme="minorEastAsia" w:hAnsiTheme="minorHAnsi"/>
      <w:color w:themeColor="text1" w:themeTint="a5" w:val="5A5A5A"/>
      <w:spacing w:val="15"/>
      <w:szCs w:val="22"/>
    </w:rPr>
  </w:style>
  <w:style w:type="paragraph" w:styleId="FootnoteText">
    <w:name w:val="footnote text"/>
    <w:basedOn w:val="Normal"/>
    <w:link w:val="TextonotapieCar"/>
    <w:uiPriority w:val="99"/>
    <w:unhideWhenUsed/>
    <w:rsid w:val="0051727f"/>
    <w:pPr>
      <w:suppressAutoHyphens w:val="false"/>
      <w:spacing w:before="0" w:after="0"/>
    </w:pPr>
    <w:rPr>
      <w:rFonts w:eastAsia="Calibri" w:cs="" w:cstheme="minorBidi" w:eastAsiaTheme="minorHAnsi"/>
      <w:kern w:val="0"/>
      <w:sz w:val="20"/>
      <w:szCs w:val="20"/>
      <w:lang w:val="es-MX" w:eastAsia="en-US"/>
    </w:rPr>
  </w:style>
  <w:style w:type="paragraph" w:styleId="paragraph" w:customStyle="1">
    <w:name w:val="paragraph"/>
    <w:basedOn w:val="Normal"/>
    <w:qFormat/>
    <w:rsid w:val="008c381e"/>
    <w:pPr>
      <w:suppressAutoHyphens w:val="false"/>
      <w:spacing w:beforeAutospacing="1" w:afterAutospacing="1"/>
      <w:jc w:val="left"/>
    </w:pPr>
    <w:rPr>
      <w:rFonts w:ascii="Times New Roman" w:hAnsi="Times New Roman"/>
      <w:kern w:val="0"/>
      <w:sz w:val="24"/>
      <w:lang w:eastAsia="es-ES"/>
    </w:rPr>
  </w:style>
  <w:style w:type="paragraph" w:styleId="Contenidodelmarco" w:customStyle="1">
    <w:name w:val="Contenido del marco"/>
    <w:basedOn w:val="Normal"/>
    <w:qFormat/>
    <w:pPr/>
    <w:rPr/>
  </w:style>
  <w:style w:type="paragraph" w:styleId="Contenidodelatabla" w:customStyle="1">
    <w:name w:val="Contenido de la tabla"/>
    <w:basedOn w:val="Normal"/>
    <w:qFormat/>
    <w:pPr>
      <w:widowControl w:val="false"/>
      <w:suppressLineNumbers/>
    </w:pPr>
    <w:rPr/>
  </w:style>
  <w:style w:type="paragraph" w:styleId="Standard" w:customStyle="1">
    <w:name w:val="Standard"/>
    <w:basedOn w:val="Normal"/>
    <w:qFormat/>
    <w:pPr>
      <w:spacing w:before="0" w:after="160"/>
    </w:pPr>
    <w:rPr>
      <w:rFonts w:eastAsia="Arial" w:cs="Arial"/>
      <w:sz w:val="20"/>
      <w:szCs w:val="20"/>
      <w:lang w:val="es-MX"/>
    </w:rPr>
  </w:style>
  <w:style w:type="paragraph" w:styleId="Ttulodelatabla" w:customStyle="1">
    <w:name w:val="Título de la tabla"/>
    <w:basedOn w:val="Contenidodelatabla"/>
    <w:qFormat/>
    <w:pPr>
      <w:jc w:val="center"/>
    </w:pPr>
    <w:rPr>
      <w:b/>
      <w:bCs/>
    </w:rPr>
  </w:style>
  <w:style w:type="paragraph" w:styleId="Contenidodelatablauser" w:customStyle="1">
    <w:name w:val="Contenido de la tabla (user)"/>
    <w:basedOn w:val="Normal"/>
    <w:qFormat/>
    <w:pPr>
      <w:widowControl w:val="false"/>
      <w:suppressLineNumbers/>
    </w:pPr>
    <w:rPr/>
  </w:style>
  <w:style w:type="paragraph" w:styleId="Ttulodelatablauser" w:customStyle="1">
    <w:name w:val="Título de la tabla (user)"/>
    <w:basedOn w:val="Contenidodelatablauser"/>
    <w:qFormat/>
    <w:pPr>
      <w:jc w:val="center"/>
    </w:pPr>
    <w:rPr>
      <w:b/>
      <w:bCs/>
    </w:rPr>
  </w:style>
  <w:style w:type="paragraph" w:styleId="Contenidodelmarcouser">
    <w:name w:val="Contenido del marco (user)"/>
    <w:basedOn w:val="Normal"/>
    <w:qFormat/>
    <w:pPr/>
    <w:rPr/>
  </w:style>
  <w:style w:type="paragraph" w:styleId="IndexHeading">
    <w:name w:val="index heading"/>
    <w:basedOn w:val="Ttulouser"/>
    <w:pPr/>
    <w:rPr/>
  </w:style>
  <w:style w:type="paragraph" w:styleId="TOCHeading">
    <w:name w:val="TOC Heading"/>
    <w:basedOn w:val="IndexHeading"/>
    <w:qFormat/>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587080"/>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4-nfasis4">
    <w:name w:val="Grid Table 4 Accent 4"/>
    <w:basedOn w:val="Tablanormal"/>
    <w:uiPriority w:val="49"/>
    <w:rsid w:val="00da09f1"/>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val="000000"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laconcuadrcula1">
    <w:name w:val="Tabla con cuadrícula1"/>
    <w:basedOn w:val="Tablanormal"/>
    <w:uiPriority w:val="39"/>
    <w:rsid w:val="0034591f"/>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2">
    <w:name w:val="Tabla con cuadrícula2"/>
    <w:basedOn w:val="Tablanormal"/>
    <w:uiPriority w:val="39"/>
    <w:rsid w:val="0034591f"/>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oe.es/buscar/act.php?id=BOE-A-2022-5139" TargetMode="External"/><Relationship Id="rId3" Type="http://schemas.openxmlformats.org/officeDocument/2006/relationships/hyperlink" Target="https://www.boe.es/diario_boe/txt.php?id=BOE-A-2023-16889" TargetMode="External"/><Relationship Id="rId4" Type="http://schemas.openxmlformats.org/officeDocument/2006/relationships/hyperlink" Target="https://www.boe.es/diario_boe/txt.php?id=BOE-A-2023-16889" TargetMode="External"/><Relationship Id="rId5" Type="http://schemas.openxmlformats.org/officeDocument/2006/relationships/hyperlink" Target="https://www.boe.es/diario_boe/txt.php?id=BOE-A-2023-16889" TargetMode="External"/><Relationship Id="rId6" Type="http://schemas.openxmlformats.org/officeDocument/2006/relationships/hyperlink" Target="https://www.boe.es/diario_boe/txt.php?id=BOE-A-2023-16889" TargetMode="External"/><Relationship Id="rId7" Type="http://schemas.openxmlformats.org/officeDocument/2006/relationships/hyperlink" Target="https://incual.educacion.gob.es/inicio" TargetMode="External"/><Relationship Id="rId8" Type="http://schemas.openxmlformats.org/officeDocument/2006/relationships/hyperlink" Target="https://www.boe.es/eli/es/lo/2020/12/29/3/dof/spa/pdf" TargetMode="External"/><Relationship Id="rId9" Type="http://schemas.openxmlformats.org/officeDocument/2006/relationships/hyperlink" Target="https://www.boe.es/eli/es/rd/2009/10/30/1629" TargetMode="External"/><Relationship Id="rId10" Type="http://schemas.openxmlformats.org/officeDocument/2006/relationships/hyperlink" Target="https://ceice.gva.es/documents/162640785/162670691/2019_11616.pdf/06f8911e-0527-4e38-8c4c-1b3ce82de4be" TargetMode="External"/><Relationship Id="rId11" Type="http://schemas.openxmlformats.org/officeDocument/2006/relationships/hyperlink" Target="https://dogv.gva.es/es/eli/es-vc/o/2012/06/22/36/vci-spa/pdf/" TargetMode="External"/><Relationship Id="rId12" Type="http://schemas.openxmlformats.org/officeDocument/2006/relationships/hyperlink" Target="https://dogv.gva.es/datos/2010/09/06/pdf/2010_9553.pdf" TargetMode="External"/><Relationship Id="rId13" Type="http://schemas.openxmlformats.org/officeDocument/2006/relationships/hyperlink" Target="https://www.boe.es/eli/es/rd/2009/10/30/1629"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header" Target="header4.xml"/><Relationship Id="rId21" Type="http://schemas.openxmlformats.org/officeDocument/2006/relationships/header" Target="header5.xml"/><Relationship Id="rId22" Type="http://schemas.openxmlformats.org/officeDocument/2006/relationships/header" Target="header6.xml"/><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footer" Target="footer6.xml"/><Relationship Id="rId26" Type="http://schemas.openxmlformats.org/officeDocument/2006/relationships/header" Target="header7.xml"/><Relationship Id="rId27" Type="http://schemas.openxmlformats.org/officeDocument/2006/relationships/header" Target="header8.xml"/><Relationship Id="rId28" Type="http://schemas.openxmlformats.org/officeDocument/2006/relationships/header" Target="header9.xml"/><Relationship Id="rId29" Type="http://schemas.openxmlformats.org/officeDocument/2006/relationships/footer" Target="footer7.xml"/><Relationship Id="rId30" Type="http://schemas.openxmlformats.org/officeDocument/2006/relationships/footer" Target="footer8.xml"/><Relationship Id="rId31" Type="http://schemas.openxmlformats.org/officeDocument/2006/relationships/footer" Target="footer9.xml"/><Relationship Id="rId32" Type="http://schemas.openxmlformats.org/officeDocument/2006/relationships/footnotes" Target="footnotes.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customXml" Target="../customXml/item1.xml"/><Relationship Id="rId38" Type="http://schemas.openxmlformats.org/officeDocument/2006/relationships/customXml" Target="../customXml/item2.xml"/><Relationship Id="rId39" Type="http://schemas.openxmlformats.org/officeDocument/2006/relationships/customXml" Target="../customXml/item3.xml"/><Relationship Id="rId40"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5.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6.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8.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9.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4bb2349-83bb-47d8-8d71-d16bbc7407c3">
      <UserInfo>
        <DisplayName>CRESPO RICO, ROBERT</DisplayName>
        <AccountId>33</AccountId>
        <AccountType/>
      </UserInfo>
      <UserInfo>
        <DisplayName>FERNÁNDEZ NAVARRO, TANIA</DisplayName>
        <AccountId>26</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1C3886BC88F974680BDF811716AA8A2" ma:contentTypeVersion="9" ma:contentTypeDescription="Crear nuevo documento." ma:contentTypeScope="" ma:versionID="9635109b5b403a014e385bca98a113cb">
  <xsd:schema xmlns:xsd="http://www.w3.org/2001/XMLSchema" xmlns:xs="http://www.w3.org/2001/XMLSchema" xmlns:p="http://schemas.microsoft.com/office/2006/metadata/properties" xmlns:ns2="3db5de8d-1893-4bcd-9ec0-2e33ed1b3eb7" xmlns:ns3="e4bb2349-83bb-47d8-8d71-d16bbc7407c3" targetNamespace="http://schemas.microsoft.com/office/2006/metadata/properties" ma:root="true" ma:fieldsID="2bc75b71553372f33e1ad80f7b09fc74" ns2:_="" ns3:_="">
    <xsd:import namespace="3db5de8d-1893-4bcd-9ec0-2e33ed1b3eb7"/>
    <xsd:import namespace="e4bb2349-83bb-47d8-8d71-d16bbc7407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b5de8d-1893-4bcd-9ec0-2e33ed1b3e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bb2349-83bb-47d8-8d71-d16bbc7407c3"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928C8C-57C1-4C40-B957-69121DC79C48}">
  <ds:schemaRefs>
    <ds:schemaRef ds:uri="http://schemas.microsoft.com/office/2006/metadata/properties"/>
    <ds:schemaRef ds:uri="http://schemas.microsoft.com/office/infopath/2007/PartnerControls"/>
    <ds:schemaRef ds:uri="561d3232-41a7-4c36-b250-9ba99df78791"/>
    <ds:schemaRef ds:uri="7ded6650-5342-4d98-9c7f-b23638238389"/>
    <ds:schemaRef ds:uri="e4bb2349-83bb-47d8-8d71-d16bbc7407c3"/>
  </ds:schemaRefs>
</ds:datastoreItem>
</file>

<file path=customXml/itemProps2.xml><?xml version="1.0" encoding="utf-8"?>
<ds:datastoreItem xmlns:ds="http://schemas.openxmlformats.org/officeDocument/2006/customXml" ds:itemID="{296F5A19-AB3B-4919-BE58-00E83E9B99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b5de8d-1893-4bcd-9ec0-2e33ed1b3eb7"/>
    <ds:schemaRef ds:uri="e4bb2349-83bb-47d8-8d71-d16bbc7407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01B71A-9484-4D54-9590-3076807BDDFA}">
  <ds:schemaRefs>
    <ds:schemaRef ds:uri="http://schemas.openxmlformats.org/officeDocument/2006/bibliography"/>
  </ds:schemaRefs>
</ds:datastoreItem>
</file>

<file path=customXml/itemProps4.xml><?xml version="1.0" encoding="utf-8"?>
<ds:datastoreItem xmlns:ds="http://schemas.openxmlformats.org/officeDocument/2006/customXml" ds:itemID="{68E4C004-7EDA-40E3-93B1-7812CB056E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Application>LibreOffice/26.2.5.2$Linux_X86_64 LibreOffice_project/620$Build-2</Application>
  <AppVersion>15.0000</AppVersion>
  <Pages>45</Pages>
  <Words>11436</Words>
  <Characters>66083</Characters>
  <CharactersWithSpaces>76541</CharactersWithSpaces>
  <Paragraphs>1020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2024-10-29T14:37:00Z</dcterms:created>
  <dc:creator>javi</dc:creator>
  <dc:description/>
  <dc:language>es-ES</dc:language>
  <cp:lastModifiedBy/>
  <dcterms:modified xsi:type="dcterms:W3CDTF">2026-09-29T20:56:02Z</dcterms:modified>
  <cp:revision>281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0x01010081C3886BC88F974680BDF811716AA8A2</vt:lpwstr>
  </property>
  <property fmtid="{D5CDD505-2E9C-101B-9397-08002B2CF9AE}" pid="3" name="MediaServiceImageTags">
    <vt:lpwstr/>
  </property>
</Properties>
</file>