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 w15">
  <w:body>
    <w:p>
      <w:pPr>
        <w:pStyle w:val="Normal"/>
        <w:rPr/>
      </w:pPr>
      <w:r>
        <w:rPr/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left" w:pos="4678" w:leader="none"/>
          <w:tab w:val="left" w:pos="7938" w:leader="none"/>
        </w:tabs>
        <w:rPr>
          <w:b/>
          <w:bCs/>
        </w:rPr>
      </w:pPr>
      <w:r>
        <w:rPr>
          <w:b/>
          <w:bCs/>
        </w:rPr>
        <w:t>Docente:</w:t>
      </w:r>
      <w:r>
        <w:rPr>
          <w:rFonts w:eastAsia="Calibri" w:cs="Arial"/>
          <w:b/>
          <w:bCs/>
          <w:kern w:val="0"/>
          <w:sz w:val="22"/>
          <w:szCs w:val="22"/>
          <w:lang w:val="es-ES" w:eastAsia="en-US" w:bidi="he-IL"/>
        </w:rPr>
        <w:t xml:space="preserve">Julio Martínez Lucas   </w:t>
      </w:r>
      <w:r>
        <w:rPr>
          <w:b/>
          <w:bCs/>
        </w:rPr>
        <w:t>Módulo:</w:t>
      </w:r>
      <w:r>
        <w:rPr>
          <w:rFonts w:eastAsia="Calibri" w:cs="Arial"/>
          <w:b/>
          <w:bCs/>
          <w:kern w:val="0"/>
          <w:sz w:val="22"/>
          <w:szCs w:val="22"/>
          <w:lang w:val="es-ES" w:eastAsia="en-US" w:bidi="he-IL"/>
        </w:rPr>
        <w:t>Administración de sistemas operativos</w:t>
      </w:r>
      <w:r>
        <w:rPr>
          <w:b/>
          <w:bCs/>
        </w:rPr>
        <w:tab/>
        <w:t>Grupo: 2º ASIR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1.- RESULTADOS ACADÉMICOS FINALES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tbl>
      <w:tblPr>
        <w:tblStyle w:val="Tablaconcuadrcula"/>
        <w:tblW w:w="74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507"/>
        <w:gridCol w:w="1511"/>
        <w:gridCol w:w="1507"/>
        <w:gridCol w:w="1513"/>
        <w:gridCol w:w="1438"/>
      </w:tblGrid>
      <w:tr>
        <w:trPr>
          <w:trHeight w:val="375" w:hRule="atLeast"/>
        </w:trPr>
        <w:tc>
          <w:tcPr>
            <w:tcW w:w="7476" w:type="dxa"/>
            <w:gridSpan w:val="5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0"/>
                <w:lang w:val="es-ES" w:bidi="hi-IN"/>
              </w:rPr>
            </w:pPr>
            <w:r>
              <w:rPr>
                <w:b/>
                <w:bCs/>
                <w:sz w:val="20"/>
                <w:lang w:val="es-ES" w:bidi="hi-IN"/>
              </w:rPr>
              <w:t>Nº ALUMNADO</w:t>
            </w:r>
          </w:p>
        </w:tc>
      </w:tr>
      <w:tr>
        <w:trPr>
          <w:trHeight w:val="375" w:hRule="atLeast"/>
        </w:trPr>
        <w:tc>
          <w:tcPr>
            <w:tcW w:w="6038" w:type="dxa"/>
            <w:gridSpan w:val="4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lang w:val="es-ES" w:bidi="hi-IN"/>
              </w:rPr>
              <w:t>Evaluado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lang w:val="es-ES" w:bidi="hi-IN"/>
              </w:rPr>
              <w:t>No evaluado</w:t>
            </w:r>
          </w:p>
        </w:tc>
      </w:tr>
      <w:tr>
        <w:trPr>
          <w:trHeight w:val="375" w:hRule="atLeast"/>
        </w:trPr>
        <w:tc>
          <w:tcPr>
            <w:tcW w:w="15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end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Apto: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14</w:t>
            </w:r>
          </w:p>
        </w:tc>
        <w:tc>
          <w:tcPr>
            <w:tcW w:w="15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end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No Apto: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3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0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2.- PROPUESTAS DE MEJORA EN LA PROGRAMACIÓN DIDÁCTICA.</w:t>
      </w:r>
    </w:p>
    <w:tbl>
      <w:tblPr>
        <w:tblStyle w:val="Tablaconcuadrcula"/>
        <w:tblW w:w="94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690"/>
        <w:gridCol w:w="5725"/>
      </w:tblGrid>
      <w:tr>
        <w:trPr>
          <w:trHeight w:val="1353" w:hRule="atLeast"/>
        </w:trPr>
        <w:tc>
          <w:tcPr>
            <w:tcW w:w="369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0"/>
                <w:lang w:val="es-ES" w:bidi="hi-IN"/>
              </w:rPr>
              <w:t>Secuenciación de unidades de trabajo:</w:t>
            </w:r>
          </w:p>
        </w:tc>
        <w:tc>
          <w:tcPr>
            <w:tcW w:w="5725" w:type="dxa"/>
            <w:tcBorders/>
          </w:tcPr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UT1. ShellScripting Linux y PowerShell</w:t>
            </w:r>
          </w:p>
          <w:p>
            <w:pPr>
              <w:pStyle w:val="BodyText"/>
              <w:widowControl/>
              <w:spacing w:before="0" w:after="0"/>
              <w:rPr/>
            </w:pPr>
            <w:r>
              <w:rPr>
                <w:sz w:val="20"/>
                <w:lang w:val="es-ES" w:bidi="hi-IN"/>
              </w:rPr>
              <w:t>UT2. Administración de procesos del sistema</w:t>
            </w:r>
          </w:p>
          <w:p>
            <w:pPr>
              <w:pStyle w:val="BodyText"/>
              <w:widowControl/>
              <w:spacing w:before="0" w:after="0"/>
              <w:rPr/>
            </w:pPr>
            <w:r>
              <w:rPr>
                <w:sz w:val="20"/>
                <w:lang w:val="es-ES" w:bidi="hi-IN"/>
              </w:rPr>
              <w:t>UT3. Servicios de directorio</w:t>
            </w:r>
            <w:r>
              <w:rPr>
                <w:lang w:val="es-ES"/>
              </w:rPr>
              <w:t/>
            </w:r>
          </w:p>
          <w:p>
            <w:pPr>
              <w:pStyle w:val="BodyText"/>
              <w:widowControl/>
              <w:spacing w:before="0" w:after="0"/>
              <w:rPr/>
            </w:pPr>
            <w:r>
              <w:rPr>
                <w:sz w:val="20"/>
                <w:lang w:val="es-ES" w:bidi="hi-IN"/>
              </w:rPr>
              <w:t>UT4. Integración de sistemas operativos en red</w:t>
            </w:r>
            <w:r>
              <w:rPr>
                <w:lang w:val="es-ES"/>
              </w:rPr>
              <w:t/>
            </w:r>
          </w:p>
          <w:p>
            <w:pPr>
              <w:pStyle w:val="Normal"/>
              <w:rPr/>
            </w:pPr>
            <w:r>
              <w:rPr>
                <w:sz w:val="20"/>
                <w:lang w:val="es-ES" w:bidi="hi-IN"/>
              </w:rPr>
              <w:t>UT5. Información del sistema operativo, rendimiento y monitorización</w:t>
            </w:r>
            <w:r>
              <w:rPr>
                <w:lang w:val="es-ES"/>
              </w:rPr>
              <w:t/>
            </w:r>
          </w:p>
          <w:p>
            <w:pPr>
              <w:pStyle w:val="Normal"/>
              <w:rPr/>
            </w:pPr>
            <w:r>
              <w:rPr>
                <w:sz w:val="20"/>
                <w:lang w:val="es-ES" w:bidi="hi-IN"/>
              </w:rPr>
              <w:t>UT6. Servicios de acceso y administración remota</w:t>
            </w:r>
            <w:r>
              <w:rPr>
                <w:lang w:val="es-ES"/>
              </w:rPr>
              <w:t/>
            </w:r>
          </w:p>
          <w:p>
            <w:pPr>
              <w:pStyle w:val="Normal"/>
              <w:rPr/>
            </w:pPr>
            <w:r>
              <w:rPr>
                <w:sz w:val="20"/>
                <w:lang w:val="es-ES" w:bidi="hi-IN"/>
              </w:rPr>
              <w:t>UT7. Administración de servidores de impresión</w:t>
            </w:r>
            <w:r>
              <w:rPr>
                <w:lang w:val="es-ES"/>
              </w:rPr>
              <w:t/>
            </w:r>
          </w:p>
          <w:p>
            <w:pPr>
              <w:pStyle w:val="Normal"/>
              <w:rPr/>
            </w:pPr>
            <w:r>
              <w:rPr>
                <w:sz w:val="20"/>
                <w:lang w:val="es-ES" w:bidi="hi-IN"/>
              </w:rPr>
              <w:t/>
            </w:r>
            <w:r>
              <w:rPr>
                <w:lang w:val="es-ES"/>
              </w:rPr>
              <w:t/>
            </w:r>
          </w:p>
          <w:p>
            <w:pPr>
              <w:pStyle w:val="Normal"/>
              <w:rPr/>
            </w:pPr>
            <w:r>
              <w:rPr>
                <w:sz w:val="20"/>
                <w:lang w:val="es-ES" w:bidi="hi-IN"/>
              </w:rPr>
              <w:t/>
            </w:r>
            <w:r>
              <w:rPr>
                <w:lang w:val="es-ES"/>
              </w:rPr>
              <w:t/>
            </w:r>
          </w:p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</w:r>
          </w:p>
        </w:tc>
      </w:tr>
      <w:tr>
        <w:trPr>
          <w:trHeight w:val="1353" w:hRule="atLeast"/>
        </w:trPr>
        <w:tc>
          <w:tcPr>
            <w:tcW w:w="369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0"/>
                <w:lang w:val="es-ES" w:bidi="hi-IN"/>
              </w:rPr>
              <w:t>Temporalización de las UT:</w:t>
            </w:r>
          </w:p>
        </w:tc>
        <w:tc>
          <w:tcPr>
            <w:tcW w:w="5725" w:type="dxa"/>
            <w:tcBorders/>
          </w:tcPr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UT 1 → 1 EVA (aprox. 8 septiembre - 24 septiembre)</w:t>
            </w:r>
          </w:p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UT 2 → 1 EVA (aprox. 29 septiembre - 15 octubre)</w:t>
            </w:r>
          </w:p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UT 3 → 1 EVA (aprox. 20 octubre - 5 noviembre)</w:t>
            </w:r>
          </w:p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UT 4 → 2 EVA (aprox. 10 noviembre - 10 diciembre)</w:t>
            </w:r>
          </w:p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UT 5 → 2 EVA (aprox. 15 enero - 3 febrero)</w:t>
            </w:r>
          </w:p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UT 6 → 2 EVA (aprox. 8 febrero - 24 febrero)</w:t>
            </w:r>
          </w:p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UT 7 → 2 EVA (aprox. 1 marzo - 16 marzo)</w:t>
            </w:r>
          </w:p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/>
            </w:r>
          </w:p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/>
            </w:r>
          </w:p>
        </w:tc>
      </w:tr>
      <w:tr>
        <w:trPr>
          <w:trHeight w:val="2708" w:hRule="atLeast"/>
        </w:trPr>
        <w:tc>
          <w:tcPr>
            <w:tcW w:w="369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0"/>
                <w:lang w:val="es-ES" w:bidi="hi-IN"/>
              </w:rPr>
              <w:t>Cambios en las UT: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>(Contenidos, actividades, evaluación, actividades complementarias, RAs, CE…)</w:t>
            </w:r>
          </w:p>
        </w:tc>
        <w:tc>
          <w:tcPr>
            <w:tcW w:w="5725" w:type="dxa"/>
            <w:tcBorders/>
          </w:tcPr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rPr>
                <w:sz w:val="20"/>
                <w:lang w:val="es-ES" w:bidi="hi-IN"/>
              </w:rPr>
              <w:t xml:space="preserve">Alinear la programación didáctica con la navegación real de MkDocs. Reforzar laboratorios reproducibles con LXC/LXD, Docker/OpenLDAP, PAM, Samba/NFS, servicios, tareas programadas y corrección automatizada. Incorporar el uso responsable de IA como apoyo a documentación, diagnóstico y revisión de scripts, manteniendo evidencias técnicas verificables.</w:t>
            </w:r>
          </w:p>
        </w:tc>
      </w:tr>
      <w:tr>
        <w:trPr>
          <w:trHeight w:val="1353" w:hRule="atLeast"/>
        </w:trPr>
        <w:tc>
          <w:tcPr>
            <w:tcW w:w="369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0"/>
                <w:lang w:val="es-ES" w:bidi="hi-IN"/>
              </w:rPr>
              <w:t>Eliminación de UT:</w:t>
            </w:r>
          </w:p>
        </w:tc>
        <w:tc>
          <w:tcPr>
            <w:tcW w:w="5725" w:type="dxa"/>
            <w:tcBorders/>
          </w:tcPr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t>No se propone eliminar unidades. Se recomienda revisar si todos los contenidos previstos son asumibles con la carga horaria real y priorizar los RA con mayor peso práctico.</w:t>
            </w:r>
          </w:p>
        </w:tc>
      </w:tr>
      <w:tr>
        <w:trPr>
          <w:trHeight w:val="1353" w:hRule="atLeast"/>
        </w:trPr>
        <w:tc>
          <w:tcPr>
            <w:tcW w:w="369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0"/>
                <w:lang w:val="es-ES" w:bidi="hi-IN"/>
              </w:rPr>
              <w:t>Creación de nuevas UT:</w:t>
            </w:r>
          </w:p>
        </w:tc>
        <w:tc>
          <w:tcPr>
            <w:tcW w:w="5725" w:type="dxa"/>
            <w:tcBorders/>
          </w:tcPr>
          <w:p>
            <w:pPr>
              <w:pStyle w:val="Normal"/>
              <w:widowControl/>
              <w:spacing w:before="0" w:after="0"/>
              <w:rPr>
                <w:sz w:val="20"/>
                <w:lang w:val="es-ES" w:bidi="hi-IN"/>
              </w:rPr>
            </w:pPr>
            <w:r>
              <w:t>No se plantea una nueva UT independiente. Puede añadirse una línea transversal de automatización, documentación técnica y verificación de evidencias en todas las unidades.</w:t>
            </w:r>
          </w:p>
        </w:tc>
      </w:tr>
    </w:tbl>
    <w:p>
      <w:pPr>
        <w:pStyle w:val="Normal"/>
        <w:spacing w:before="0" w:after="120"/>
        <w:jc w:val="end"/>
        <w:rPr/>
      </w:pPr>
      <w:r>
        <w:rPr/>
      </w:r>
    </w:p>
    <w:sectPr>
      <w:headerReference w:type="even" ns2:id="rId2"/>
      <w:headerReference w:type="default" ns2:id="rId3"/>
      <w:headerReference w:type="first" ns2:id="rId4"/>
      <w:footerReference w:type="even" ns2:id="rId5"/>
      <w:footerReference w:type="default" ns2:id="rId6"/>
      <w:footerReference w:type="first" ns2:id="rId7"/>
      <w:type w:val="nextPage"/>
      <w:pgSz w:w="11906" w:h="16838"/>
      <w:pgMar w:left="1418" w:right="1134" w:gutter="0" w:header="709" w:top="1950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rPr>
        <w:rStyle w:val="PageNumber"/>
        <w:rFonts w:eastAsia="" w:eastAsiaTheme="majorEastAsia"/>
        <w:sz w:val="14"/>
        <w:szCs w:val="14"/>
      </w:rPr>
    </w:pPr>
    <w:r>
      <w:rPr>
        <w:sz w:val="14"/>
        <w:szCs w:val="14"/>
      </w:rPr>
      <w:t>Código: F05.PC02</w:t>
      <w:tab/>
      <w:tab/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  <w:r>
      <w:rPr>
        <w:sz w:val="14"/>
        <w:szCs w:val="14"/>
      </w:rPr>
      <w:t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</w:p>
  <w:p>
    <w:pPr>
      <w:pStyle w:val="Footer"/>
      <w:spacing w:before="0" w:after="120"/>
      <w:rPr>
        <w:sz w:val="14"/>
        <w:szCs w:val="14"/>
      </w:rPr>
    </w:pPr>
    <w:r>
      <w:rPr>
        <w:rStyle w:val="PageNumber"/>
        <w:rFonts w:eastAsia="" w:eastAsiaTheme="majorEastAsia"/>
        <w:sz w:val="14"/>
        <w:szCs w:val="14"/>
      </w:rPr>
      <w:t xml:space="preserve">Nº edición: 0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rPr>
        <w:rStyle w:val="PageNumber"/>
        <w:rFonts w:eastAsia="" w:eastAsiaTheme="majorEastAsia"/>
        <w:sz w:val="14"/>
        <w:szCs w:val="14"/>
      </w:rPr>
    </w:pPr>
    <w:r>
      <w:rPr>
        <w:sz w:val="14"/>
        <w:szCs w:val="14"/>
      </w:rPr>
      <w:t>Código: F05.PC02</w:t>
      <w:tab/>
      <w:tab/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  <w:r>
      <w:rPr>
        <w:sz w:val="14"/>
        <w:szCs w:val="14"/>
      </w:rPr>
      <w:t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</w:p>
  <w:p>
    <w:pPr>
      <w:pStyle w:val="Footer"/>
      <w:spacing w:before="0" w:after="120"/>
      <w:rPr>
        <w:sz w:val="14"/>
        <w:szCs w:val="14"/>
      </w:rPr>
    </w:pPr>
    <w:r>
      <w:rPr>
        <w:rStyle w:val="PageNumber"/>
        <w:rFonts w:eastAsia="" w:eastAsiaTheme="majorEastAsia"/>
        <w:sz w:val="14"/>
        <w:szCs w:val="14"/>
      </w:rPr>
      <w:t xml:space="preserve">Nº edición: 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6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1985"/>
      <w:gridCol w:w="2126"/>
      <w:gridCol w:w="2692"/>
      <w:gridCol w:w="2553"/>
    </w:tblGrid>
    <w:tr>
      <w:trPr/>
      <w:tc>
        <w:tcPr>
          <w:tcW w:w="198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2" w:space="0" w:color="000000"/>
          </w:tcBorders>
          <w:vAlign w:val="center"/>
        </w:tcPr>
        <w:p>
          <w:pPr>
            <w:pStyle w:val="Header"/>
            <w:spacing w:before="0" w:after="0"/>
            <w:jc w:val="start"/>
            <w:rPr>
              <w:rFonts w:ascii="Century Gothic" w:hAnsi="Century Gothic"/>
              <w:color w:val="FF0000"/>
            </w:rPr>
          </w:pPr>
          <w:r>
            <w:rPr/>
            <w:drawing>
              <wp:inline distT="0" distB="0" distL="0" distR="0">
                <wp:extent cx="933450" cy="447675"/>
                <wp:effectExtent l="0" t="0" r="0" b="0"/>
                <wp:docPr id="1" name="Imagen 2095015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20950151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4476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tcBorders>
            <w:top w:val="single" w:sz="4" w:space="0" w:color="000000"/>
            <w:start w:val="single" w:sz="2" w:space="0" w:color="000000"/>
            <w:bottom w:val="single" w:sz="4" w:space="0" w:color="000000"/>
            <w:end w:val="single" w:sz="2" w:space="0" w:color="000000"/>
          </w:tcBorders>
          <w:vAlign w:val="center"/>
        </w:tcPr>
        <w:p>
          <w:pPr>
            <w:pStyle w:val="Header"/>
            <w:tabs>
              <w:tab w:val="left" w:pos="6804" w:leader="none"/>
            </w:tabs>
            <w:spacing w:before="0" w:after="0"/>
            <w:jc w:val="start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</w:rPr>
            <w:drawing>
              <wp:anchor distT="0" distB="0" distL="114300" distR="114300" simplePos="0" relativeHeight="9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305560" cy="503555"/>
                <wp:effectExtent l="0" t="0" r="0" b="0"/>
                <wp:wrapSquare wrapText="bothSides"/>
                <wp:docPr id="2" name="Imagen 928688013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928688013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5600" t="0" r="0" b="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5560" cy="5035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2" w:type="dxa"/>
          <w:tcBorders>
            <w:top w:val="single" w:sz="4" w:space="0" w:color="000000"/>
            <w:start w:val="single" w:sz="2" w:space="0" w:color="000000"/>
            <w:bottom w:val="single" w:sz="4" w:space="0" w:color="000000"/>
            <w:end w:val="single" w:sz="2" w:space="0" w:color="000000"/>
          </w:tcBorders>
          <w:vAlign w:val="center"/>
        </w:tcPr>
        <w:p>
          <w:pPr>
            <w:pStyle w:val="Header"/>
            <w:tabs>
              <w:tab w:val="left" w:pos="6804" w:leader="none"/>
            </w:tabs>
            <w:spacing w:before="0" w:after="0"/>
            <w:jc w:val="start"/>
            <w:rPr>
              <w:rFonts w:ascii="Century Gothic" w:hAnsi="Century Gothic"/>
            </w:rPr>
          </w:pPr>
          <w:r>
            <w:rPr/>
            <w:drawing>
              <wp:inline distT="0" distB="0" distL="0" distR="0">
                <wp:extent cx="1497330" cy="360045"/>
                <wp:effectExtent l="0" t="0" r="0" b="0"/>
                <wp:docPr id="3" name="Imagen 553461048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53461048" descr="Texto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7330" cy="360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tcBorders>
            <w:top w:val="single" w:sz="4" w:space="0" w:color="000000"/>
            <w:start w:val="single" w:sz="2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tabs>
              <w:tab w:val="left" w:pos="6804" w:leader="none"/>
            </w:tabs>
            <w:spacing w:before="0" w:after="0"/>
            <w:jc w:val="start"/>
            <w:rPr>
              <w:rFonts w:ascii="Century Gothic" w:hAnsi="Century Gothic"/>
            </w:rPr>
          </w:pPr>
          <w:r>
            <w:rPr/>
            <w:drawing>
              <wp:inline distT="0" distB="0" distL="0" distR="0">
                <wp:extent cx="1546225" cy="323850"/>
                <wp:effectExtent l="0" t="0" r="0" b="0"/>
                <wp:docPr id="4" name="Imagen 1764390305" descr="Imatge que conté text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1764390305" descr="Imatge que conté text&#10;&#10;Descripció generada automàtica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l="0" t="5519" r="12650" b="723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6225" cy="323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416" w:hRule="atLeast"/>
      </w:trPr>
      <w:tc>
        <w:tcPr>
          <w:tcW w:w="9356" w:type="dxa"/>
          <w:gridSpan w:val="4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tabs>
              <w:tab w:val="left" w:pos="6804" w:leader="none"/>
            </w:tabs>
            <w:spacing w:before="0" w:after="0"/>
            <w:jc w:val="center"/>
            <w:rPr>
              <w:rFonts w:cs="" w:asciiTheme="minorBidi" w:cstheme="minorBidi" w:hAnsiTheme="minorBidi"/>
              <w:b/>
            </w:rPr>
          </w:pPr>
          <w:r>
            <w:rPr>
              <w:rFonts w:cs="" w:cstheme="minorBidi"/>
              <w:b/>
            </w:rPr>
            <w:t>F05.PC02 MEMORIA FINAL DEL MÓDULO</w:t>
          </w:r>
        </w:p>
      </w:tc>
    </w:tr>
  </w:tbl>
  <w:p>
    <w:pPr>
      <w:pStyle w:val="Header"/>
      <w:spacing w:before="0" w:after="12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6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1985"/>
      <w:gridCol w:w="2126"/>
      <w:gridCol w:w="2692"/>
      <w:gridCol w:w="2553"/>
    </w:tblGrid>
    <w:tr>
      <w:trPr/>
      <w:tc>
        <w:tcPr>
          <w:tcW w:w="198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2" w:space="0" w:color="000000"/>
          </w:tcBorders>
          <w:vAlign w:val="center"/>
        </w:tcPr>
        <w:p>
          <w:pPr>
            <w:pStyle w:val="Header"/>
            <w:spacing w:before="0" w:after="0"/>
            <w:jc w:val="start"/>
            <w:rPr>
              <w:rFonts w:ascii="Century Gothic" w:hAnsi="Century Gothic"/>
              <w:color w:val="FF0000"/>
            </w:rPr>
          </w:pPr>
          <w:r>
            <w:rPr/>
            <w:drawing>
              <wp:inline distT="0" distB="0" distL="0" distR="0">
                <wp:extent cx="933450" cy="447675"/>
                <wp:effectExtent l="0" t="0" r="0" b="0"/>
                <wp:docPr id="5" name="Imagen 2095015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20950151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4476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tcBorders>
            <w:top w:val="single" w:sz="4" w:space="0" w:color="000000"/>
            <w:start w:val="single" w:sz="2" w:space="0" w:color="000000"/>
            <w:bottom w:val="single" w:sz="4" w:space="0" w:color="000000"/>
            <w:end w:val="single" w:sz="2" w:space="0" w:color="000000"/>
          </w:tcBorders>
          <w:vAlign w:val="center"/>
        </w:tcPr>
        <w:p>
          <w:pPr>
            <w:pStyle w:val="Header"/>
            <w:tabs>
              <w:tab w:val="left" w:pos="6804" w:leader="none"/>
            </w:tabs>
            <w:spacing w:before="0" w:after="0"/>
            <w:jc w:val="start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</w:rPr>
            <w:drawing>
              <wp:anchor distT="0" distB="0" distL="114300" distR="114300" simplePos="0" relativeHeight="9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305560" cy="503555"/>
                <wp:effectExtent l="0" t="0" r="0" b="0"/>
                <wp:wrapSquare wrapText="bothSides"/>
                <wp:docPr id="6" name="Imagen 928688013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928688013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5600" t="0" r="0" b="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5560" cy="5035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2" w:type="dxa"/>
          <w:tcBorders>
            <w:top w:val="single" w:sz="4" w:space="0" w:color="000000"/>
            <w:start w:val="single" w:sz="2" w:space="0" w:color="000000"/>
            <w:bottom w:val="single" w:sz="4" w:space="0" w:color="000000"/>
            <w:end w:val="single" w:sz="2" w:space="0" w:color="000000"/>
          </w:tcBorders>
          <w:vAlign w:val="center"/>
        </w:tcPr>
        <w:p>
          <w:pPr>
            <w:pStyle w:val="Header"/>
            <w:tabs>
              <w:tab w:val="left" w:pos="6804" w:leader="none"/>
            </w:tabs>
            <w:spacing w:before="0" w:after="0"/>
            <w:jc w:val="start"/>
            <w:rPr>
              <w:rFonts w:ascii="Century Gothic" w:hAnsi="Century Gothic"/>
            </w:rPr>
          </w:pPr>
          <w:r>
            <w:rPr/>
            <w:drawing>
              <wp:inline distT="0" distB="0" distL="0" distR="0">
                <wp:extent cx="1497330" cy="360045"/>
                <wp:effectExtent l="0" t="0" r="0" b="0"/>
                <wp:docPr id="7" name="Imagen 553461048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553461048" descr="Texto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7330" cy="360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tcBorders>
            <w:top w:val="single" w:sz="4" w:space="0" w:color="000000"/>
            <w:start w:val="single" w:sz="2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tabs>
              <w:tab w:val="left" w:pos="6804" w:leader="none"/>
            </w:tabs>
            <w:spacing w:before="0" w:after="0"/>
            <w:jc w:val="start"/>
            <w:rPr>
              <w:rFonts w:ascii="Century Gothic" w:hAnsi="Century Gothic"/>
            </w:rPr>
          </w:pPr>
          <w:r>
            <w:rPr/>
            <w:drawing>
              <wp:inline distT="0" distB="0" distL="0" distR="0">
                <wp:extent cx="1546225" cy="323850"/>
                <wp:effectExtent l="0" t="0" r="0" b="0"/>
                <wp:docPr id="8" name="Imagen 1764390305" descr="Imatge que conté text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1764390305" descr="Imatge que conté text&#10;&#10;Descripció generada automàtica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l="0" t="5519" r="12650" b="723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6225" cy="323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416" w:hRule="atLeast"/>
      </w:trPr>
      <w:tc>
        <w:tcPr>
          <w:tcW w:w="9356" w:type="dxa"/>
          <w:gridSpan w:val="4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tabs>
              <w:tab w:val="left" w:pos="6804" w:leader="none"/>
            </w:tabs>
            <w:spacing w:before="0" w:after="0"/>
            <w:jc w:val="center"/>
            <w:rPr>
              <w:rFonts w:cs="" w:asciiTheme="minorBidi" w:cstheme="minorBidi" w:hAnsiTheme="minorBidi"/>
              <w:b/>
            </w:rPr>
          </w:pPr>
          <w:r>
            <w:rPr>
              <w:rFonts w:cs="" w:cstheme="minorBidi"/>
              <w:b/>
            </w:rPr>
            <w:t>F05.PC02 MEMORIA FINAL DEL MÓDULO</w:t>
          </w:r>
        </w:p>
      </w:tc>
    </w:tr>
  </w:tbl>
  <w:p>
    <w:pPr>
      <w:pStyle w:val="Header"/>
      <w:spacing w:before="0" w:after="1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4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5324"/>
    <w:pPr>
      <w:widowControl/>
      <w:suppressAutoHyphens w:val="true"/>
      <w:bidi w:val="0"/>
      <w:spacing w:lineRule="auto" w:line="240" w:before="0" w:after="120"/>
      <w:jc w:val="both"/>
    </w:pPr>
    <w:rPr>
      <w:rFonts w:ascii="Arial" w:hAnsi="Arial" w:eastAsia="Times New Roman" w:cs="Times New Roman"/>
      <w:color w:val="auto"/>
      <w:kern w:val="2"/>
      <w:sz w:val="22"/>
      <w:szCs w:val="24"/>
      <w:lang w:val="es-ES" w:eastAsia="zh-CN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bb0946"/>
    <w:pPr>
      <w:keepNext w:val="true"/>
      <w:keepLines/>
      <w:numPr>
        <w:ilvl w:val="0"/>
        <w:numId w:val="1"/>
      </w:numPr>
      <w:tabs>
        <w:tab w:val="clear" w:pos="708"/>
        <w:tab w:val="left" w:pos="567" w:leader="none"/>
      </w:tabs>
      <w:spacing w:before="240" w:after="240"/>
      <w:ind w:hanging="0" w:start="0"/>
      <w:outlineLvl w:val="0"/>
    </w:pPr>
    <w:rPr>
      <w:rFonts w:eastAsia="" w:cs="" w:cstheme="majorBidi" w:eastAsiaTheme="majorEastAsia"/>
      <w:color w:val="C00000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bb0946"/>
    <w:pPr>
      <w:keepNext w:val="true"/>
      <w:keepLines/>
      <w:spacing w:before="120" w:after="120"/>
      <w:outlineLvl w:val="1"/>
    </w:pPr>
    <w:rPr>
      <w:rFonts w:eastAsia="" w:cs="" w:cstheme="majorBidi" w:eastAsiaTheme="majorEastAsia"/>
      <w:color w:val="C00000"/>
      <w:sz w:val="28"/>
      <w:szCs w:val="2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443ea2"/>
    <w:pPr>
      <w:keepNext w:val="true"/>
      <w:keepLines/>
      <w:outlineLvl w:val="2"/>
    </w:pPr>
    <w:rPr>
      <w:rFonts w:eastAsia="" w:cs="" w:cstheme="majorBidi" w:eastAsiaTheme="majorEastAsia"/>
      <w:color w:val="C00000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qFormat/>
    <w:rsid w:val="009f388c"/>
    <w:rPr>
      <w:rFonts w:ascii="Times New Roman" w:hAnsi="Times New Roman" w:eastAsia="Times New Roman" w:cs="Times New Roman"/>
      <w:kern w:val="2"/>
      <w:sz w:val="24"/>
      <w:szCs w:val="24"/>
      <w:lang w:eastAsia="zh-CN"/>
    </w:rPr>
  </w:style>
  <w:style w:type="character" w:styleId="PiedepginaCar" w:customStyle="1">
    <w:name w:val="Pie de página Car"/>
    <w:basedOn w:val="DefaultParagraphFont"/>
    <w:uiPriority w:val="99"/>
    <w:qFormat/>
    <w:rsid w:val="009f388c"/>
    <w:rPr>
      <w:rFonts w:ascii="Times New Roman" w:hAnsi="Times New Roman" w:eastAsia="Times New Roman" w:cs="Times New Roman"/>
      <w:kern w:val="2"/>
      <w:sz w:val="24"/>
      <w:szCs w:val="24"/>
      <w:lang w:eastAsia="zh-CN"/>
    </w:rPr>
  </w:style>
  <w:style w:type="character" w:styleId="Ttulo1Car" w:customStyle="1">
    <w:name w:val="Título 1 Car"/>
    <w:basedOn w:val="DefaultParagraphFont"/>
    <w:uiPriority w:val="9"/>
    <w:qFormat/>
    <w:rsid w:val="00bb0946"/>
    <w:rPr>
      <w:rFonts w:ascii="Arial" w:hAnsi="Arial" w:eastAsia="" w:cs="" w:cstheme="majorBidi" w:eastAsiaTheme="majorEastAsia"/>
      <w:color w:val="C00000"/>
      <w:kern w:val="2"/>
      <w:sz w:val="32"/>
      <w:szCs w:val="32"/>
      <w:lang w:eastAsia="zh-CN"/>
    </w:rPr>
  </w:style>
  <w:style w:type="character" w:styleId="Ttulo2Car" w:customStyle="1">
    <w:name w:val="Título 2 Car"/>
    <w:basedOn w:val="DefaultParagraphFont"/>
    <w:uiPriority w:val="9"/>
    <w:qFormat/>
    <w:rsid w:val="00bb0946"/>
    <w:rPr>
      <w:rFonts w:ascii="Arial" w:hAnsi="Arial" w:eastAsia="" w:cs="" w:cstheme="majorBidi" w:eastAsiaTheme="majorEastAsia"/>
      <w:color w:val="C00000"/>
      <w:kern w:val="2"/>
      <w:sz w:val="28"/>
      <w:szCs w:val="26"/>
      <w:lang w:eastAsia="zh-CN"/>
    </w:rPr>
  </w:style>
  <w:style w:type="character" w:styleId="Ttulo3Car" w:customStyle="1">
    <w:name w:val="Título 3 Car"/>
    <w:basedOn w:val="DefaultParagraphFont"/>
    <w:uiPriority w:val="9"/>
    <w:semiHidden/>
    <w:qFormat/>
    <w:rsid w:val="00443ea2"/>
    <w:rPr>
      <w:rFonts w:ascii="Arial" w:hAnsi="Arial" w:eastAsia="" w:cs="" w:cstheme="majorBidi" w:eastAsiaTheme="majorEastAsia"/>
      <w:color w:val="C00000"/>
      <w:kern w:val="2"/>
      <w:sz w:val="24"/>
      <w:szCs w:val="24"/>
      <w:lang w:eastAsia="zh-CN"/>
    </w:rPr>
  </w:style>
  <w:style w:type="character" w:styleId="PageNumber">
    <w:name w:val="page number"/>
    <w:basedOn w:val="DefaultParagraphFont"/>
    <w:qFormat/>
    <w:rsid w:val="00d96fa4"/>
    <w:rPr/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9f388c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nhideWhenUsed/>
    <w:rsid w:val="009f388c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7080"/>
    <w:pPr>
      <w:spacing w:after="0" w:line="240" w:lineRule="auto"/>
    </w:pPr>
    <w:rPr>
      <w:sz w:val="20"/>
      <w:szCs w:val="24"/>
      <w:lang w:eastAsia="zh-CN" w:bidi="hi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1d3232-41a7-4c36-b250-9ba99df78791" xsi:nil="true"/>
    <lcf76f155ced4ddcb4097134ff3c332f xmlns="7ded6650-5342-4d98-9c7f-b23638238389">
      <Terms xmlns="http://schemas.microsoft.com/office/infopath/2007/PartnerControls"/>
    </lcf76f155ced4ddcb4097134ff3c332f>
    <SharedWithUsers xmlns="561d3232-41a7-4c36-b250-9ba99df78791">
      <UserInfo>
        <DisplayName>CRESPO RICO, ROBERT</DisplayName>
        <AccountId>33</AccountId>
        <AccountType/>
      </UserInfo>
      <UserInfo>
        <DisplayName>FERNÁNDEZ NAVARRO, TANIA</DisplayName>
        <AccountId>26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BDF7E2DFAD2F438D4BF9C63CBBCFA4" ma:contentTypeVersion="16" ma:contentTypeDescription="Crear nuevo documento." ma:contentTypeScope="" ma:versionID="ab6b4476c46c835625e7d0f1a7a8639c">
  <xsd:schema xmlns:xsd="http://www.w3.org/2001/XMLSchema" xmlns:xs="http://www.w3.org/2001/XMLSchema" xmlns:p="http://schemas.microsoft.com/office/2006/metadata/properties" xmlns:ns2="7ded6650-5342-4d98-9c7f-b23638238389" xmlns:ns3="561d3232-41a7-4c36-b250-9ba99df78791" targetNamespace="http://schemas.microsoft.com/office/2006/metadata/properties" ma:root="true" ma:fieldsID="20ebdea23bf86d61f7a70c45a03d0898" ns2:_="" ns3:_="">
    <xsd:import namespace="7ded6650-5342-4d98-9c7f-b23638238389"/>
    <xsd:import namespace="561d3232-41a7-4c36-b250-9ba99df787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d6650-5342-4d98-9c7f-b23638238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ed664e4-1461-489c-84c9-3b14bfc5a8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d3232-41a7-4c36-b250-9ba99df7879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a03b2b-5e33-4215-b78c-47ed6b0bc489}" ma:internalName="TaxCatchAll" ma:showField="CatchAllData" ma:web="561d3232-41a7-4c36-b250-9ba99df787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E4C004-7EDA-40E3-93B1-7812CB056E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928C8C-57C1-4C40-B957-69121DC79C48}">
  <ds:schemaRefs>
    <ds:schemaRef ds:uri="http://schemas.microsoft.com/office/2006/metadata/properties"/>
    <ds:schemaRef ds:uri="http://schemas.microsoft.com/office/infopath/2007/PartnerControls"/>
    <ds:schemaRef ds:uri="561d3232-41a7-4c36-b250-9ba99df78791"/>
    <ds:schemaRef ds:uri="7ded6650-5342-4d98-9c7f-b23638238389"/>
  </ds:schemaRefs>
</ds:datastoreItem>
</file>

<file path=customXml/itemProps3.xml><?xml version="1.0" encoding="utf-8"?>
<ds:datastoreItem xmlns:ds="http://schemas.openxmlformats.org/officeDocument/2006/customXml" ds:itemID="{D501B71A-9484-4D54-9590-3076807BDD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C2D862-A786-4BBB-A4B6-8C8B702B5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ed6650-5342-4d98-9c7f-b23638238389"/>
    <ds:schemaRef ds:uri="561d3232-41a7-4c36-b250-9ba99df787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PlantillaVert_Qualitas</Template>
  <TotalTime>47</TotalTime>
  <Application>LibreOffice/26.2.4.2$Linux_X86_64 LibreOffice_project/620$Build-2</Application>
  <AppVersion>15.0000</AppVersion>
  <Pages>2</Pages>
  <Words>215</Words>
  <Characters>1012</Characters>
  <CharactersWithSpaces>1186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2023-06-07T07:46:00Z</dcterms:created>
  <dc:creator>javi</dc:creator>
  <dc:description/>
  <dc:language>es-ES</dc:language>
  <cp:lastModifiedBy/>
  <dcterms:modified xsi:type="dcterms:W3CDTF">2026-06-23T12:04:16Z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0x0101001CBDF7E2DFAD2F438D4BF9C63CBBCFA4</vt:lpwstr>
  </property>
  <property fmtid="{D5CDD505-2E9C-101B-9397-08002B2CF9AE}" pid="3" name="MediaServiceImageTags">
    <vt:lpwstr/>
  </property>
</Properties>
</file>