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34" w:type="dxa"/>
        <w:tblLayout w:type="fixed"/>
        <w:tblLook w:val="00A0" w:firstRow="1" w:lastRow="0" w:firstColumn="1" w:lastColumn="0" w:noHBand="0" w:noVBand="0"/>
      </w:tblPr>
      <w:tblGrid>
        <w:gridCol w:w="7143"/>
        <w:gridCol w:w="2891"/>
      </w:tblGrid>
      <w:tr w:rsidR="0010440B" w:rsidRPr="0073367C" w14:paraId="78760A8C" w14:textId="77777777" w:rsidTr="0010440B">
        <w:trPr>
          <w:trHeight w:val="148"/>
        </w:trPr>
        <w:tc>
          <w:tcPr>
            <w:tcW w:w="7143" w:type="dxa"/>
            <w:vMerge w:val="restart"/>
            <w:shd w:val="clear" w:color="auto" w:fill="1F497D"/>
            <w:vAlign w:val="center"/>
          </w:tcPr>
          <w:p w14:paraId="29ED801A" w14:textId="6165FF98" w:rsidR="0010440B" w:rsidRPr="0001493D" w:rsidRDefault="001B5120" w:rsidP="0073367C">
            <w:pPr>
              <w:shd w:val="clear" w:color="auto" w:fill="1F497D"/>
              <w:spacing w:before="0"/>
              <w:jc w:val="left"/>
              <w:rPr>
                <w:rFonts w:ascii="Garamond" w:hAnsi="Garamond" w:cs="Tahoma"/>
                <w:b/>
                <w:color w:val="FFFFFF"/>
                <w:sz w:val="36"/>
                <w:szCs w:val="36"/>
              </w:rPr>
            </w:pPr>
            <w:r>
              <w:rPr>
                <w:rFonts w:ascii="Garamond" w:hAnsi="Garamond" w:cs="Tahoma"/>
                <w:b/>
                <w:color w:val="FFFFFF"/>
                <w:sz w:val="36"/>
                <w:szCs w:val="36"/>
              </w:rPr>
              <w:t>INFORME SEMANAL Nº 1.356</w:t>
            </w:r>
          </w:p>
          <w:p w14:paraId="17583D44" w14:textId="77777777" w:rsidR="0010440B" w:rsidRPr="00B366E9" w:rsidRDefault="0010440B" w:rsidP="0073367C">
            <w:pPr>
              <w:shd w:val="clear" w:color="auto" w:fill="1F497D"/>
              <w:jc w:val="left"/>
              <w:rPr>
                <w:rFonts w:ascii="Garamond" w:hAnsi="Garamond" w:cs="Tahoma"/>
                <w:b/>
                <w:color w:val="FFFFFF"/>
                <w:sz w:val="24"/>
                <w:szCs w:val="24"/>
              </w:rPr>
            </w:pPr>
            <w:r w:rsidRPr="00B366E9">
              <w:rPr>
                <w:rFonts w:ascii="Garamond" w:hAnsi="Garamond" w:cs="Tahoma"/>
                <w:b/>
                <w:color w:val="FFFFFF"/>
                <w:sz w:val="24"/>
                <w:szCs w:val="24"/>
              </w:rPr>
              <w:t>Estrategia Global y Local</w:t>
            </w:r>
          </w:p>
          <w:p w14:paraId="2F3308AF" w14:textId="77777777" w:rsidR="0010440B" w:rsidRPr="00B366E9" w:rsidRDefault="0010440B" w:rsidP="005E2D5B">
            <w:pPr>
              <w:shd w:val="clear" w:color="auto" w:fill="1F497D"/>
              <w:spacing w:before="1200" w:after="0"/>
              <w:jc w:val="left"/>
              <w:rPr>
                <w:rFonts w:ascii="Tahoma" w:hAnsi="Tahoma" w:cs="Tahoma"/>
                <w:b/>
                <w:color w:val="FFFFFF"/>
                <w:sz w:val="44"/>
                <w:szCs w:val="44"/>
              </w:rPr>
            </w:pPr>
          </w:p>
        </w:tc>
        <w:tc>
          <w:tcPr>
            <w:tcW w:w="2891" w:type="dxa"/>
            <w:vAlign w:val="center"/>
          </w:tcPr>
          <w:p w14:paraId="53E0F724" w14:textId="4C2C2710" w:rsidR="0010440B" w:rsidRPr="00371698" w:rsidRDefault="0090172A" w:rsidP="006D51BB">
            <w:pPr>
              <w:spacing w:before="0"/>
              <w:jc w:val="right"/>
              <w:rPr>
                <w:color w:val="1F497D"/>
                <w:sz w:val="20"/>
                <w:shd w:val="clear" w:color="auto" w:fill="FFFFFF"/>
              </w:rPr>
            </w:pPr>
            <w:r w:rsidRPr="004D6F2B">
              <w:rPr>
                <w:color w:val="1F497D"/>
                <w:shd w:val="clear" w:color="auto" w:fill="FFFFFF"/>
              </w:rPr>
              <w:fldChar w:fldCharType="begin"/>
            </w:r>
            <w:r w:rsidR="004D6F2B" w:rsidRPr="004D6F2B">
              <w:rPr>
                <w:color w:val="1F497D"/>
                <w:shd w:val="clear" w:color="auto" w:fill="FFFFFF"/>
              </w:rPr>
              <w:instrText xml:space="preserve"> TIME \@ "dd' de 'MMMM' de 'yyyy" </w:instrText>
            </w:r>
            <w:r w:rsidRPr="004D6F2B">
              <w:rPr>
                <w:color w:val="1F497D"/>
                <w:shd w:val="clear" w:color="auto" w:fill="FFFFFF"/>
              </w:rPr>
              <w:fldChar w:fldCharType="separate"/>
            </w:r>
            <w:r w:rsidR="00A07110">
              <w:rPr>
                <w:noProof/>
                <w:color w:val="1F497D"/>
                <w:shd w:val="clear" w:color="auto" w:fill="FFFFFF"/>
              </w:rPr>
              <w:t>12 de agosto de 2022</w:t>
            </w:r>
            <w:r w:rsidRPr="004D6F2B">
              <w:rPr>
                <w:color w:val="1F497D"/>
                <w:shd w:val="clear" w:color="auto" w:fill="FFFFFF"/>
              </w:rPr>
              <w:fldChar w:fldCharType="end"/>
            </w:r>
          </w:p>
        </w:tc>
      </w:tr>
      <w:tr w:rsidR="0010440B" w:rsidRPr="0073367C" w14:paraId="38994234" w14:textId="77777777" w:rsidTr="0010440B">
        <w:trPr>
          <w:trHeight w:val="479"/>
        </w:trPr>
        <w:tc>
          <w:tcPr>
            <w:tcW w:w="7143" w:type="dxa"/>
            <w:vMerge/>
            <w:shd w:val="clear" w:color="auto" w:fill="1F497D"/>
          </w:tcPr>
          <w:p w14:paraId="637FA155" w14:textId="77777777" w:rsidR="0010440B" w:rsidRPr="0073367C" w:rsidRDefault="0010440B" w:rsidP="0073367C">
            <w:pPr>
              <w:shd w:val="clear" w:color="auto" w:fill="1F497D"/>
              <w:spacing w:before="0" w:after="0"/>
              <w:rPr>
                <w:rFonts w:ascii="Tahoma" w:hAnsi="Tahoma" w:cs="Tahoma"/>
                <w:b/>
                <w:color w:val="FFFFFF"/>
                <w:sz w:val="16"/>
                <w:szCs w:val="16"/>
              </w:rPr>
            </w:pPr>
          </w:p>
        </w:tc>
        <w:tc>
          <w:tcPr>
            <w:tcW w:w="2891" w:type="dxa"/>
            <w:vAlign w:val="center"/>
          </w:tcPr>
          <w:p w14:paraId="325D191D" w14:textId="77777777" w:rsidR="0010440B" w:rsidRPr="0073367C" w:rsidRDefault="0010440B" w:rsidP="0010440B">
            <w:pPr>
              <w:rPr>
                <w:color w:val="1F497D"/>
              </w:rPr>
            </w:pPr>
            <w:r>
              <w:rPr>
                <w:noProof/>
                <w:color w:val="1F497D"/>
                <w:lang w:eastAsia="es-AR"/>
              </w:rPr>
              <w:drawing>
                <wp:inline distT="0" distB="0" distL="0" distR="0" wp14:anchorId="347D9B93" wp14:editId="51C624ED">
                  <wp:extent cx="1703425" cy="407143"/>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srcRect/>
                          <a:stretch>
                            <a:fillRect/>
                          </a:stretch>
                        </pic:blipFill>
                        <pic:spPr bwMode="auto">
                          <a:xfrm>
                            <a:off x="0" y="0"/>
                            <a:ext cx="1716048" cy="410160"/>
                          </a:xfrm>
                          <a:prstGeom prst="rect">
                            <a:avLst/>
                          </a:prstGeom>
                          <a:noFill/>
                          <a:ln w="9525">
                            <a:noFill/>
                            <a:miter lim="800000"/>
                            <a:headEnd/>
                            <a:tailEnd/>
                          </a:ln>
                        </pic:spPr>
                      </pic:pic>
                    </a:graphicData>
                  </a:graphic>
                </wp:inline>
              </w:drawing>
            </w:r>
          </w:p>
        </w:tc>
      </w:tr>
      <w:tr w:rsidR="0010440B" w:rsidRPr="0073367C" w14:paraId="251135F7" w14:textId="77777777" w:rsidTr="0010440B">
        <w:trPr>
          <w:trHeight w:val="1288"/>
        </w:trPr>
        <w:tc>
          <w:tcPr>
            <w:tcW w:w="7143" w:type="dxa"/>
            <w:vMerge/>
            <w:shd w:val="clear" w:color="auto" w:fill="1F497D"/>
          </w:tcPr>
          <w:p w14:paraId="6A8DA878" w14:textId="77777777" w:rsidR="0010440B" w:rsidRPr="0073367C" w:rsidRDefault="0010440B" w:rsidP="0073367C">
            <w:pPr>
              <w:shd w:val="clear" w:color="auto" w:fill="1F497D"/>
              <w:spacing w:before="0" w:after="0"/>
              <w:rPr>
                <w:rFonts w:ascii="Tahoma" w:hAnsi="Tahoma" w:cs="Tahoma"/>
                <w:b/>
                <w:color w:val="FFFFFF"/>
                <w:sz w:val="16"/>
                <w:szCs w:val="16"/>
              </w:rPr>
            </w:pPr>
          </w:p>
        </w:tc>
        <w:tc>
          <w:tcPr>
            <w:tcW w:w="2891" w:type="dxa"/>
            <w:vAlign w:val="center"/>
          </w:tcPr>
          <w:p w14:paraId="5784ECCB" w14:textId="6544BDAE" w:rsidR="0010440B" w:rsidRPr="0073367C" w:rsidRDefault="000C7E45" w:rsidP="002F3435">
            <w:pPr>
              <w:spacing w:after="0"/>
              <w:jc w:val="right"/>
              <w:rPr>
                <w:color w:val="1F497D"/>
                <w:sz w:val="20"/>
                <w:shd w:val="clear" w:color="auto" w:fill="FFFFFF"/>
              </w:rPr>
            </w:pPr>
            <w:r>
              <w:rPr>
                <w:color w:val="1F497D"/>
                <w:sz w:val="20"/>
                <w:shd w:val="clear" w:color="auto" w:fill="FFFFFF"/>
              </w:rPr>
              <w:t>Reconquista 575</w:t>
            </w:r>
            <w:r w:rsidR="0010440B" w:rsidRPr="0073367C">
              <w:rPr>
                <w:color w:val="1F497D"/>
                <w:sz w:val="20"/>
                <w:shd w:val="clear" w:color="auto" w:fill="FFFFFF"/>
              </w:rPr>
              <w:t xml:space="preserve"> </w:t>
            </w:r>
            <w:r>
              <w:rPr>
                <w:color w:val="1F497D"/>
                <w:sz w:val="20"/>
                <w:shd w:val="clear" w:color="auto" w:fill="FFFFFF"/>
              </w:rPr>
              <w:t>3</w:t>
            </w:r>
            <w:r w:rsidR="0010440B">
              <w:rPr>
                <w:color w:val="1F497D"/>
                <w:sz w:val="20"/>
                <w:shd w:val="clear" w:color="auto" w:fill="FFFFFF"/>
              </w:rPr>
              <w:t>º</w:t>
            </w:r>
            <w:r w:rsidR="0010440B" w:rsidRPr="0073367C">
              <w:rPr>
                <w:color w:val="1F497D"/>
                <w:sz w:val="20"/>
                <w:shd w:val="clear" w:color="auto" w:fill="FFFFFF"/>
              </w:rPr>
              <w:t>, CABA, Argentina</w:t>
            </w:r>
          </w:p>
          <w:p w14:paraId="217D027D" w14:textId="77777777" w:rsidR="0010440B" w:rsidRPr="000F7742" w:rsidRDefault="0010440B" w:rsidP="002F3435">
            <w:pPr>
              <w:spacing w:after="0"/>
              <w:jc w:val="right"/>
              <w:rPr>
                <w:color w:val="1F497D"/>
                <w:sz w:val="20"/>
                <w:shd w:val="clear" w:color="auto" w:fill="FFFFFF"/>
              </w:rPr>
            </w:pPr>
            <w:r>
              <w:rPr>
                <w:color w:val="1F497D"/>
                <w:sz w:val="20"/>
                <w:shd w:val="clear" w:color="auto" w:fill="FFFFFF"/>
              </w:rPr>
              <w:t>+</w:t>
            </w:r>
            <w:r w:rsidRPr="000F7742">
              <w:rPr>
                <w:color w:val="1F497D"/>
                <w:sz w:val="20"/>
                <w:shd w:val="clear" w:color="auto" w:fill="FFFFFF"/>
              </w:rPr>
              <w:t>54 (11) 5032-0033</w:t>
            </w:r>
          </w:p>
          <w:p w14:paraId="53D5279C" w14:textId="77777777" w:rsidR="0010440B" w:rsidRPr="000F7742" w:rsidRDefault="00A41077" w:rsidP="002F3435">
            <w:pPr>
              <w:spacing w:after="0"/>
              <w:jc w:val="right"/>
              <w:rPr>
                <w:color w:val="1F497D"/>
                <w:sz w:val="20"/>
                <w:shd w:val="clear" w:color="auto" w:fill="FFFFFF"/>
              </w:rPr>
            </w:pPr>
            <w:hyperlink r:id="rId9" w:history="1">
              <w:r w:rsidR="0010440B" w:rsidRPr="000F7742">
                <w:rPr>
                  <w:rStyle w:val="Hipervnculo"/>
                  <w:color w:val="1F497D"/>
                  <w:sz w:val="20"/>
                  <w:shd w:val="clear" w:color="auto" w:fill="FFFFFF"/>
                </w:rPr>
                <w:t>delphosinv@delphosinv.com</w:t>
              </w:r>
            </w:hyperlink>
          </w:p>
          <w:p w14:paraId="335D8056" w14:textId="77777777" w:rsidR="0010440B" w:rsidRPr="0073367C" w:rsidRDefault="00A41077" w:rsidP="002F3435">
            <w:pPr>
              <w:spacing w:after="0"/>
              <w:jc w:val="right"/>
              <w:rPr>
                <w:color w:val="1F497D"/>
                <w:sz w:val="20"/>
                <w:shd w:val="clear" w:color="auto" w:fill="FFFFFF"/>
              </w:rPr>
            </w:pPr>
            <w:hyperlink r:id="rId10" w:history="1">
              <w:r w:rsidR="0010440B" w:rsidRPr="000F7742">
                <w:rPr>
                  <w:rStyle w:val="Hipervnculo"/>
                  <w:color w:val="1F497D"/>
                  <w:sz w:val="20"/>
                  <w:shd w:val="clear" w:color="auto" w:fill="FFFFFF"/>
                </w:rPr>
                <w:t>www.delphosinv.com</w:t>
              </w:r>
            </w:hyperlink>
          </w:p>
        </w:tc>
      </w:tr>
    </w:tbl>
    <w:p w14:paraId="20500C97" w14:textId="77777777" w:rsidR="00E91E79" w:rsidRPr="00AF1AE9" w:rsidRDefault="00E91E79" w:rsidP="00AF1AE9">
      <w:pPr>
        <w:spacing w:before="0" w:after="0"/>
        <w:rPr>
          <w:sz w:val="20"/>
          <w:shd w:val="clear" w:color="auto" w:fill="FFFFFF"/>
        </w:rPr>
      </w:pPr>
    </w:p>
    <w:tbl>
      <w:tblPr>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07"/>
        <w:gridCol w:w="3308"/>
        <w:gridCol w:w="3308"/>
      </w:tblGrid>
      <w:tr w:rsidR="00ED1CF0" w:rsidRPr="0073367C" w14:paraId="223911C0" w14:textId="77777777" w:rsidTr="00A14BEA">
        <w:tc>
          <w:tcPr>
            <w:tcW w:w="9923" w:type="dxa"/>
            <w:gridSpan w:val="3"/>
            <w:tcBorders>
              <w:top w:val="nil"/>
              <w:left w:val="nil"/>
              <w:bottom w:val="nil"/>
              <w:right w:val="nil"/>
            </w:tcBorders>
            <w:shd w:val="clear" w:color="auto" w:fill="1F497D"/>
            <w:vAlign w:val="center"/>
          </w:tcPr>
          <w:p w14:paraId="39FFB7C0" w14:textId="77777777" w:rsidR="00ED1CF0" w:rsidRPr="000F7742" w:rsidRDefault="00ED1CF0" w:rsidP="00ED1CF0">
            <w:pPr>
              <w:shd w:val="clear" w:color="auto" w:fill="1F497D"/>
              <w:spacing w:before="0" w:after="0"/>
              <w:jc w:val="left"/>
              <w:rPr>
                <w:rFonts w:ascii="Garamond" w:hAnsi="Garamond"/>
                <w:b/>
                <w:color w:val="FFFFFF"/>
                <w:sz w:val="24"/>
                <w:szCs w:val="24"/>
              </w:rPr>
            </w:pPr>
            <w:r>
              <w:rPr>
                <w:rFonts w:ascii="Garamond" w:hAnsi="Garamond"/>
                <w:b/>
                <w:color w:val="FFFFFF"/>
                <w:sz w:val="24"/>
                <w:szCs w:val="24"/>
              </w:rPr>
              <w:t>S&amp;P 500 – CUADRO DE CONTROL</w:t>
            </w:r>
          </w:p>
        </w:tc>
      </w:tr>
      <w:tr w:rsidR="00ED1CF0" w:rsidRPr="0073367C" w14:paraId="42E29670" w14:textId="77777777" w:rsidTr="002F74A5">
        <w:trPr>
          <w:trHeight w:val="285"/>
        </w:trPr>
        <w:tc>
          <w:tcPr>
            <w:tcW w:w="3307" w:type="dxa"/>
            <w:tcBorders>
              <w:top w:val="nil"/>
              <w:left w:val="nil"/>
              <w:bottom w:val="nil"/>
              <w:right w:val="nil"/>
            </w:tcBorders>
            <w:vAlign w:val="center"/>
          </w:tcPr>
          <w:p w14:paraId="026AB3CB" w14:textId="77777777" w:rsidR="00ED1CF0" w:rsidRPr="0073367C" w:rsidRDefault="00ED1CF0" w:rsidP="00ED1CF0">
            <w:pPr>
              <w:spacing w:before="240" w:after="0"/>
              <w:jc w:val="center"/>
              <w:rPr>
                <w:sz w:val="20"/>
                <w:shd w:val="clear" w:color="auto" w:fill="FFFFFF"/>
              </w:rPr>
            </w:pPr>
            <w:r>
              <w:rPr>
                <w:sz w:val="20"/>
                <w:shd w:val="clear" w:color="auto" w:fill="FFFFFF"/>
              </w:rPr>
              <w:t>Valuaciones</w:t>
            </w:r>
          </w:p>
        </w:tc>
        <w:tc>
          <w:tcPr>
            <w:tcW w:w="3308" w:type="dxa"/>
            <w:tcBorders>
              <w:top w:val="nil"/>
              <w:left w:val="nil"/>
              <w:bottom w:val="nil"/>
              <w:right w:val="nil"/>
            </w:tcBorders>
            <w:vAlign w:val="center"/>
          </w:tcPr>
          <w:p w14:paraId="52801955" w14:textId="77777777" w:rsidR="00ED1CF0" w:rsidRPr="0073367C" w:rsidRDefault="00AB2FFB" w:rsidP="00ED1CF0">
            <w:pPr>
              <w:spacing w:before="240" w:after="0"/>
              <w:jc w:val="center"/>
              <w:rPr>
                <w:sz w:val="20"/>
                <w:shd w:val="clear" w:color="auto" w:fill="FFFFFF"/>
              </w:rPr>
            </w:pPr>
            <w:r>
              <w:rPr>
                <w:sz w:val="20"/>
                <w:shd w:val="clear" w:color="auto" w:fill="FFFFFF"/>
              </w:rPr>
              <w:t>Ganancias</w:t>
            </w:r>
          </w:p>
        </w:tc>
        <w:tc>
          <w:tcPr>
            <w:tcW w:w="3308" w:type="dxa"/>
            <w:tcBorders>
              <w:top w:val="nil"/>
              <w:left w:val="nil"/>
              <w:bottom w:val="nil"/>
              <w:right w:val="nil"/>
            </w:tcBorders>
            <w:vAlign w:val="center"/>
          </w:tcPr>
          <w:p w14:paraId="1758C0A1" w14:textId="77777777" w:rsidR="00ED1CF0" w:rsidRPr="0073367C" w:rsidRDefault="00AB2FFB" w:rsidP="00ED1CF0">
            <w:pPr>
              <w:spacing w:before="240" w:after="0"/>
              <w:jc w:val="center"/>
              <w:rPr>
                <w:sz w:val="20"/>
                <w:shd w:val="clear" w:color="auto" w:fill="FFFFFF"/>
              </w:rPr>
            </w:pPr>
            <w:r>
              <w:rPr>
                <w:sz w:val="20"/>
                <w:shd w:val="clear" w:color="auto" w:fill="FFFFFF"/>
              </w:rPr>
              <w:t>Tendencia</w:t>
            </w:r>
          </w:p>
        </w:tc>
      </w:tr>
      <w:tr w:rsidR="00ED1CF0" w:rsidRPr="0073367C" w14:paraId="61F33F86" w14:textId="77777777" w:rsidTr="00526CDF">
        <w:tblPrEx>
          <w:tblCellMar>
            <w:left w:w="70" w:type="dxa"/>
            <w:right w:w="70" w:type="dxa"/>
          </w:tblCellMar>
        </w:tblPrEx>
        <w:trPr>
          <w:trHeight w:val="170"/>
        </w:trPr>
        <w:tc>
          <w:tcPr>
            <w:tcW w:w="3307" w:type="dxa"/>
            <w:tcBorders>
              <w:top w:val="nil"/>
              <w:left w:val="nil"/>
              <w:bottom w:val="nil"/>
              <w:right w:val="nil"/>
            </w:tcBorders>
            <w:vAlign w:val="center"/>
          </w:tcPr>
          <w:p w14:paraId="09B21823" w14:textId="029D9389" w:rsidR="00ED1CF0" w:rsidRPr="00DF6181" w:rsidRDefault="00EB0CCF" w:rsidP="00ED1CF0">
            <w:pPr>
              <w:spacing w:before="0" w:after="60"/>
              <w:jc w:val="center"/>
              <w:rPr>
                <w:sz w:val="20"/>
                <w:shd w:val="clear" w:color="auto" w:fill="FFFFFF"/>
                <w:lang w:val="es-ES"/>
              </w:rPr>
            </w:pPr>
            <w:r w:rsidRPr="00EB0CCF">
              <w:rPr>
                <w:noProof/>
                <w:sz w:val="20"/>
                <w:shd w:val="clear" w:color="auto" w:fill="FFFFFF"/>
                <w:lang w:eastAsia="es-AR"/>
              </w:rPr>
              <w:drawing>
                <wp:inline distT="0" distB="0" distL="0" distR="0" wp14:anchorId="22CA2F6C" wp14:editId="50C3CD08">
                  <wp:extent cx="1280795" cy="18478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0795" cy="184785"/>
                          </a:xfrm>
                          <a:prstGeom prst="rect">
                            <a:avLst/>
                          </a:prstGeom>
                          <a:noFill/>
                          <a:ln>
                            <a:noFill/>
                          </a:ln>
                        </pic:spPr>
                      </pic:pic>
                    </a:graphicData>
                  </a:graphic>
                </wp:inline>
              </w:drawing>
            </w:r>
          </w:p>
        </w:tc>
        <w:tc>
          <w:tcPr>
            <w:tcW w:w="3308" w:type="dxa"/>
            <w:tcBorders>
              <w:top w:val="nil"/>
              <w:left w:val="nil"/>
              <w:bottom w:val="nil"/>
              <w:right w:val="nil"/>
            </w:tcBorders>
            <w:vAlign w:val="center"/>
          </w:tcPr>
          <w:p w14:paraId="1054BB34" w14:textId="25756A2E" w:rsidR="00ED1CF0" w:rsidRPr="00DF6181" w:rsidRDefault="00EB0CCF" w:rsidP="00ED1CF0">
            <w:pPr>
              <w:spacing w:before="0" w:after="60"/>
              <w:jc w:val="center"/>
              <w:rPr>
                <w:sz w:val="20"/>
                <w:shd w:val="clear" w:color="auto" w:fill="FFFFFF"/>
                <w:lang w:val="es-ES"/>
              </w:rPr>
            </w:pPr>
            <w:r w:rsidRPr="00EB0CCF">
              <w:rPr>
                <w:noProof/>
                <w:sz w:val="20"/>
                <w:shd w:val="clear" w:color="auto" w:fill="FFFFFF"/>
                <w:lang w:eastAsia="es-AR"/>
              </w:rPr>
              <w:drawing>
                <wp:inline distT="0" distB="0" distL="0" distR="0" wp14:anchorId="2EB1C2DC" wp14:editId="5319F268">
                  <wp:extent cx="1280795" cy="1917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0795" cy="191770"/>
                          </a:xfrm>
                          <a:prstGeom prst="rect">
                            <a:avLst/>
                          </a:prstGeom>
                          <a:noFill/>
                          <a:ln>
                            <a:noFill/>
                          </a:ln>
                        </pic:spPr>
                      </pic:pic>
                    </a:graphicData>
                  </a:graphic>
                </wp:inline>
              </w:drawing>
            </w:r>
          </w:p>
        </w:tc>
        <w:tc>
          <w:tcPr>
            <w:tcW w:w="3308" w:type="dxa"/>
            <w:tcBorders>
              <w:top w:val="nil"/>
              <w:left w:val="nil"/>
              <w:bottom w:val="nil"/>
              <w:right w:val="nil"/>
            </w:tcBorders>
            <w:vAlign w:val="center"/>
          </w:tcPr>
          <w:p w14:paraId="1D9E6E1E" w14:textId="2BE3650E" w:rsidR="00ED1CF0" w:rsidRPr="00DF6181" w:rsidRDefault="00EB0CCF" w:rsidP="00ED1CF0">
            <w:pPr>
              <w:spacing w:before="0" w:after="60"/>
              <w:jc w:val="center"/>
              <w:rPr>
                <w:sz w:val="20"/>
                <w:shd w:val="clear" w:color="auto" w:fill="FFFFFF"/>
                <w:lang w:val="es-ES"/>
              </w:rPr>
            </w:pPr>
            <w:r w:rsidRPr="00EB0CCF">
              <w:rPr>
                <w:noProof/>
                <w:sz w:val="20"/>
                <w:shd w:val="clear" w:color="auto" w:fill="FFFFFF"/>
                <w:lang w:eastAsia="es-AR"/>
              </w:rPr>
              <w:drawing>
                <wp:inline distT="0" distB="0" distL="0" distR="0" wp14:anchorId="15E87CAE" wp14:editId="66783057">
                  <wp:extent cx="1280795" cy="1987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0795" cy="198755"/>
                          </a:xfrm>
                          <a:prstGeom prst="rect">
                            <a:avLst/>
                          </a:prstGeom>
                          <a:noFill/>
                          <a:ln>
                            <a:noFill/>
                          </a:ln>
                        </pic:spPr>
                      </pic:pic>
                    </a:graphicData>
                  </a:graphic>
                </wp:inline>
              </w:drawing>
            </w:r>
          </w:p>
        </w:tc>
      </w:tr>
      <w:tr w:rsidR="00ED1CF0" w:rsidRPr="00EA2877" w14:paraId="5D2BF076" w14:textId="77777777" w:rsidTr="00A14BEA">
        <w:trPr>
          <w:trHeight w:val="179"/>
        </w:trPr>
        <w:tc>
          <w:tcPr>
            <w:tcW w:w="9923" w:type="dxa"/>
            <w:gridSpan w:val="3"/>
            <w:tcBorders>
              <w:top w:val="nil"/>
              <w:left w:val="nil"/>
              <w:bottom w:val="nil"/>
              <w:right w:val="nil"/>
            </w:tcBorders>
          </w:tcPr>
          <w:p w14:paraId="4BD8F496" w14:textId="074F88A7" w:rsidR="00ED1CF0" w:rsidRPr="00EA2877" w:rsidRDefault="00ED1CF0" w:rsidP="00A77FBC">
            <w:pPr>
              <w:spacing w:before="0"/>
              <w:jc w:val="left"/>
              <w:rPr>
                <w:sz w:val="16"/>
                <w:szCs w:val="16"/>
                <w:shd w:val="clear" w:color="auto" w:fill="FFFFFF"/>
              </w:rPr>
            </w:pPr>
            <w:r>
              <w:rPr>
                <w:sz w:val="16"/>
                <w:szCs w:val="16"/>
                <w:shd w:val="clear" w:color="auto" w:fill="FFFFFF"/>
              </w:rPr>
              <w:t>Nota</w:t>
            </w:r>
            <w:r w:rsidR="008B0DC5">
              <w:rPr>
                <w:sz w:val="16"/>
                <w:szCs w:val="16"/>
                <w:shd w:val="clear" w:color="auto" w:fill="FFFFFF"/>
              </w:rPr>
              <w:t>s</w:t>
            </w:r>
            <w:r>
              <w:rPr>
                <w:sz w:val="16"/>
                <w:szCs w:val="16"/>
                <w:shd w:val="clear" w:color="auto" w:fill="FFFFFF"/>
              </w:rPr>
              <w:t xml:space="preserve">: </w:t>
            </w:r>
            <w:r w:rsidR="008B0DC5">
              <w:rPr>
                <w:sz w:val="16"/>
                <w:szCs w:val="16"/>
                <w:shd w:val="clear" w:color="auto" w:fill="FFFFFF"/>
              </w:rPr>
              <w:t>l</w:t>
            </w:r>
            <w:r>
              <w:rPr>
                <w:sz w:val="16"/>
                <w:szCs w:val="16"/>
                <w:shd w:val="clear" w:color="auto" w:fill="FFFFFF"/>
              </w:rPr>
              <w:t>a línea discontinua señala la posición del indicador la semana anterior, si difiere de la actual</w:t>
            </w:r>
            <w:r w:rsidR="008B0DC5">
              <w:rPr>
                <w:sz w:val="16"/>
                <w:szCs w:val="16"/>
                <w:shd w:val="clear" w:color="auto" w:fill="FFFFFF"/>
              </w:rPr>
              <w:t>.</w:t>
            </w:r>
          </w:p>
        </w:tc>
      </w:tr>
      <w:tr w:rsidR="00ED1CF0" w:rsidRPr="0073367C" w14:paraId="51CD97F8" w14:textId="77777777" w:rsidTr="00A14BEA">
        <w:trPr>
          <w:trHeight w:val="1800"/>
        </w:trPr>
        <w:tc>
          <w:tcPr>
            <w:tcW w:w="9923" w:type="dxa"/>
            <w:gridSpan w:val="3"/>
            <w:tcBorders>
              <w:top w:val="nil"/>
              <w:left w:val="nil"/>
              <w:bottom w:val="nil"/>
              <w:right w:val="nil"/>
            </w:tcBorders>
            <w:vAlign w:val="center"/>
          </w:tcPr>
          <w:p w14:paraId="41BA9701" w14:textId="58286CA0" w:rsidR="00E8667C" w:rsidRPr="00DB2CF0" w:rsidRDefault="00E8667C" w:rsidP="004769D1">
            <w:pPr>
              <w:numPr>
                <w:ilvl w:val="0"/>
                <w:numId w:val="4"/>
              </w:numPr>
              <w:ind w:left="460" w:hanging="460"/>
              <w:rPr>
                <w:sz w:val="26"/>
                <w:szCs w:val="26"/>
              </w:rPr>
            </w:pPr>
          </w:p>
          <w:p w14:paraId="292F3DFE" w14:textId="3766B8C3" w:rsidR="004118FB" w:rsidRDefault="004118FB" w:rsidP="003B1D54">
            <w:pPr>
              <w:numPr>
                <w:ilvl w:val="0"/>
                <w:numId w:val="4"/>
              </w:numPr>
              <w:ind w:left="460" w:hanging="460"/>
              <w:rPr>
                <w:sz w:val="26"/>
                <w:szCs w:val="26"/>
              </w:rPr>
            </w:pPr>
          </w:p>
          <w:p w14:paraId="293ADA18" w14:textId="6DC723C7" w:rsidR="004118FB" w:rsidRPr="00E645E4" w:rsidRDefault="004118FB" w:rsidP="003B1D54">
            <w:pPr>
              <w:numPr>
                <w:ilvl w:val="0"/>
                <w:numId w:val="4"/>
              </w:numPr>
              <w:ind w:left="460" w:hanging="460"/>
              <w:rPr>
                <w:sz w:val="26"/>
                <w:szCs w:val="26"/>
              </w:rPr>
            </w:pPr>
          </w:p>
        </w:tc>
      </w:tr>
      <w:tr w:rsidR="00A14BEA" w:rsidRPr="0073367C" w14:paraId="1643D686" w14:textId="77777777" w:rsidTr="00A14BEA">
        <w:tc>
          <w:tcPr>
            <w:tcW w:w="9923" w:type="dxa"/>
            <w:gridSpan w:val="3"/>
            <w:tcBorders>
              <w:top w:val="nil"/>
              <w:left w:val="nil"/>
              <w:bottom w:val="nil"/>
              <w:right w:val="nil"/>
            </w:tcBorders>
            <w:shd w:val="clear" w:color="auto" w:fill="1F497D"/>
            <w:vAlign w:val="center"/>
          </w:tcPr>
          <w:p w14:paraId="574BE959" w14:textId="77777777" w:rsidR="00A14BEA" w:rsidRPr="000F7742" w:rsidRDefault="002F74A5" w:rsidP="0073367C">
            <w:pPr>
              <w:shd w:val="clear" w:color="auto" w:fill="1F497D"/>
              <w:spacing w:before="0" w:after="0"/>
              <w:jc w:val="left"/>
              <w:rPr>
                <w:rFonts w:ascii="Garamond" w:hAnsi="Garamond"/>
                <w:b/>
                <w:color w:val="FFFFFF"/>
                <w:sz w:val="24"/>
                <w:szCs w:val="24"/>
              </w:rPr>
            </w:pPr>
            <w:r>
              <w:rPr>
                <w:rFonts w:ascii="Garamond" w:hAnsi="Garamond"/>
                <w:b/>
                <w:color w:val="FFFFFF"/>
                <w:sz w:val="24"/>
                <w:szCs w:val="24"/>
              </w:rPr>
              <w:t>RESUMEN EJECUTIVO</w:t>
            </w:r>
          </w:p>
        </w:tc>
      </w:tr>
      <w:tr w:rsidR="00A14BEA" w:rsidRPr="0073367C" w14:paraId="0E3FDA75" w14:textId="77777777" w:rsidTr="00A14BEA">
        <w:tc>
          <w:tcPr>
            <w:tcW w:w="9923" w:type="dxa"/>
            <w:gridSpan w:val="3"/>
            <w:tcBorders>
              <w:top w:val="nil"/>
              <w:left w:val="nil"/>
              <w:bottom w:val="nil"/>
              <w:right w:val="nil"/>
            </w:tcBorders>
            <w:vAlign w:val="center"/>
          </w:tcPr>
          <w:p w14:paraId="43898854" w14:textId="3FFFC9F3" w:rsidR="002F01D7" w:rsidRPr="00440860" w:rsidRDefault="00BB71EA" w:rsidP="00BB71EA">
            <w:pPr>
              <w:spacing w:before="240" w:after="240"/>
              <w:rPr>
                <w:sz w:val="28"/>
                <w:lang w:val="es-ES"/>
              </w:rPr>
            </w:pPr>
            <w:r>
              <w:rPr>
                <w:sz w:val="28"/>
                <w:lang w:val="es-ES"/>
              </w:rPr>
              <w:t xml:space="preserve">La mayoría de las empresas que componen el panel líder del MERVAL presentaron balances del 2T22 estas últimas dos semanas. Entre las que ofrecieron resultados positivos se encuentran YPF con una gran performance y LOMA. CEPU presentó resultados mixtos. Los rojos </w:t>
            </w:r>
            <w:proofErr w:type="spellStart"/>
            <w:r>
              <w:rPr>
                <w:sz w:val="28"/>
                <w:lang w:val="es-ES"/>
              </w:rPr>
              <w:t>provenieron</w:t>
            </w:r>
            <w:proofErr w:type="spellEnd"/>
            <w:r>
              <w:rPr>
                <w:sz w:val="28"/>
                <w:lang w:val="es-ES"/>
              </w:rPr>
              <w:t xml:space="preserve"> de empresas como TECO2, PAMP y TGSU2. </w:t>
            </w:r>
          </w:p>
        </w:tc>
      </w:tr>
    </w:tbl>
    <w:p w14:paraId="7261A322" w14:textId="26BC45E4" w:rsidR="00D854BD" w:rsidRDefault="00D854BD" w:rsidP="00D854BD"/>
    <w:p w14:paraId="1FD1FD18" w14:textId="55E73D36" w:rsidR="00D854BD" w:rsidRDefault="00D854BD" w:rsidP="00D854BD"/>
    <w:p w14:paraId="23242300" w14:textId="77777777" w:rsidR="003742AE" w:rsidRPr="00D854BD" w:rsidRDefault="003742AE" w:rsidP="00D854BD">
      <w:pPr>
        <w:sectPr w:rsidR="003742AE" w:rsidRPr="00D854BD" w:rsidSect="0059776D">
          <w:headerReference w:type="default" r:id="rId14"/>
          <w:type w:val="continuous"/>
          <w:pgSz w:w="12240" w:h="15840" w:code="1"/>
          <w:pgMar w:top="1559" w:right="1134" w:bottom="1134" w:left="1418" w:header="624" w:footer="522" w:gutter="0"/>
          <w:cols w:space="709"/>
          <w:titlePg/>
          <w:docGrid w:linePitch="299"/>
        </w:sectPr>
      </w:pPr>
    </w:p>
    <w:tbl>
      <w:tblPr>
        <w:tblW w:w="10481" w:type="dxa"/>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
        <w:gridCol w:w="3600"/>
        <w:gridCol w:w="6431"/>
      </w:tblGrid>
      <w:tr w:rsidR="00655E4F" w:rsidRPr="00657687" w14:paraId="6CF81C52" w14:textId="77777777" w:rsidTr="00D854BD">
        <w:trPr>
          <w:gridBefore w:val="1"/>
          <w:wBefore w:w="450" w:type="dxa"/>
        </w:trPr>
        <w:tc>
          <w:tcPr>
            <w:tcW w:w="3600" w:type="dxa"/>
            <w:tcBorders>
              <w:top w:val="nil"/>
              <w:left w:val="nil"/>
              <w:bottom w:val="nil"/>
              <w:right w:val="nil"/>
            </w:tcBorders>
          </w:tcPr>
          <w:p w14:paraId="6B493042" w14:textId="77777777" w:rsidR="00655E4F" w:rsidRPr="00657687" w:rsidRDefault="00655E4F" w:rsidP="0079235E">
            <w:pPr>
              <w:spacing w:before="0"/>
              <w:rPr>
                <w:sz w:val="20"/>
              </w:rPr>
            </w:pPr>
          </w:p>
        </w:tc>
        <w:tc>
          <w:tcPr>
            <w:tcW w:w="6431" w:type="dxa"/>
            <w:tcBorders>
              <w:top w:val="nil"/>
              <w:left w:val="nil"/>
              <w:bottom w:val="nil"/>
              <w:right w:val="nil"/>
            </w:tcBorders>
          </w:tcPr>
          <w:p w14:paraId="71CD530D" w14:textId="3AA97463" w:rsidR="00655E4F" w:rsidRPr="00DB2CF0" w:rsidRDefault="00712D8F" w:rsidP="00B374CB">
            <w:pPr>
              <w:spacing w:before="0"/>
              <w:rPr>
                <w:b/>
                <w:sz w:val="30"/>
                <w:szCs w:val="30"/>
                <w:lang w:val="en-CA"/>
              </w:rPr>
            </w:pPr>
            <w:r>
              <w:rPr>
                <w:b/>
                <w:sz w:val="30"/>
                <w:szCs w:val="30"/>
              </w:rPr>
              <w:t>MERVAL: RESULTADOS DE LA SEMANA</w:t>
            </w:r>
          </w:p>
        </w:tc>
      </w:tr>
      <w:tr w:rsidR="002349B9" w:rsidRPr="00657687" w14:paraId="59DB12F9" w14:textId="77777777" w:rsidTr="00D854BD">
        <w:tc>
          <w:tcPr>
            <w:tcW w:w="4050" w:type="dxa"/>
            <w:gridSpan w:val="2"/>
            <w:tcBorders>
              <w:top w:val="nil"/>
              <w:left w:val="nil"/>
              <w:bottom w:val="nil"/>
              <w:right w:val="nil"/>
            </w:tcBorders>
          </w:tcPr>
          <w:p w14:paraId="4694FAAA" w14:textId="7351EBB7" w:rsidR="002349B9" w:rsidRDefault="002349B9" w:rsidP="00B374CB">
            <w:pPr>
              <w:spacing w:before="0" w:after="0"/>
              <w:jc w:val="center"/>
              <w:rPr>
                <w:b/>
                <w:sz w:val="26"/>
                <w:szCs w:val="26"/>
                <w:lang w:val="es-ES"/>
              </w:rPr>
            </w:pPr>
          </w:p>
          <w:p w14:paraId="28CCC0AC" w14:textId="55C29EC5" w:rsidR="00461975" w:rsidRDefault="00461975" w:rsidP="00B374CB">
            <w:pPr>
              <w:spacing w:before="0" w:after="0"/>
              <w:jc w:val="center"/>
              <w:rPr>
                <w:b/>
                <w:sz w:val="26"/>
                <w:szCs w:val="26"/>
                <w:lang w:val="es-ES"/>
              </w:rPr>
            </w:pPr>
          </w:p>
          <w:p w14:paraId="2651C5A2" w14:textId="51EADF01" w:rsidR="00461975" w:rsidRDefault="00461975" w:rsidP="00B374CB">
            <w:pPr>
              <w:spacing w:before="0" w:after="0"/>
              <w:jc w:val="center"/>
              <w:rPr>
                <w:b/>
                <w:sz w:val="26"/>
                <w:szCs w:val="26"/>
                <w:lang w:val="es-ES"/>
              </w:rPr>
            </w:pPr>
          </w:p>
          <w:p w14:paraId="3A7A0FDE" w14:textId="4FD3C1E4" w:rsidR="00461975" w:rsidRDefault="00025596" w:rsidP="00B374CB">
            <w:pPr>
              <w:spacing w:before="0" w:after="0"/>
              <w:jc w:val="center"/>
              <w:rPr>
                <w:b/>
                <w:sz w:val="26"/>
                <w:szCs w:val="26"/>
                <w:lang w:val="es-ES"/>
              </w:rPr>
            </w:pPr>
            <w:r>
              <w:rPr>
                <w:b/>
                <w:sz w:val="26"/>
                <w:szCs w:val="26"/>
                <w:lang w:val="es-ES"/>
              </w:rPr>
              <w:t>CEPU – Generación de Energía</w:t>
            </w:r>
          </w:p>
          <w:p w14:paraId="65A712D5" w14:textId="48D453BC" w:rsidR="00461975" w:rsidRDefault="00B33896" w:rsidP="00B374CB">
            <w:pPr>
              <w:spacing w:before="0" w:after="0"/>
              <w:jc w:val="center"/>
              <w:rPr>
                <w:b/>
                <w:sz w:val="26"/>
                <w:szCs w:val="26"/>
                <w:lang w:val="es-ES"/>
              </w:rPr>
            </w:pPr>
            <w:r w:rsidRPr="00B33896">
              <w:rPr>
                <w:b/>
                <w:noProof/>
                <w:sz w:val="26"/>
                <w:szCs w:val="26"/>
                <w:lang w:eastAsia="es-AR"/>
              </w:rPr>
              <w:drawing>
                <wp:inline distT="0" distB="0" distL="0" distR="0" wp14:anchorId="149D2BB7" wp14:editId="6CA2CBD7">
                  <wp:extent cx="2434590" cy="1572895"/>
                  <wp:effectExtent l="0" t="0" r="381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34590" cy="1572895"/>
                          </a:xfrm>
                          <a:prstGeom prst="rect">
                            <a:avLst/>
                          </a:prstGeom>
                        </pic:spPr>
                      </pic:pic>
                    </a:graphicData>
                  </a:graphic>
                </wp:inline>
              </w:drawing>
            </w:r>
          </w:p>
          <w:p w14:paraId="2F310791" w14:textId="5276E5F4" w:rsidR="00461975" w:rsidRPr="00025596" w:rsidRDefault="00025596" w:rsidP="00025596">
            <w:pPr>
              <w:spacing w:before="0" w:after="0"/>
              <w:jc w:val="center"/>
              <w:rPr>
                <w:i/>
                <w:sz w:val="16"/>
                <w:szCs w:val="18"/>
              </w:rPr>
            </w:pPr>
            <w:r w:rsidRPr="00025596">
              <w:rPr>
                <w:i/>
                <w:sz w:val="16"/>
                <w:szCs w:val="18"/>
              </w:rPr>
              <w:t>Fuente: presentación de resultados del 2T22 de CEPU</w:t>
            </w:r>
          </w:p>
          <w:p w14:paraId="4E72456C" w14:textId="185EE16F" w:rsidR="00461975" w:rsidRDefault="00461975" w:rsidP="00B374CB">
            <w:pPr>
              <w:spacing w:before="0" w:after="0"/>
              <w:jc w:val="center"/>
              <w:rPr>
                <w:b/>
                <w:sz w:val="26"/>
                <w:szCs w:val="26"/>
                <w:lang w:val="es-ES"/>
              </w:rPr>
            </w:pPr>
          </w:p>
          <w:p w14:paraId="0AFB2DED" w14:textId="6945AE20" w:rsidR="00461975" w:rsidRDefault="00461975" w:rsidP="00B374CB">
            <w:pPr>
              <w:spacing w:before="0" w:after="0"/>
              <w:jc w:val="center"/>
              <w:rPr>
                <w:b/>
                <w:sz w:val="26"/>
                <w:szCs w:val="26"/>
                <w:lang w:val="es-ES"/>
              </w:rPr>
            </w:pPr>
          </w:p>
          <w:p w14:paraId="3135F371" w14:textId="5CF1BC4D" w:rsidR="00461975" w:rsidRDefault="00461975" w:rsidP="00B374CB">
            <w:pPr>
              <w:spacing w:before="0" w:after="0"/>
              <w:jc w:val="center"/>
              <w:rPr>
                <w:b/>
                <w:sz w:val="26"/>
                <w:szCs w:val="26"/>
                <w:lang w:val="es-ES"/>
              </w:rPr>
            </w:pPr>
          </w:p>
          <w:p w14:paraId="40D1AB17" w14:textId="4032573A" w:rsidR="00461975" w:rsidRDefault="00461975" w:rsidP="00B374CB">
            <w:pPr>
              <w:spacing w:before="0" w:after="0"/>
              <w:jc w:val="center"/>
              <w:rPr>
                <w:b/>
                <w:sz w:val="26"/>
                <w:szCs w:val="26"/>
                <w:lang w:val="es-ES"/>
              </w:rPr>
            </w:pPr>
          </w:p>
          <w:p w14:paraId="66492981" w14:textId="1F3E9EE8" w:rsidR="00461975" w:rsidRDefault="00461975" w:rsidP="00B374CB">
            <w:pPr>
              <w:spacing w:before="0" w:after="0"/>
              <w:jc w:val="center"/>
              <w:rPr>
                <w:b/>
                <w:sz w:val="26"/>
                <w:szCs w:val="26"/>
                <w:lang w:val="es-ES"/>
              </w:rPr>
            </w:pPr>
          </w:p>
          <w:p w14:paraId="4062F523" w14:textId="34AB6940" w:rsidR="00461975" w:rsidRDefault="00461975" w:rsidP="00B374CB">
            <w:pPr>
              <w:spacing w:before="0" w:after="0"/>
              <w:jc w:val="center"/>
              <w:rPr>
                <w:b/>
                <w:sz w:val="26"/>
                <w:szCs w:val="26"/>
                <w:lang w:val="es-ES"/>
              </w:rPr>
            </w:pPr>
          </w:p>
          <w:p w14:paraId="2EF19D22" w14:textId="5EBE298D" w:rsidR="00461975" w:rsidRDefault="00461975" w:rsidP="00B374CB">
            <w:pPr>
              <w:spacing w:before="0" w:after="0"/>
              <w:jc w:val="center"/>
              <w:rPr>
                <w:b/>
                <w:sz w:val="26"/>
                <w:szCs w:val="26"/>
                <w:lang w:val="es-ES"/>
              </w:rPr>
            </w:pPr>
          </w:p>
          <w:p w14:paraId="404CF1E5" w14:textId="17E05F98" w:rsidR="00461975" w:rsidRDefault="00461975" w:rsidP="00B374CB">
            <w:pPr>
              <w:spacing w:before="0" w:after="0"/>
              <w:jc w:val="center"/>
              <w:rPr>
                <w:b/>
                <w:sz w:val="26"/>
                <w:szCs w:val="26"/>
                <w:lang w:val="es-ES"/>
              </w:rPr>
            </w:pPr>
          </w:p>
          <w:p w14:paraId="15C01048" w14:textId="5A68E10B" w:rsidR="00461975" w:rsidRDefault="00461975" w:rsidP="00B374CB">
            <w:pPr>
              <w:spacing w:before="0" w:after="0"/>
              <w:jc w:val="center"/>
              <w:rPr>
                <w:b/>
                <w:sz w:val="26"/>
                <w:szCs w:val="26"/>
                <w:lang w:val="es-ES"/>
              </w:rPr>
            </w:pPr>
          </w:p>
          <w:p w14:paraId="048E4D53" w14:textId="3D65C2B1" w:rsidR="00461975" w:rsidRDefault="00461975" w:rsidP="00B374CB">
            <w:pPr>
              <w:spacing w:before="0" w:after="0"/>
              <w:jc w:val="center"/>
              <w:rPr>
                <w:b/>
                <w:sz w:val="26"/>
                <w:szCs w:val="26"/>
                <w:lang w:val="es-ES"/>
              </w:rPr>
            </w:pPr>
          </w:p>
          <w:p w14:paraId="03EAC709" w14:textId="2BC39152" w:rsidR="00461975" w:rsidRDefault="00461975" w:rsidP="00B374CB">
            <w:pPr>
              <w:spacing w:before="0" w:after="0"/>
              <w:jc w:val="center"/>
              <w:rPr>
                <w:b/>
                <w:sz w:val="26"/>
                <w:szCs w:val="26"/>
                <w:lang w:val="es-ES"/>
              </w:rPr>
            </w:pPr>
          </w:p>
          <w:p w14:paraId="08AAAF10" w14:textId="6FAB99EF" w:rsidR="00461975" w:rsidRDefault="00461975" w:rsidP="00B374CB">
            <w:pPr>
              <w:spacing w:before="0" w:after="0"/>
              <w:jc w:val="center"/>
              <w:rPr>
                <w:b/>
                <w:sz w:val="26"/>
                <w:szCs w:val="26"/>
                <w:lang w:val="es-ES"/>
              </w:rPr>
            </w:pPr>
          </w:p>
          <w:p w14:paraId="253D5CAA" w14:textId="09E5EE6C" w:rsidR="00461975" w:rsidRDefault="00461975" w:rsidP="00B374CB">
            <w:pPr>
              <w:spacing w:before="0" w:after="0"/>
              <w:jc w:val="center"/>
              <w:rPr>
                <w:b/>
                <w:sz w:val="26"/>
                <w:szCs w:val="26"/>
                <w:lang w:val="es-ES"/>
              </w:rPr>
            </w:pPr>
          </w:p>
          <w:p w14:paraId="54F85EC7" w14:textId="3AE26E94" w:rsidR="00461975" w:rsidRDefault="00461975" w:rsidP="00B374CB">
            <w:pPr>
              <w:spacing w:before="0" w:after="0"/>
              <w:jc w:val="center"/>
              <w:rPr>
                <w:b/>
                <w:sz w:val="26"/>
                <w:szCs w:val="26"/>
                <w:lang w:val="es-ES"/>
              </w:rPr>
            </w:pPr>
          </w:p>
          <w:p w14:paraId="1BB90267" w14:textId="5594DBB0" w:rsidR="00461975" w:rsidRDefault="00461975" w:rsidP="00B374CB">
            <w:pPr>
              <w:spacing w:before="0" w:after="0"/>
              <w:jc w:val="center"/>
              <w:rPr>
                <w:b/>
                <w:sz w:val="26"/>
                <w:szCs w:val="26"/>
                <w:lang w:val="es-ES"/>
              </w:rPr>
            </w:pPr>
          </w:p>
          <w:p w14:paraId="4ABCCEB2" w14:textId="7966BA45" w:rsidR="00461975" w:rsidRDefault="00461975" w:rsidP="00B374CB">
            <w:pPr>
              <w:spacing w:before="0" w:after="0"/>
              <w:jc w:val="center"/>
              <w:rPr>
                <w:b/>
                <w:sz w:val="26"/>
                <w:szCs w:val="26"/>
                <w:lang w:val="es-ES"/>
              </w:rPr>
            </w:pPr>
          </w:p>
          <w:p w14:paraId="7504D5DC" w14:textId="70B46F05" w:rsidR="00461975" w:rsidRDefault="00461975" w:rsidP="00B374CB">
            <w:pPr>
              <w:spacing w:before="0" w:after="0"/>
              <w:jc w:val="center"/>
              <w:rPr>
                <w:b/>
                <w:sz w:val="26"/>
                <w:szCs w:val="26"/>
                <w:lang w:val="es-ES"/>
              </w:rPr>
            </w:pPr>
          </w:p>
          <w:p w14:paraId="55141185" w14:textId="5E7CB06A" w:rsidR="00461975" w:rsidRDefault="00461975" w:rsidP="00B374CB">
            <w:pPr>
              <w:spacing w:before="0" w:after="0"/>
              <w:jc w:val="center"/>
              <w:rPr>
                <w:b/>
                <w:sz w:val="26"/>
                <w:szCs w:val="26"/>
                <w:lang w:val="es-ES"/>
              </w:rPr>
            </w:pPr>
          </w:p>
          <w:p w14:paraId="7088A873" w14:textId="225F6361" w:rsidR="00461975" w:rsidRDefault="00461975" w:rsidP="00B374CB">
            <w:pPr>
              <w:spacing w:before="0" w:after="0"/>
              <w:jc w:val="center"/>
              <w:rPr>
                <w:b/>
                <w:sz w:val="26"/>
                <w:szCs w:val="26"/>
                <w:lang w:val="es-ES"/>
              </w:rPr>
            </w:pPr>
          </w:p>
          <w:p w14:paraId="407446E5" w14:textId="2C901908" w:rsidR="00461975" w:rsidRDefault="00461975" w:rsidP="00B374CB">
            <w:pPr>
              <w:spacing w:before="0" w:after="0"/>
              <w:jc w:val="center"/>
              <w:rPr>
                <w:b/>
                <w:sz w:val="26"/>
                <w:szCs w:val="26"/>
                <w:lang w:val="es-ES"/>
              </w:rPr>
            </w:pPr>
          </w:p>
          <w:p w14:paraId="2F1D1FB9" w14:textId="3CDCA509" w:rsidR="00461975" w:rsidRDefault="00461975" w:rsidP="00B374CB">
            <w:pPr>
              <w:spacing w:before="0" w:after="0"/>
              <w:jc w:val="center"/>
              <w:rPr>
                <w:b/>
                <w:sz w:val="26"/>
                <w:szCs w:val="26"/>
                <w:lang w:val="es-ES"/>
              </w:rPr>
            </w:pPr>
          </w:p>
          <w:p w14:paraId="77B42587" w14:textId="14122E80" w:rsidR="00461975" w:rsidRDefault="00461975" w:rsidP="00B374CB">
            <w:pPr>
              <w:spacing w:before="0" w:after="0"/>
              <w:jc w:val="center"/>
              <w:rPr>
                <w:b/>
                <w:sz w:val="26"/>
                <w:szCs w:val="26"/>
                <w:lang w:val="es-ES"/>
              </w:rPr>
            </w:pPr>
          </w:p>
          <w:p w14:paraId="188E9DAC" w14:textId="0C12544C" w:rsidR="00461975" w:rsidRDefault="00461975" w:rsidP="00B374CB">
            <w:pPr>
              <w:spacing w:before="0" w:after="0"/>
              <w:jc w:val="center"/>
              <w:rPr>
                <w:b/>
                <w:sz w:val="26"/>
                <w:szCs w:val="26"/>
                <w:lang w:val="es-ES"/>
              </w:rPr>
            </w:pPr>
          </w:p>
          <w:p w14:paraId="3638A820" w14:textId="2C02B0B1" w:rsidR="00461975" w:rsidRDefault="00461975" w:rsidP="00B374CB">
            <w:pPr>
              <w:spacing w:before="0" w:after="0"/>
              <w:jc w:val="center"/>
              <w:rPr>
                <w:b/>
                <w:sz w:val="26"/>
                <w:szCs w:val="26"/>
                <w:lang w:val="es-ES"/>
              </w:rPr>
            </w:pPr>
          </w:p>
          <w:p w14:paraId="7E41451F" w14:textId="616CD391" w:rsidR="00461975" w:rsidRDefault="00461975" w:rsidP="00B374CB">
            <w:pPr>
              <w:spacing w:before="0" w:after="0"/>
              <w:jc w:val="center"/>
              <w:rPr>
                <w:b/>
                <w:sz w:val="26"/>
                <w:szCs w:val="26"/>
                <w:lang w:val="es-ES"/>
              </w:rPr>
            </w:pPr>
          </w:p>
          <w:p w14:paraId="26FD56F1" w14:textId="687D0516" w:rsidR="00461975" w:rsidRDefault="00461975" w:rsidP="00B374CB">
            <w:pPr>
              <w:spacing w:before="0" w:after="0"/>
              <w:jc w:val="center"/>
              <w:rPr>
                <w:b/>
                <w:sz w:val="26"/>
                <w:szCs w:val="26"/>
                <w:lang w:val="es-ES"/>
              </w:rPr>
            </w:pPr>
          </w:p>
          <w:p w14:paraId="1F391C73" w14:textId="3FF266D9" w:rsidR="00461975" w:rsidRDefault="00461975" w:rsidP="00B374CB">
            <w:pPr>
              <w:spacing w:before="0" w:after="0"/>
              <w:jc w:val="center"/>
              <w:rPr>
                <w:b/>
                <w:sz w:val="26"/>
                <w:szCs w:val="26"/>
                <w:lang w:val="es-ES"/>
              </w:rPr>
            </w:pPr>
          </w:p>
          <w:p w14:paraId="5160712A" w14:textId="48B26A37" w:rsidR="00461975" w:rsidRDefault="00461975" w:rsidP="00B374CB">
            <w:pPr>
              <w:spacing w:before="0" w:after="0"/>
              <w:jc w:val="center"/>
              <w:rPr>
                <w:b/>
                <w:sz w:val="26"/>
                <w:szCs w:val="26"/>
                <w:lang w:val="es-ES"/>
              </w:rPr>
            </w:pPr>
          </w:p>
          <w:p w14:paraId="7FA1A521" w14:textId="50EFCA4C" w:rsidR="00461975" w:rsidRDefault="00461975" w:rsidP="00B374CB">
            <w:pPr>
              <w:spacing w:before="0" w:after="0"/>
              <w:jc w:val="center"/>
              <w:rPr>
                <w:b/>
                <w:sz w:val="26"/>
                <w:szCs w:val="26"/>
                <w:lang w:val="es-ES"/>
              </w:rPr>
            </w:pPr>
          </w:p>
          <w:p w14:paraId="1A30B854" w14:textId="6967F04F" w:rsidR="00461975" w:rsidRDefault="00461975" w:rsidP="00B374CB">
            <w:pPr>
              <w:spacing w:before="0" w:after="0"/>
              <w:jc w:val="center"/>
              <w:rPr>
                <w:b/>
                <w:sz w:val="26"/>
                <w:szCs w:val="26"/>
                <w:lang w:val="es-ES"/>
              </w:rPr>
            </w:pPr>
          </w:p>
          <w:p w14:paraId="537B0254" w14:textId="33E24BBE" w:rsidR="00461975" w:rsidRDefault="00461975" w:rsidP="00B374CB">
            <w:pPr>
              <w:spacing w:before="0" w:after="0"/>
              <w:jc w:val="center"/>
              <w:rPr>
                <w:b/>
                <w:sz w:val="26"/>
                <w:szCs w:val="26"/>
                <w:lang w:val="es-ES"/>
              </w:rPr>
            </w:pPr>
          </w:p>
          <w:p w14:paraId="0B808FD8" w14:textId="77777777" w:rsidR="00461975" w:rsidRDefault="00461975" w:rsidP="00B374CB">
            <w:pPr>
              <w:spacing w:before="0" w:after="0"/>
              <w:jc w:val="center"/>
              <w:rPr>
                <w:b/>
                <w:sz w:val="26"/>
                <w:szCs w:val="26"/>
                <w:lang w:val="es-ES"/>
              </w:rPr>
            </w:pPr>
          </w:p>
          <w:p w14:paraId="6AACE0E1" w14:textId="77777777" w:rsidR="00461975" w:rsidRDefault="00D60D9A" w:rsidP="00461975">
            <w:pPr>
              <w:spacing w:before="0" w:after="0"/>
              <w:jc w:val="center"/>
              <w:rPr>
                <w:b/>
                <w:sz w:val="23"/>
                <w:szCs w:val="23"/>
              </w:rPr>
            </w:pPr>
            <w:r>
              <w:rPr>
                <w:b/>
                <w:sz w:val="23"/>
                <w:szCs w:val="23"/>
              </w:rPr>
              <w:t xml:space="preserve">YPF </w:t>
            </w:r>
            <w:r w:rsidR="00461975">
              <w:rPr>
                <w:b/>
                <w:sz w:val="23"/>
                <w:szCs w:val="23"/>
              </w:rPr>
              <w:t>–</w:t>
            </w:r>
            <w:r>
              <w:rPr>
                <w:b/>
                <w:sz w:val="23"/>
                <w:szCs w:val="23"/>
              </w:rPr>
              <w:t xml:space="preserve"> Ventas</w:t>
            </w:r>
          </w:p>
          <w:p w14:paraId="4DFA3006" w14:textId="4B50B442" w:rsidR="00461975" w:rsidRPr="00025596" w:rsidRDefault="00461975" w:rsidP="00461975">
            <w:pPr>
              <w:spacing w:before="0" w:after="0"/>
              <w:jc w:val="center"/>
              <w:rPr>
                <w:i/>
                <w:sz w:val="18"/>
                <w:szCs w:val="18"/>
              </w:rPr>
            </w:pPr>
            <w:r w:rsidRPr="00025596">
              <w:rPr>
                <w:i/>
                <w:sz w:val="18"/>
                <w:szCs w:val="18"/>
              </w:rPr>
              <w:t>millones de dólares estadounidenses</w:t>
            </w:r>
          </w:p>
          <w:p w14:paraId="4C6E94B3" w14:textId="6A02B159" w:rsidR="00FC1CB0" w:rsidRDefault="00D60D9A" w:rsidP="00FC1CB0">
            <w:pPr>
              <w:spacing w:before="0" w:after="0"/>
              <w:jc w:val="center"/>
              <w:rPr>
                <w:b/>
                <w:sz w:val="20"/>
              </w:rPr>
            </w:pPr>
            <w:r>
              <w:rPr>
                <w:noProof/>
                <w:lang w:eastAsia="es-AR"/>
              </w:rPr>
              <w:drawing>
                <wp:inline distT="0" distB="0" distL="0" distR="0" wp14:anchorId="291B19CC" wp14:editId="13C0286B">
                  <wp:extent cx="2388358" cy="13576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61" t="1456" r="1276" b="1872"/>
                          <a:stretch/>
                        </pic:blipFill>
                        <pic:spPr bwMode="auto">
                          <a:xfrm>
                            <a:off x="0" y="0"/>
                            <a:ext cx="2389864" cy="1358486"/>
                          </a:xfrm>
                          <a:prstGeom prst="rect">
                            <a:avLst/>
                          </a:prstGeom>
                          <a:ln>
                            <a:noFill/>
                          </a:ln>
                          <a:extLst>
                            <a:ext uri="{53640926-AAD7-44D8-BBD7-CCE9431645EC}">
                              <a14:shadowObscured xmlns:a14="http://schemas.microsoft.com/office/drawing/2010/main"/>
                            </a:ext>
                          </a:extLst>
                        </pic:spPr>
                      </pic:pic>
                    </a:graphicData>
                  </a:graphic>
                </wp:inline>
              </w:drawing>
            </w:r>
          </w:p>
          <w:p w14:paraId="494B6E78" w14:textId="66DD10D8" w:rsidR="00FC1CB0" w:rsidRPr="00025596" w:rsidRDefault="00FC1CB0" w:rsidP="00FC1CB0">
            <w:pPr>
              <w:spacing w:before="0"/>
              <w:jc w:val="center"/>
              <w:rPr>
                <w:i/>
                <w:sz w:val="14"/>
                <w:szCs w:val="18"/>
                <w:lang w:val="es-US"/>
              </w:rPr>
            </w:pPr>
            <w:r w:rsidRPr="00025596">
              <w:rPr>
                <w:i/>
                <w:sz w:val="14"/>
                <w:szCs w:val="18"/>
              </w:rPr>
              <w:t>Fuente</w:t>
            </w:r>
            <w:r w:rsidR="00025596" w:rsidRPr="00025596">
              <w:rPr>
                <w:i/>
                <w:sz w:val="14"/>
                <w:szCs w:val="18"/>
              </w:rPr>
              <w:t xml:space="preserve"> de datos</w:t>
            </w:r>
            <w:r w:rsidRPr="00025596">
              <w:rPr>
                <w:i/>
                <w:sz w:val="14"/>
                <w:szCs w:val="18"/>
              </w:rPr>
              <w:t>:</w:t>
            </w:r>
            <w:r w:rsidRPr="00025596">
              <w:rPr>
                <w:rFonts w:asciiTheme="minorHAnsi" w:eastAsiaTheme="minorHAnsi" w:hAnsiTheme="minorHAnsi" w:cstheme="minorBidi"/>
                <w:sz w:val="14"/>
                <w:szCs w:val="18"/>
                <w:lang w:val="es-US" w:eastAsia="en-US"/>
              </w:rPr>
              <w:t xml:space="preserve"> </w:t>
            </w:r>
            <w:r w:rsidR="00D60D9A" w:rsidRPr="00025596">
              <w:rPr>
                <w:i/>
                <w:sz w:val="14"/>
                <w:szCs w:val="18"/>
              </w:rPr>
              <w:t>Presentación de resultados del 2T22 de YPF</w:t>
            </w:r>
          </w:p>
          <w:p w14:paraId="274CE2FA" w14:textId="19E51396" w:rsidR="001B5120" w:rsidRDefault="001B5120" w:rsidP="00D60D9A">
            <w:pPr>
              <w:spacing w:before="0" w:after="0"/>
              <w:rPr>
                <w:b/>
                <w:sz w:val="26"/>
                <w:szCs w:val="26"/>
                <w:lang w:val="es-ES"/>
              </w:rPr>
            </w:pPr>
          </w:p>
          <w:p w14:paraId="042D1D5D" w14:textId="0EA53AF3" w:rsidR="001B5120" w:rsidRDefault="001B5120" w:rsidP="00B374CB">
            <w:pPr>
              <w:spacing w:before="0" w:after="0"/>
              <w:jc w:val="center"/>
              <w:rPr>
                <w:b/>
                <w:sz w:val="26"/>
                <w:szCs w:val="26"/>
                <w:lang w:val="es-ES"/>
              </w:rPr>
            </w:pPr>
          </w:p>
          <w:p w14:paraId="73D34208" w14:textId="57AF294D" w:rsidR="001B5120" w:rsidRDefault="001B5120" w:rsidP="00B374CB">
            <w:pPr>
              <w:spacing w:before="0" w:after="0"/>
              <w:jc w:val="center"/>
              <w:rPr>
                <w:b/>
                <w:sz w:val="26"/>
                <w:szCs w:val="26"/>
                <w:lang w:val="es-ES"/>
              </w:rPr>
            </w:pPr>
          </w:p>
          <w:p w14:paraId="75D05CAA" w14:textId="04CE7D6D" w:rsidR="001B5120" w:rsidRDefault="001B5120" w:rsidP="00B374CB">
            <w:pPr>
              <w:spacing w:before="0" w:after="0"/>
              <w:jc w:val="center"/>
              <w:rPr>
                <w:b/>
                <w:sz w:val="26"/>
                <w:szCs w:val="26"/>
                <w:lang w:val="es-ES"/>
              </w:rPr>
            </w:pPr>
          </w:p>
          <w:p w14:paraId="00AE8110" w14:textId="0DB34C14" w:rsidR="001B5120" w:rsidRDefault="001B5120" w:rsidP="00B374CB">
            <w:pPr>
              <w:spacing w:before="0" w:after="0"/>
              <w:jc w:val="center"/>
              <w:rPr>
                <w:b/>
                <w:sz w:val="26"/>
                <w:szCs w:val="26"/>
                <w:lang w:val="es-ES"/>
              </w:rPr>
            </w:pPr>
          </w:p>
          <w:p w14:paraId="327A4BD2" w14:textId="52C0E94E" w:rsidR="001B5120" w:rsidRDefault="001B5120" w:rsidP="00B374CB">
            <w:pPr>
              <w:spacing w:before="0" w:after="0"/>
              <w:jc w:val="center"/>
              <w:rPr>
                <w:b/>
                <w:sz w:val="26"/>
                <w:szCs w:val="26"/>
                <w:lang w:val="es-ES"/>
              </w:rPr>
            </w:pPr>
          </w:p>
          <w:p w14:paraId="4DC34953" w14:textId="40B10116" w:rsidR="001B5120" w:rsidRDefault="001B5120" w:rsidP="00B374CB">
            <w:pPr>
              <w:spacing w:before="0" w:after="0"/>
              <w:jc w:val="center"/>
              <w:rPr>
                <w:b/>
                <w:sz w:val="26"/>
                <w:szCs w:val="26"/>
                <w:lang w:val="es-ES"/>
              </w:rPr>
            </w:pPr>
          </w:p>
          <w:p w14:paraId="618384DA" w14:textId="01BFFFD4" w:rsidR="001B5120" w:rsidRDefault="001B5120" w:rsidP="00B374CB">
            <w:pPr>
              <w:spacing w:before="0" w:after="0"/>
              <w:jc w:val="center"/>
              <w:rPr>
                <w:b/>
                <w:sz w:val="26"/>
                <w:szCs w:val="26"/>
                <w:lang w:val="es-ES"/>
              </w:rPr>
            </w:pPr>
          </w:p>
          <w:p w14:paraId="3DC6102D" w14:textId="0C4AD3B2" w:rsidR="001B5120" w:rsidRDefault="001B5120" w:rsidP="00B374CB">
            <w:pPr>
              <w:spacing w:before="0" w:after="0"/>
              <w:jc w:val="center"/>
              <w:rPr>
                <w:b/>
                <w:sz w:val="26"/>
                <w:szCs w:val="26"/>
                <w:lang w:val="es-ES"/>
              </w:rPr>
            </w:pPr>
          </w:p>
          <w:p w14:paraId="2DA7FC47" w14:textId="22A91DD2" w:rsidR="001B5120" w:rsidRDefault="001B5120" w:rsidP="00B374CB">
            <w:pPr>
              <w:spacing w:before="0" w:after="0"/>
              <w:jc w:val="center"/>
              <w:rPr>
                <w:b/>
                <w:sz w:val="26"/>
                <w:szCs w:val="26"/>
                <w:lang w:val="es-ES"/>
              </w:rPr>
            </w:pPr>
          </w:p>
          <w:p w14:paraId="4CE9C699" w14:textId="0EE785AA" w:rsidR="001B5120" w:rsidRDefault="001B5120" w:rsidP="00B374CB">
            <w:pPr>
              <w:spacing w:before="0" w:after="0"/>
              <w:jc w:val="center"/>
              <w:rPr>
                <w:b/>
                <w:sz w:val="26"/>
                <w:szCs w:val="26"/>
                <w:lang w:val="es-ES"/>
              </w:rPr>
            </w:pPr>
          </w:p>
          <w:p w14:paraId="62FF7CD8" w14:textId="69D229B2" w:rsidR="001B5120" w:rsidRDefault="001B5120" w:rsidP="00B374CB">
            <w:pPr>
              <w:spacing w:before="0" w:after="0"/>
              <w:jc w:val="center"/>
              <w:rPr>
                <w:b/>
                <w:sz w:val="26"/>
                <w:szCs w:val="26"/>
                <w:lang w:val="es-ES"/>
              </w:rPr>
            </w:pPr>
          </w:p>
          <w:p w14:paraId="3E967325" w14:textId="3ECF1872" w:rsidR="001B5120" w:rsidRDefault="001B5120" w:rsidP="00B374CB">
            <w:pPr>
              <w:spacing w:before="0" w:after="0"/>
              <w:jc w:val="center"/>
              <w:rPr>
                <w:b/>
                <w:sz w:val="26"/>
                <w:szCs w:val="26"/>
                <w:lang w:val="es-ES"/>
              </w:rPr>
            </w:pPr>
          </w:p>
          <w:p w14:paraId="29E9A42F" w14:textId="2814001A" w:rsidR="001B5120" w:rsidRDefault="001B5120" w:rsidP="00B374CB">
            <w:pPr>
              <w:spacing w:before="0" w:after="0"/>
              <w:jc w:val="center"/>
              <w:rPr>
                <w:b/>
                <w:sz w:val="26"/>
                <w:szCs w:val="26"/>
                <w:lang w:val="es-ES"/>
              </w:rPr>
            </w:pPr>
          </w:p>
          <w:p w14:paraId="2254A776" w14:textId="78B12C50" w:rsidR="001B5120" w:rsidRDefault="001B5120" w:rsidP="00B374CB">
            <w:pPr>
              <w:spacing w:before="0" w:after="0"/>
              <w:jc w:val="center"/>
              <w:rPr>
                <w:b/>
                <w:sz w:val="26"/>
                <w:szCs w:val="26"/>
                <w:lang w:val="es-ES"/>
              </w:rPr>
            </w:pPr>
          </w:p>
          <w:p w14:paraId="3FFDF884" w14:textId="73D8490F" w:rsidR="001B5120" w:rsidRDefault="001B5120" w:rsidP="00B374CB">
            <w:pPr>
              <w:spacing w:before="0" w:after="0"/>
              <w:jc w:val="center"/>
              <w:rPr>
                <w:b/>
                <w:sz w:val="26"/>
                <w:szCs w:val="26"/>
                <w:lang w:val="es-ES"/>
              </w:rPr>
            </w:pPr>
          </w:p>
          <w:p w14:paraId="4B77B883" w14:textId="1EA3FCC4" w:rsidR="001B5120" w:rsidRDefault="001B5120" w:rsidP="00B374CB">
            <w:pPr>
              <w:spacing w:before="0" w:after="0"/>
              <w:jc w:val="center"/>
              <w:rPr>
                <w:b/>
                <w:sz w:val="26"/>
                <w:szCs w:val="26"/>
                <w:lang w:val="es-ES"/>
              </w:rPr>
            </w:pPr>
          </w:p>
          <w:p w14:paraId="1424A7AC" w14:textId="171A62F1" w:rsidR="00C80500" w:rsidRDefault="00C80500" w:rsidP="00B374CB">
            <w:pPr>
              <w:spacing w:before="0" w:after="0"/>
              <w:jc w:val="center"/>
              <w:rPr>
                <w:b/>
                <w:sz w:val="26"/>
                <w:szCs w:val="26"/>
                <w:lang w:val="es-ES"/>
              </w:rPr>
            </w:pPr>
          </w:p>
          <w:p w14:paraId="6A528506" w14:textId="1F755263" w:rsidR="00C80500" w:rsidRDefault="00C80500" w:rsidP="00B374CB">
            <w:pPr>
              <w:spacing w:before="0" w:after="0"/>
              <w:jc w:val="center"/>
              <w:rPr>
                <w:b/>
                <w:sz w:val="26"/>
                <w:szCs w:val="26"/>
                <w:lang w:val="es-ES"/>
              </w:rPr>
            </w:pPr>
          </w:p>
          <w:p w14:paraId="72E662A6" w14:textId="2F48F511" w:rsidR="00C80500" w:rsidRDefault="00C80500" w:rsidP="00B374CB">
            <w:pPr>
              <w:spacing w:before="0" w:after="0"/>
              <w:jc w:val="center"/>
              <w:rPr>
                <w:b/>
                <w:sz w:val="26"/>
                <w:szCs w:val="26"/>
                <w:lang w:val="es-ES"/>
              </w:rPr>
            </w:pPr>
          </w:p>
          <w:p w14:paraId="1CEE6512" w14:textId="1FCA59EB" w:rsidR="00C80500" w:rsidRDefault="00C80500" w:rsidP="00B374CB">
            <w:pPr>
              <w:spacing w:before="0" w:after="0"/>
              <w:jc w:val="center"/>
              <w:rPr>
                <w:b/>
                <w:sz w:val="26"/>
                <w:szCs w:val="26"/>
                <w:lang w:val="es-ES"/>
              </w:rPr>
            </w:pPr>
          </w:p>
          <w:p w14:paraId="30E84578" w14:textId="4FC0ABF8" w:rsidR="00C80500" w:rsidRDefault="00C80500" w:rsidP="00B374CB">
            <w:pPr>
              <w:spacing w:before="0" w:after="0"/>
              <w:jc w:val="center"/>
              <w:rPr>
                <w:b/>
                <w:sz w:val="26"/>
                <w:szCs w:val="26"/>
                <w:lang w:val="es-ES"/>
              </w:rPr>
            </w:pPr>
          </w:p>
          <w:p w14:paraId="2D921A3E" w14:textId="426E8B55" w:rsidR="00C80500" w:rsidRDefault="00C80500" w:rsidP="00B374CB">
            <w:pPr>
              <w:spacing w:before="0" w:after="0"/>
              <w:jc w:val="center"/>
              <w:rPr>
                <w:b/>
                <w:sz w:val="26"/>
                <w:szCs w:val="26"/>
                <w:lang w:val="es-ES"/>
              </w:rPr>
            </w:pPr>
          </w:p>
          <w:p w14:paraId="25E40396" w14:textId="4CD0AE89" w:rsidR="00C80500" w:rsidRDefault="00C80500" w:rsidP="00B374CB">
            <w:pPr>
              <w:spacing w:before="0" w:after="0"/>
              <w:jc w:val="center"/>
              <w:rPr>
                <w:b/>
                <w:sz w:val="26"/>
                <w:szCs w:val="26"/>
                <w:lang w:val="es-ES"/>
              </w:rPr>
            </w:pPr>
          </w:p>
          <w:p w14:paraId="7CC4AE3C" w14:textId="7584FEB6" w:rsidR="00C80500" w:rsidRDefault="00C80500" w:rsidP="00B374CB">
            <w:pPr>
              <w:spacing w:before="0" w:after="0"/>
              <w:jc w:val="center"/>
              <w:rPr>
                <w:b/>
                <w:sz w:val="26"/>
                <w:szCs w:val="26"/>
                <w:lang w:val="es-ES"/>
              </w:rPr>
            </w:pPr>
          </w:p>
          <w:p w14:paraId="0A2C7672" w14:textId="23514003" w:rsidR="00C80500" w:rsidRDefault="00C80500" w:rsidP="00B374CB">
            <w:pPr>
              <w:spacing w:before="0" w:after="0"/>
              <w:jc w:val="center"/>
              <w:rPr>
                <w:b/>
                <w:sz w:val="26"/>
                <w:szCs w:val="26"/>
                <w:lang w:val="es-ES"/>
              </w:rPr>
            </w:pPr>
          </w:p>
          <w:p w14:paraId="7F117074" w14:textId="220A8D98" w:rsidR="00C80500" w:rsidRDefault="00C80500" w:rsidP="00B374CB">
            <w:pPr>
              <w:spacing w:before="0" w:after="0"/>
              <w:jc w:val="center"/>
              <w:rPr>
                <w:b/>
                <w:sz w:val="26"/>
                <w:szCs w:val="26"/>
                <w:lang w:val="es-ES"/>
              </w:rPr>
            </w:pPr>
          </w:p>
          <w:p w14:paraId="09E6B1AD" w14:textId="7838581E" w:rsidR="00C80500" w:rsidRDefault="00C80500" w:rsidP="00B374CB">
            <w:pPr>
              <w:spacing w:before="0" w:after="0"/>
              <w:jc w:val="center"/>
              <w:rPr>
                <w:b/>
                <w:sz w:val="26"/>
                <w:szCs w:val="26"/>
                <w:lang w:val="es-ES"/>
              </w:rPr>
            </w:pPr>
          </w:p>
          <w:p w14:paraId="24997168" w14:textId="476993CD" w:rsidR="00C80500" w:rsidRDefault="00C80500" w:rsidP="00B374CB">
            <w:pPr>
              <w:spacing w:before="0" w:after="0"/>
              <w:jc w:val="center"/>
              <w:rPr>
                <w:b/>
                <w:sz w:val="26"/>
                <w:szCs w:val="26"/>
                <w:lang w:val="es-ES"/>
              </w:rPr>
            </w:pPr>
          </w:p>
          <w:p w14:paraId="3857ED66" w14:textId="2F38CE12" w:rsidR="00C80500" w:rsidRDefault="00C80500" w:rsidP="00B374CB">
            <w:pPr>
              <w:spacing w:before="0" w:after="0"/>
              <w:jc w:val="center"/>
              <w:rPr>
                <w:b/>
                <w:sz w:val="26"/>
                <w:szCs w:val="26"/>
                <w:lang w:val="es-ES"/>
              </w:rPr>
            </w:pPr>
          </w:p>
          <w:p w14:paraId="314661B4" w14:textId="125A6476" w:rsidR="00C80500" w:rsidRDefault="00C80500" w:rsidP="00B374CB">
            <w:pPr>
              <w:spacing w:before="0" w:after="0"/>
              <w:jc w:val="center"/>
              <w:rPr>
                <w:b/>
                <w:sz w:val="26"/>
                <w:szCs w:val="26"/>
                <w:lang w:val="es-ES"/>
              </w:rPr>
            </w:pPr>
          </w:p>
          <w:p w14:paraId="30CCCED9" w14:textId="5E3EE997" w:rsidR="00C80500" w:rsidRDefault="00C80500" w:rsidP="00B374CB">
            <w:pPr>
              <w:spacing w:before="0" w:after="0"/>
              <w:jc w:val="center"/>
              <w:rPr>
                <w:b/>
                <w:sz w:val="26"/>
                <w:szCs w:val="26"/>
                <w:lang w:val="es-ES"/>
              </w:rPr>
            </w:pPr>
          </w:p>
          <w:p w14:paraId="2E942AEF" w14:textId="2AB18F5E" w:rsidR="00C80500" w:rsidRDefault="00C80500" w:rsidP="00B374CB">
            <w:pPr>
              <w:spacing w:before="0" w:after="0"/>
              <w:jc w:val="center"/>
              <w:rPr>
                <w:b/>
                <w:sz w:val="26"/>
                <w:szCs w:val="26"/>
                <w:lang w:val="es-ES"/>
              </w:rPr>
            </w:pPr>
          </w:p>
          <w:p w14:paraId="78D5CCF5" w14:textId="28E3EADB" w:rsidR="00C80500" w:rsidRDefault="00C80500" w:rsidP="00B374CB">
            <w:pPr>
              <w:spacing w:before="0" w:after="0"/>
              <w:jc w:val="center"/>
              <w:rPr>
                <w:b/>
                <w:sz w:val="26"/>
                <w:szCs w:val="26"/>
                <w:lang w:val="es-ES"/>
              </w:rPr>
            </w:pPr>
          </w:p>
          <w:p w14:paraId="4AB5981E" w14:textId="7FFBA740" w:rsidR="00C80500" w:rsidRDefault="00C80500" w:rsidP="00B374CB">
            <w:pPr>
              <w:spacing w:before="0" w:after="0"/>
              <w:jc w:val="center"/>
              <w:rPr>
                <w:b/>
                <w:sz w:val="26"/>
                <w:szCs w:val="26"/>
                <w:lang w:val="es-ES"/>
              </w:rPr>
            </w:pPr>
          </w:p>
          <w:p w14:paraId="744C2C32" w14:textId="7BCDE82D" w:rsidR="00C80500" w:rsidRDefault="00C80500" w:rsidP="00B374CB">
            <w:pPr>
              <w:spacing w:before="0" w:after="0"/>
              <w:jc w:val="center"/>
              <w:rPr>
                <w:b/>
                <w:sz w:val="26"/>
                <w:szCs w:val="26"/>
                <w:lang w:val="es-ES"/>
              </w:rPr>
            </w:pPr>
          </w:p>
          <w:p w14:paraId="2550F6BE" w14:textId="09DBA3CA" w:rsidR="00C80500" w:rsidRDefault="00025596" w:rsidP="00B374CB">
            <w:pPr>
              <w:spacing w:before="0" w:after="0"/>
              <w:jc w:val="center"/>
              <w:rPr>
                <w:b/>
                <w:sz w:val="26"/>
                <w:szCs w:val="26"/>
                <w:lang w:val="es-ES"/>
              </w:rPr>
            </w:pPr>
            <w:r>
              <w:rPr>
                <w:b/>
                <w:sz w:val="26"/>
                <w:szCs w:val="26"/>
                <w:lang w:val="es-ES"/>
              </w:rPr>
              <w:t>PAMP – EBITDA ajustado LTM</w:t>
            </w:r>
          </w:p>
          <w:p w14:paraId="7252479E" w14:textId="6634F2E9" w:rsidR="00C80500" w:rsidRDefault="00025596" w:rsidP="00B374CB">
            <w:pPr>
              <w:spacing w:before="0" w:after="0"/>
              <w:jc w:val="center"/>
              <w:rPr>
                <w:b/>
                <w:sz w:val="26"/>
                <w:szCs w:val="26"/>
                <w:lang w:val="es-ES"/>
              </w:rPr>
            </w:pPr>
            <w:r w:rsidRPr="00025596">
              <w:rPr>
                <w:b/>
                <w:noProof/>
                <w:sz w:val="26"/>
                <w:szCs w:val="26"/>
                <w:lang w:eastAsia="es-AR"/>
              </w:rPr>
              <w:drawing>
                <wp:inline distT="0" distB="0" distL="0" distR="0" wp14:anchorId="1857B24F" wp14:editId="7760361F">
                  <wp:extent cx="2434590" cy="1580515"/>
                  <wp:effectExtent l="0" t="0" r="381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4590" cy="1580515"/>
                          </a:xfrm>
                          <a:prstGeom prst="rect">
                            <a:avLst/>
                          </a:prstGeom>
                        </pic:spPr>
                      </pic:pic>
                    </a:graphicData>
                  </a:graphic>
                </wp:inline>
              </w:drawing>
            </w:r>
          </w:p>
          <w:p w14:paraId="0A46DBE4" w14:textId="56D8DE63" w:rsidR="00C80500" w:rsidRDefault="00C80500" w:rsidP="00B374CB">
            <w:pPr>
              <w:spacing w:before="0" w:after="0"/>
              <w:jc w:val="center"/>
              <w:rPr>
                <w:b/>
                <w:sz w:val="26"/>
                <w:szCs w:val="26"/>
                <w:lang w:val="es-ES"/>
              </w:rPr>
            </w:pPr>
          </w:p>
          <w:p w14:paraId="58D9C5CE" w14:textId="6640097B" w:rsidR="00025596" w:rsidRPr="00025596" w:rsidRDefault="00025596" w:rsidP="00025596">
            <w:pPr>
              <w:spacing w:before="0"/>
              <w:jc w:val="center"/>
              <w:rPr>
                <w:i/>
                <w:sz w:val="14"/>
                <w:szCs w:val="18"/>
                <w:lang w:val="es-US"/>
              </w:rPr>
            </w:pPr>
            <w:r w:rsidRPr="00025596">
              <w:rPr>
                <w:i/>
                <w:sz w:val="14"/>
                <w:szCs w:val="18"/>
              </w:rPr>
              <w:t>Fuente de datos:</w:t>
            </w:r>
            <w:r w:rsidRPr="00025596">
              <w:rPr>
                <w:rFonts w:asciiTheme="minorHAnsi" w:eastAsiaTheme="minorHAnsi" w:hAnsiTheme="minorHAnsi" w:cstheme="minorBidi"/>
                <w:sz w:val="14"/>
                <w:szCs w:val="18"/>
                <w:lang w:val="es-US" w:eastAsia="en-US"/>
              </w:rPr>
              <w:t xml:space="preserve"> </w:t>
            </w:r>
            <w:r w:rsidRPr="00025596">
              <w:rPr>
                <w:i/>
                <w:sz w:val="14"/>
                <w:szCs w:val="18"/>
              </w:rPr>
              <w:t xml:space="preserve">Presentación de resultados del 2T22 de </w:t>
            </w:r>
            <w:r>
              <w:rPr>
                <w:i/>
                <w:sz w:val="14"/>
                <w:szCs w:val="18"/>
              </w:rPr>
              <w:t>PAMP</w:t>
            </w:r>
          </w:p>
          <w:p w14:paraId="58D84E4F" w14:textId="53BE7C5C" w:rsidR="00C80500" w:rsidRDefault="00C80500" w:rsidP="00B374CB">
            <w:pPr>
              <w:spacing w:before="0" w:after="0"/>
              <w:jc w:val="center"/>
              <w:rPr>
                <w:b/>
                <w:sz w:val="26"/>
                <w:szCs w:val="26"/>
                <w:lang w:val="es-ES"/>
              </w:rPr>
            </w:pPr>
          </w:p>
          <w:p w14:paraId="4DB5A897" w14:textId="3150768A" w:rsidR="00C80500" w:rsidRDefault="00C80500" w:rsidP="00B374CB">
            <w:pPr>
              <w:spacing w:before="0" w:after="0"/>
              <w:jc w:val="center"/>
              <w:rPr>
                <w:b/>
                <w:sz w:val="26"/>
                <w:szCs w:val="26"/>
                <w:lang w:val="es-ES"/>
              </w:rPr>
            </w:pPr>
          </w:p>
          <w:p w14:paraId="76E046E0" w14:textId="6266D1D8" w:rsidR="00C80500" w:rsidRDefault="00C80500" w:rsidP="00B374CB">
            <w:pPr>
              <w:spacing w:before="0" w:after="0"/>
              <w:jc w:val="center"/>
              <w:rPr>
                <w:b/>
                <w:sz w:val="26"/>
                <w:szCs w:val="26"/>
                <w:lang w:val="es-ES"/>
              </w:rPr>
            </w:pPr>
          </w:p>
          <w:p w14:paraId="1D8D24B6" w14:textId="19D8CA2A" w:rsidR="00C80500" w:rsidRDefault="00C80500" w:rsidP="00B374CB">
            <w:pPr>
              <w:spacing w:before="0" w:after="0"/>
              <w:jc w:val="center"/>
              <w:rPr>
                <w:b/>
                <w:sz w:val="26"/>
                <w:szCs w:val="26"/>
                <w:lang w:val="es-ES"/>
              </w:rPr>
            </w:pPr>
          </w:p>
          <w:p w14:paraId="2CD060A9" w14:textId="3E68BDE1" w:rsidR="00C80500" w:rsidRDefault="00C80500" w:rsidP="00B374CB">
            <w:pPr>
              <w:spacing w:before="0" w:after="0"/>
              <w:jc w:val="center"/>
              <w:rPr>
                <w:b/>
                <w:sz w:val="26"/>
                <w:szCs w:val="26"/>
                <w:lang w:val="es-ES"/>
              </w:rPr>
            </w:pPr>
          </w:p>
          <w:p w14:paraId="53493568" w14:textId="2536983A" w:rsidR="00C80500" w:rsidRDefault="00C80500" w:rsidP="00B374CB">
            <w:pPr>
              <w:spacing w:before="0" w:after="0"/>
              <w:jc w:val="center"/>
              <w:rPr>
                <w:b/>
                <w:sz w:val="26"/>
                <w:szCs w:val="26"/>
                <w:lang w:val="es-ES"/>
              </w:rPr>
            </w:pPr>
          </w:p>
          <w:p w14:paraId="3A7AC1B6" w14:textId="1B08D9E6" w:rsidR="00C80500" w:rsidRDefault="00C80500" w:rsidP="00B374CB">
            <w:pPr>
              <w:spacing w:before="0" w:after="0"/>
              <w:jc w:val="center"/>
              <w:rPr>
                <w:b/>
                <w:sz w:val="26"/>
                <w:szCs w:val="26"/>
                <w:lang w:val="es-ES"/>
              </w:rPr>
            </w:pPr>
          </w:p>
          <w:p w14:paraId="3D9BFFCE" w14:textId="2B5104D8" w:rsidR="00C80500" w:rsidRDefault="00C80500" w:rsidP="00B374CB">
            <w:pPr>
              <w:spacing w:before="0" w:after="0"/>
              <w:jc w:val="center"/>
              <w:rPr>
                <w:b/>
                <w:sz w:val="26"/>
                <w:szCs w:val="26"/>
                <w:lang w:val="es-ES"/>
              </w:rPr>
            </w:pPr>
          </w:p>
          <w:p w14:paraId="5E339B86" w14:textId="4DDBD515" w:rsidR="00C80500" w:rsidRDefault="00C80500" w:rsidP="00B374CB">
            <w:pPr>
              <w:spacing w:before="0" w:after="0"/>
              <w:jc w:val="center"/>
              <w:rPr>
                <w:b/>
                <w:sz w:val="26"/>
                <w:szCs w:val="26"/>
                <w:lang w:val="es-ES"/>
              </w:rPr>
            </w:pPr>
          </w:p>
          <w:p w14:paraId="058A63B2" w14:textId="7F1C58C3" w:rsidR="00C80500" w:rsidRDefault="00C80500" w:rsidP="00B374CB">
            <w:pPr>
              <w:spacing w:before="0" w:after="0"/>
              <w:jc w:val="center"/>
              <w:rPr>
                <w:b/>
                <w:sz w:val="26"/>
                <w:szCs w:val="26"/>
                <w:lang w:val="es-ES"/>
              </w:rPr>
            </w:pPr>
          </w:p>
          <w:p w14:paraId="7D86298C" w14:textId="168B216C" w:rsidR="00C80500" w:rsidRDefault="00C80500" w:rsidP="00B374CB">
            <w:pPr>
              <w:spacing w:before="0" w:after="0"/>
              <w:jc w:val="center"/>
              <w:rPr>
                <w:b/>
                <w:sz w:val="26"/>
                <w:szCs w:val="26"/>
                <w:lang w:val="es-ES"/>
              </w:rPr>
            </w:pPr>
          </w:p>
          <w:p w14:paraId="728DF60A" w14:textId="513AFF47" w:rsidR="00C80500" w:rsidRDefault="00C80500" w:rsidP="00B374CB">
            <w:pPr>
              <w:spacing w:before="0" w:after="0"/>
              <w:jc w:val="center"/>
              <w:rPr>
                <w:b/>
                <w:sz w:val="26"/>
                <w:szCs w:val="26"/>
                <w:lang w:val="es-ES"/>
              </w:rPr>
            </w:pPr>
          </w:p>
          <w:p w14:paraId="5F601D55" w14:textId="0EFF3862" w:rsidR="00C80500" w:rsidRDefault="00C80500" w:rsidP="00B374CB">
            <w:pPr>
              <w:spacing w:before="0" w:after="0"/>
              <w:jc w:val="center"/>
              <w:rPr>
                <w:b/>
                <w:sz w:val="26"/>
                <w:szCs w:val="26"/>
                <w:lang w:val="es-ES"/>
              </w:rPr>
            </w:pPr>
          </w:p>
          <w:p w14:paraId="7022D034" w14:textId="78207F1F" w:rsidR="00C80500" w:rsidRDefault="00C80500" w:rsidP="00B374CB">
            <w:pPr>
              <w:spacing w:before="0" w:after="0"/>
              <w:jc w:val="center"/>
              <w:rPr>
                <w:b/>
                <w:sz w:val="26"/>
                <w:szCs w:val="26"/>
                <w:lang w:val="es-ES"/>
              </w:rPr>
            </w:pPr>
          </w:p>
          <w:p w14:paraId="11B9BEF4" w14:textId="6661EDAB" w:rsidR="00C80500" w:rsidRDefault="00C80500" w:rsidP="00B374CB">
            <w:pPr>
              <w:spacing w:before="0" w:after="0"/>
              <w:jc w:val="center"/>
              <w:rPr>
                <w:b/>
                <w:sz w:val="26"/>
                <w:szCs w:val="26"/>
                <w:lang w:val="es-ES"/>
              </w:rPr>
            </w:pPr>
          </w:p>
          <w:p w14:paraId="55E7B414" w14:textId="03E6F9C0" w:rsidR="00C80500" w:rsidRDefault="00C80500" w:rsidP="00B374CB">
            <w:pPr>
              <w:spacing w:before="0" w:after="0"/>
              <w:jc w:val="center"/>
              <w:rPr>
                <w:b/>
                <w:sz w:val="26"/>
                <w:szCs w:val="26"/>
                <w:lang w:val="es-ES"/>
              </w:rPr>
            </w:pPr>
          </w:p>
          <w:p w14:paraId="4F07EEC0" w14:textId="3EDE0C4D" w:rsidR="00C80500" w:rsidRDefault="00C80500" w:rsidP="00B374CB">
            <w:pPr>
              <w:spacing w:before="0" w:after="0"/>
              <w:jc w:val="center"/>
              <w:rPr>
                <w:b/>
                <w:sz w:val="26"/>
                <w:szCs w:val="26"/>
                <w:lang w:val="es-ES"/>
              </w:rPr>
            </w:pPr>
          </w:p>
          <w:p w14:paraId="678AB565" w14:textId="12658399" w:rsidR="00C80500" w:rsidRDefault="00C80500" w:rsidP="00B374CB">
            <w:pPr>
              <w:spacing w:before="0" w:after="0"/>
              <w:jc w:val="center"/>
              <w:rPr>
                <w:b/>
                <w:sz w:val="26"/>
                <w:szCs w:val="26"/>
                <w:lang w:val="es-ES"/>
              </w:rPr>
            </w:pPr>
          </w:p>
          <w:p w14:paraId="5B764252" w14:textId="1EDE4B53" w:rsidR="00C80500" w:rsidRDefault="00C80500" w:rsidP="00B374CB">
            <w:pPr>
              <w:spacing w:before="0" w:after="0"/>
              <w:jc w:val="center"/>
              <w:rPr>
                <w:b/>
                <w:sz w:val="26"/>
                <w:szCs w:val="26"/>
                <w:lang w:val="es-ES"/>
              </w:rPr>
            </w:pPr>
          </w:p>
          <w:p w14:paraId="50FC7536" w14:textId="730435BB" w:rsidR="00C80500" w:rsidRDefault="00C80500" w:rsidP="00B374CB">
            <w:pPr>
              <w:spacing w:before="0" w:after="0"/>
              <w:jc w:val="center"/>
              <w:rPr>
                <w:b/>
                <w:sz w:val="26"/>
                <w:szCs w:val="26"/>
                <w:lang w:val="es-ES"/>
              </w:rPr>
            </w:pPr>
          </w:p>
          <w:p w14:paraId="038E498A" w14:textId="725721E7" w:rsidR="00C80500" w:rsidRDefault="00C80500" w:rsidP="00B374CB">
            <w:pPr>
              <w:spacing w:before="0" w:after="0"/>
              <w:jc w:val="center"/>
              <w:rPr>
                <w:b/>
                <w:sz w:val="26"/>
                <w:szCs w:val="26"/>
                <w:lang w:val="es-ES"/>
              </w:rPr>
            </w:pPr>
          </w:p>
          <w:p w14:paraId="13BC8C83" w14:textId="526573A5" w:rsidR="00C80500" w:rsidRDefault="00C80500" w:rsidP="00B374CB">
            <w:pPr>
              <w:spacing w:before="0" w:after="0"/>
              <w:jc w:val="center"/>
              <w:rPr>
                <w:b/>
                <w:sz w:val="26"/>
                <w:szCs w:val="26"/>
                <w:lang w:val="es-ES"/>
              </w:rPr>
            </w:pPr>
          </w:p>
          <w:p w14:paraId="19126247" w14:textId="5B4448FD" w:rsidR="00C80500" w:rsidRDefault="00C80500" w:rsidP="00B374CB">
            <w:pPr>
              <w:spacing w:before="0" w:after="0"/>
              <w:jc w:val="center"/>
              <w:rPr>
                <w:b/>
                <w:sz w:val="26"/>
                <w:szCs w:val="26"/>
                <w:lang w:val="es-ES"/>
              </w:rPr>
            </w:pPr>
          </w:p>
          <w:p w14:paraId="65B0F1AB" w14:textId="6E8D3848" w:rsidR="00C80500" w:rsidRDefault="00C80500" w:rsidP="00B374CB">
            <w:pPr>
              <w:spacing w:before="0" w:after="0"/>
              <w:jc w:val="center"/>
              <w:rPr>
                <w:b/>
                <w:sz w:val="26"/>
                <w:szCs w:val="26"/>
                <w:lang w:val="es-ES"/>
              </w:rPr>
            </w:pPr>
          </w:p>
          <w:p w14:paraId="3AB50403" w14:textId="3355679F" w:rsidR="00C80500" w:rsidRDefault="00C80500" w:rsidP="00B374CB">
            <w:pPr>
              <w:spacing w:before="0" w:after="0"/>
              <w:jc w:val="center"/>
              <w:rPr>
                <w:b/>
                <w:sz w:val="26"/>
                <w:szCs w:val="26"/>
                <w:lang w:val="es-ES"/>
              </w:rPr>
            </w:pPr>
          </w:p>
          <w:p w14:paraId="6E750B7C" w14:textId="02EBA512" w:rsidR="00C80500" w:rsidRDefault="00C80500" w:rsidP="00B374CB">
            <w:pPr>
              <w:spacing w:before="0" w:after="0"/>
              <w:jc w:val="center"/>
              <w:rPr>
                <w:b/>
                <w:sz w:val="26"/>
                <w:szCs w:val="26"/>
                <w:lang w:val="es-ES"/>
              </w:rPr>
            </w:pPr>
          </w:p>
          <w:p w14:paraId="25285AEA" w14:textId="67164734" w:rsidR="00C80500" w:rsidRDefault="00C80500" w:rsidP="00B374CB">
            <w:pPr>
              <w:spacing w:before="0" w:after="0"/>
              <w:jc w:val="center"/>
              <w:rPr>
                <w:b/>
                <w:sz w:val="26"/>
                <w:szCs w:val="26"/>
                <w:lang w:val="es-ES"/>
              </w:rPr>
            </w:pPr>
          </w:p>
          <w:p w14:paraId="5CB683E2" w14:textId="411B25BC" w:rsidR="00C80500" w:rsidRDefault="00C80500" w:rsidP="00B374CB">
            <w:pPr>
              <w:spacing w:before="0" w:after="0"/>
              <w:jc w:val="center"/>
              <w:rPr>
                <w:b/>
                <w:sz w:val="26"/>
                <w:szCs w:val="26"/>
                <w:lang w:val="es-ES"/>
              </w:rPr>
            </w:pPr>
          </w:p>
          <w:p w14:paraId="498361EE" w14:textId="08D1E3D4" w:rsidR="00C80500" w:rsidRDefault="00C80500" w:rsidP="00B374CB">
            <w:pPr>
              <w:spacing w:before="0" w:after="0"/>
              <w:jc w:val="center"/>
              <w:rPr>
                <w:b/>
                <w:sz w:val="26"/>
                <w:szCs w:val="26"/>
                <w:lang w:val="es-ES"/>
              </w:rPr>
            </w:pPr>
          </w:p>
          <w:p w14:paraId="771DFA21" w14:textId="2EC7C752" w:rsidR="00C80500" w:rsidRDefault="00C80500" w:rsidP="00B374CB">
            <w:pPr>
              <w:spacing w:before="0" w:after="0"/>
              <w:jc w:val="center"/>
              <w:rPr>
                <w:b/>
                <w:sz w:val="26"/>
                <w:szCs w:val="26"/>
                <w:lang w:val="es-ES"/>
              </w:rPr>
            </w:pPr>
          </w:p>
          <w:p w14:paraId="41364FFC" w14:textId="3736DE21" w:rsidR="00C80500" w:rsidRDefault="00C80500" w:rsidP="00B374CB">
            <w:pPr>
              <w:spacing w:before="0" w:after="0"/>
              <w:jc w:val="center"/>
              <w:rPr>
                <w:b/>
                <w:sz w:val="26"/>
                <w:szCs w:val="26"/>
                <w:lang w:val="es-ES"/>
              </w:rPr>
            </w:pPr>
          </w:p>
          <w:p w14:paraId="4EF47280" w14:textId="61C1C27C" w:rsidR="00C80500" w:rsidRDefault="00C80500" w:rsidP="00B374CB">
            <w:pPr>
              <w:spacing w:before="0" w:after="0"/>
              <w:jc w:val="center"/>
              <w:rPr>
                <w:b/>
                <w:sz w:val="26"/>
                <w:szCs w:val="26"/>
                <w:lang w:val="es-ES"/>
              </w:rPr>
            </w:pPr>
          </w:p>
          <w:p w14:paraId="614EE8CF" w14:textId="49600B59" w:rsidR="00C80500" w:rsidRDefault="00C80500" w:rsidP="00B374CB">
            <w:pPr>
              <w:spacing w:before="0" w:after="0"/>
              <w:jc w:val="center"/>
              <w:rPr>
                <w:b/>
                <w:sz w:val="26"/>
                <w:szCs w:val="26"/>
                <w:lang w:val="es-ES"/>
              </w:rPr>
            </w:pPr>
          </w:p>
          <w:p w14:paraId="04A03E9C" w14:textId="79A8B59A" w:rsidR="00C80500" w:rsidRDefault="00C80500" w:rsidP="00B374CB">
            <w:pPr>
              <w:spacing w:before="0" w:after="0"/>
              <w:jc w:val="center"/>
              <w:rPr>
                <w:b/>
                <w:sz w:val="26"/>
                <w:szCs w:val="26"/>
                <w:lang w:val="es-ES"/>
              </w:rPr>
            </w:pPr>
          </w:p>
          <w:p w14:paraId="584BBED1" w14:textId="2BE1BCA7" w:rsidR="00C80500" w:rsidRDefault="00C80500" w:rsidP="00B374CB">
            <w:pPr>
              <w:spacing w:before="0" w:after="0"/>
              <w:jc w:val="center"/>
              <w:rPr>
                <w:b/>
                <w:sz w:val="26"/>
                <w:szCs w:val="26"/>
                <w:lang w:val="es-ES"/>
              </w:rPr>
            </w:pPr>
          </w:p>
          <w:p w14:paraId="0E0F0F5D" w14:textId="748D0B73" w:rsidR="00C80500" w:rsidRDefault="00C80500" w:rsidP="00B374CB">
            <w:pPr>
              <w:spacing w:before="0" w:after="0"/>
              <w:jc w:val="center"/>
              <w:rPr>
                <w:b/>
                <w:sz w:val="26"/>
                <w:szCs w:val="26"/>
                <w:lang w:val="es-ES"/>
              </w:rPr>
            </w:pPr>
            <w:r>
              <w:rPr>
                <w:b/>
                <w:sz w:val="26"/>
                <w:szCs w:val="26"/>
                <w:lang w:val="es-ES"/>
              </w:rPr>
              <w:t>TGSU2 - Ventas</w:t>
            </w:r>
          </w:p>
          <w:p w14:paraId="6E33FF1F" w14:textId="67DD1CC6" w:rsidR="001B5120" w:rsidRDefault="001B5120" w:rsidP="00B374CB">
            <w:pPr>
              <w:spacing w:before="0" w:after="0"/>
              <w:jc w:val="center"/>
              <w:rPr>
                <w:b/>
                <w:sz w:val="26"/>
                <w:szCs w:val="26"/>
                <w:lang w:val="es-ES"/>
              </w:rPr>
            </w:pPr>
          </w:p>
          <w:p w14:paraId="28A5D73C" w14:textId="7785386F" w:rsidR="001B5120" w:rsidRDefault="00C80500" w:rsidP="00B374CB">
            <w:pPr>
              <w:spacing w:before="0" w:after="0"/>
              <w:jc w:val="center"/>
              <w:rPr>
                <w:b/>
                <w:sz w:val="26"/>
                <w:szCs w:val="26"/>
                <w:lang w:val="es-ES"/>
              </w:rPr>
            </w:pPr>
            <w:r>
              <w:rPr>
                <w:b/>
                <w:noProof/>
                <w:sz w:val="26"/>
                <w:szCs w:val="26"/>
                <w:lang w:eastAsia="es-AR"/>
              </w:rPr>
              <w:drawing>
                <wp:inline distT="0" distB="0" distL="0" distR="0" wp14:anchorId="745696CF" wp14:editId="5FEAC00F">
                  <wp:extent cx="2434505" cy="1460500"/>
                  <wp:effectExtent l="0" t="0" r="4445"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8974" cy="1463181"/>
                          </a:xfrm>
                          <a:prstGeom prst="rect">
                            <a:avLst/>
                          </a:prstGeom>
                          <a:noFill/>
                        </pic:spPr>
                      </pic:pic>
                    </a:graphicData>
                  </a:graphic>
                </wp:inline>
              </w:drawing>
            </w:r>
          </w:p>
          <w:p w14:paraId="59A6DD9A" w14:textId="73F6B907" w:rsidR="001B5120" w:rsidRDefault="001B5120" w:rsidP="00B374CB">
            <w:pPr>
              <w:spacing w:before="0" w:after="0"/>
              <w:jc w:val="center"/>
              <w:rPr>
                <w:b/>
                <w:sz w:val="26"/>
                <w:szCs w:val="26"/>
                <w:lang w:val="es-ES"/>
              </w:rPr>
            </w:pPr>
          </w:p>
          <w:p w14:paraId="5B2529C4" w14:textId="72CE39B7" w:rsidR="001B5120" w:rsidRDefault="001B5120" w:rsidP="00B374CB">
            <w:pPr>
              <w:spacing w:before="0" w:after="0"/>
              <w:jc w:val="center"/>
              <w:rPr>
                <w:b/>
                <w:sz w:val="26"/>
                <w:szCs w:val="26"/>
                <w:lang w:val="es-ES"/>
              </w:rPr>
            </w:pPr>
          </w:p>
          <w:p w14:paraId="6C890FA0" w14:textId="32472F7D" w:rsidR="001B5120" w:rsidRDefault="001B5120" w:rsidP="00B374CB">
            <w:pPr>
              <w:spacing w:before="0" w:after="0"/>
              <w:jc w:val="center"/>
              <w:rPr>
                <w:b/>
                <w:sz w:val="26"/>
                <w:szCs w:val="26"/>
                <w:lang w:val="es-ES"/>
              </w:rPr>
            </w:pPr>
          </w:p>
          <w:p w14:paraId="536E641E" w14:textId="14F2D0A5" w:rsidR="001B5120" w:rsidRPr="00FC1CB0" w:rsidRDefault="001B5120" w:rsidP="00FC1CB0">
            <w:pPr>
              <w:spacing w:before="0" w:after="0"/>
              <w:rPr>
                <w:b/>
                <w:bCs/>
                <w:sz w:val="24"/>
                <w:szCs w:val="24"/>
              </w:rPr>
            </w:pPr>
          </w:p>
        </w:tc>
        <w:tc>
          <w:tcPr>
            <w:tcW w:w="6431" w:type="dxa"/>
            <w:tcBorders>
              <w:top w:val="nil"/>
              <w:left w:val="nil"/>
              <w:bottom w:val="nil"/>
              <w:right w:val="nil"/>
            </w:tcBorders>
          </w:tcPr>
          <w:p w14:paraId="5949EB80" w14:textId="55B04836" w:rsidR="00C4612A" w:rsidRPr="0025794F" w:rsidRDefault="00C4612A" w:rsidP="00C4612A">
            <w:pPr>
              <w:spacing w:before="240" w:after="240"/>
              <w:rPr>
                <w:bCs/>
                <w:sz w:val="28"/>
                <w:szCs w:val="28"/>
                <w:lang w:val="es-ES"/>
              </w:rPr>
            </w:pPr>
            <w:r>
              <w:rPr>
                <w:bCs/>
                <w:sz w:val="28"/>
                <w:szCs w:val="28"/>
                <w:u w:val="single"/>
                <w:lang w:val="es-ES"/>
              </w:rPr>
              <w:lastRenderedPageBreak/>
              <w:t>Central Puerto</w:t>
            </w:r>
          </w:p>
          <w:p w14:paraId="03DC834B" w14:textId="613B1ED0" w:rsidR="00C4612A" w:rsidRDefault="00C4612A" w:rsidP="00C4612A">
            <w:pPr>
              <w:spacing w:before="240" w:after="240"/>
              <w:rPr>
                <w:bCs/>
                <w:sz w:val="28"/>
                <w:szCs w:val="28"/>
                <w:u w:val="single"/>
                <w:lang w:val="es-ES"/>
              </w:rPr>
            </w:pPr>
            <w:r w:rsidRPr="00735B1F">
              <w:rPr>
                <w:bCs/>
                <w:sz w:val="28"/>
                <w:szCs w:val="28"/>
                <w:lang w:val="es-ES"/>
              </w:rPr>
              <w:t>C</w:t>
            </w:r>
            <w:r>
              <w:rPr>
                <w:bCs/>
                <w:sz w:val="28"/>
                <w:szCs w:val="28"/>
                <w:lang w:val="es-ES"/>
              </w:rPr>
              <w:t>EPU</w:t>
            </w:r>
            <w:r w:rsidRPr="00735B1F">
              <w:rPr>
                <w:bCs/>
                <w:sz w:val="28"/>
                <w:szCs w:val="28"/>
                <w:lang w:val="es-ES"/>
              </w:rPr>
              <w:t xml:space="preserve"> p</w:t>
            </w:r>
            <w:r>
              <w:rPr>
                <w:bCs/>
                <w:sz w:val="28"/>
                <w:szCs w:val="28"/>
                <w:lang w:val="es-ES"/>
              </w:rPr>
              <w:t xml:space="preserve">resentó los estados contables del 2T22 el viernes pasado. Los resultados fueron mixtos. Las ventas (USD 165M) cayeron un 19% en el periodo de un año. Sin embargo, el EBIT (USD 104M) creció un 152% respecto al 2T21. Además, el margen EBIT pasó del 20% en el 2T21 al 63% en el último trimestre. </w:t>
            </w:r>
            <w:r w:rsidR="00A07110">
              <w:rPr>
                <w:bCs/>
                <w:sz w:val="28"/>
                <w:szCs w:val="28"/>
                <w:lang w:val="es-ES"/>
              </w:rPr>
              <w:t>Asimismo</w:t>
            </w:r>
            <w:bookmarkStart w:id="0" w:name="_GoBack"/>
            <w:bookmarkEnd w:id="0"/>
            <w:r>
              <w:rPr>
                <w:bCs/>
                <w:sz w:val="28"/>
                <w:szCs w:val="28"/>
                <w:lang w:val="es-ES"/>
              </w:rPr>
              <w:t>, las ganancias netas pasaron de USD -77M en el 2T21 a los USD 19M de hoy.</w:t>
            </w:r>
          </w:p>
          <w:p w14:paraId="089F2144" w14:textId="47343D9B" w:rsidR="00C4612A" w:rsidRPr="00C4612A" w:rsidRDefault="00C4612A" w:rsidP="00C4612A">
            <w:pPr>
              <w:spacing w:before="240" w:after="240"/>
              <w:rPr>
                <w:bCs/>
                <w:sz w:val="28"/>
                <w:szCs w:val="28"/>
                <w:lang w:val="es-ES"/>
              </w:rPr>
            </w:pPr>
            <w:r>
              <w:rPr>
                <w:bCs/>
                <w:sz w:val="28"/>
                <w:szCs w:val="28"/>
                <w:lang w:val="es-ES"/>
              </w:rPr>
              <w:t xml:space="preserve">La deuda se halla en términos relativos bajos. La deuda bruta (USD 386M) representa el 29% del </w:t>
            </w:r>
            <w:proofErr w:type="spellStart"/>
            <w:r>
              <w:rPr>
                <w:bCs/>
                <w:sz w:val="28"/>
                <w:szCs w:val="28"/>
                <w:lang w:val="es-ES"/>
              </w:rPr>
              <w:t>enterprise</w:t>
            </w:r>
            <w:proofErr w:type="spellEnd"/>
            <w:r>
              <w:rPr>
                <w:bCs/>
                <w:sz w:val="28"/>
                <w:szCs w:val="28"/>
                <w:lang w:val="es-ES"/>
              </w:rPr>
              <w:t xml:space="preserve"> </w:t>
            </w:r>
            <w:proofErr w:type="spellStart"/>
            <w:r>
              <w:rPr>
                <w:bCs/>
                <w:sz w:val="28"/>
                <w:szCs w:val="28"/>
                <w:lang w:val="es-ES"/>
              </w:rPr>
              <w:t>value</w:t>
            </w:r>
            <w:proofErr w:type="spellEnd"/>
            <w:r>
              <w:rPr>
                <w:bCs/>
                <w:sz w:val="28"/>
                <w:szCs w:val="28"/>
                <w:lang w:val="es-ES"/>
              </w:rPr>
              <w:t>, mientras que el elevado nivel de caja y equivalentes dejan a la deuda neta en los USD 114M (9% del EV).</w:t>
            </w:r>
          </w:p>
          <w:p w14:paraId="1EEA8BA5" w14:textId="77777777" w:rsidR="00C4612A" w:rsidRDefault="00C4612A" w:rsidP="00CC0FB2">
            <w:pPr>
              <w:spacing w:before="240" w:after="240"/>
              <w:ind w:left="708" w:hanging="708"/>
              <w:rPr>
                <w:bCs/>
                <w:sz w:val="28"/>
                <w:szCs w:val="28"/>
                <w:u w:val="single"/>
                <w:lang w:val="es-ES"/>
              </w:rPr>
            </w:pPr>
          </w:p>
          <w:p w14:paraId="5FAE1AD9" w14:textId="47B5A793" w:rsidR="00B17BBD" w:rsidRPr="00B17BBD" w:rsidRDefault="00444F5A" w:rsidP="00CC0FB2">
            <w:pPr>
              <w:spacing w:before="240" w:after="240"/>
              <w:ind w:left="708" w:hanging="708"/>
              <w:rPr>
                <w:bCs/>
                <w:sz w:val="28"/>
                <w:szCs w:val="28"/>
                <w:lang w:val="es-ES"/>
              </w:rPr>
            </w:pPr>
            <w:r>
              <w:rPr>
                <w:bCs/>
                <w:sz w:val="28"/>
                <w:szCs w:val="28"/>
                <w:u w:val="single"/>
                <w:lang w:val="es-ES"/>
              </w:rPr>
              <w:t>Telecom Argentina</w:t>
            </w:r>
            <w:r w:rsidR="00B17BBD">
              <w:rPr>
                <w:bCs/>
                <w:sz w:val="28"/>
                <w:szCs w:val="28"/>
                <w:lang w:val="es-ES"/>
              </w:rPr>
              <w:t xml:space="preserve"> </w:t>
            </w:r>
            <w:r w:rsidR="00B17BBD" w:rsidRPr="00B17BBD">
              <w:rPr>
                <w:bCs/>
                <w:sz w:val="18"/>
                <w:szCs w:val="28"/>
                <w:lang w:val="es-ES"/>
              </w:rPr>
              <w:t>(valores medidos en ARS de</w:t>
            </w:r>
            <w:r w:rsidR="0025794F">
              <w:rPr>
                <w:bCs/>
                <w:sz w:val="18"/>
                <w:szCs w:val="28"/>
                <w:lang w:val="es-ES"/>
              </w:rPr>
              <w:t>l 2T</w:t>
            </w:r>
            <w:r w:rsidR="00B17BBD" w:rsidRPr="00B17BBD">
              <w:rPr>
                <w:bCs/>
                <w:sz w:val="18"/>
                <w:szCs w:val="28"/>
                <w:lang w:val="es-ES"/>
              </w:rPr>
              <w:t>22)</w:t>
            </w:r>
          </w:p>
          <w:p w14:paraId="6F7BE685" w14:textId="7A07D2F2" w:rsidR="000B3E0F" w:rsidRDefault="001275F5" w:rsidP="000B3E0F">
            <w:pPr>
              <w:spacing w:before="240" w:after="240"/>
              <w:rPr>
                <w:bCs/>
                <w:sz w:val="28"/>
                <w:szCs w:val="28"/>
                <w:lang w:val="es-ES"/>
              </w:rPr>
            </w:pPr>
            <w:r>
              <w:rPr>
                <w:bCs/>
                <w:sz w:val="28"/>
                <w:szCs w:val="28"/>
                <w:lang w:val="es-ES"/>
              </w:rPr>
              <w:t>TECO2 presentó balances el m</w:t>
            </w:r>
            <w:r w:rsidR="00735B1F">
              <w:rPr>
                <w:bCs/>
                <w:sz w:val="28"/>
                <w:szCs w:val="28"/>
                <w:lang w:val="es-ES"/>
              </w:rPr>
              <w:t>artes</w:t>
            </w:r>
            <w:r>
              <w:rPr>
                <w:bCs/>
                <w:sz w:val="28"/>
                <w:szCs w:val="28"/>
                <w:lang w:val="es-ES"/>
              </w:rPr>
              <w:t xml:space="preserve"> y, lejos de ser buenos los números, resulta difícil encontrar un dato positivo en el 2T22. Las ventas cayeron un 12% desde el 2T21. El EBITDA fue de ARS 33MM, 28% menor que hace un año atrás, y no alcanzó para compensar las depreciaciones y amortizaciones del periodo. De esta manera, el EBIT negativo del 2T21 se multiplicó por diez hasta los $ -10MM en el último trimestre. No obstante, las ganancias netas, a diferencia del trimestre reportado en 2021, alcanzaron terreno positivo y se situaron en $ 4MM.</w:t>
            </w:r>
            <w:r w:rsidR="000B3E0F">
              <w:rPr>
                <w:bCs/>
                <w:sz w:val="28"/>
                <w:szCs w:val="28"/>
                <w:lang w:val="es-ES"/>
              </w:rPr>
              <w:t xml:space="preserve"> </w:t>
            </w:r>
          </w:p>
          <w:p w14:paraId="63F7487D" w14:textId="24743367" w:rsidR="00452641" w:rsidRDefault="00452641" w:rsidP="00FC1CB0">
            <w:pPr>
              <w:spacing w:before="240" w:after="240"/>
              <w:rPr>
                <w:bCs/>
                <w:sz w:val="28"/>
                <w:szCs w:val="28"/>
                <w:u w:val="single"/>
                <w:lang w:val="es-ES"/>
              </w:rPr>
            </w:pPr>
          </w:p>
          <w:p w14:paraId="180646CB" w14:textId="10AFA8C2" w:rsidR="002349B9" w:rsidRDefault="00712D8F" w:rsidP="00FC1CB0">
            <w:pPr>
              <w:spacing w:before="240" w:after="240"/>
              <w:rPr>
                <w:bCs/>
                <w:sz w:val="28"/>
                <w:szCs w:val="28"/>
                <w:u w:val="single"/>
                <w:lang w:val="es-ES"/>
              </w:rPr>
            </w:pPr>
            <w:r w:rsidRPr="00712D8F">
              <w:rPr>
                <w:bCs/>
                <w:sz w:val="28"/>
                <w:szCs w:val="28"/>
                <w:u w:val="single"/>
                <w:lang w:val="es-ES"/>
              </w:rPr>
              <w:lastRenderedPageBreak/>
              <w:t>YPF</w:t>
            </w:r>
          </w:p>
          <w:p w14:paraId="1FA0AD26" w14:textId="6CE22592" w:rsidR="00712D8F" w:rsidRDefault="0002211A" w:rsidP="0002211A">
            <w:pPr>
              <w:spacing w:before="240" w:after="240"/>
              <w:rPr>
                <w:bCs/>
                <w:sz w:val="28"/>
                <w:szCs w:val="28"/>
                <w:lang w:val="es-ES"/>
              </w:rPr>
            </w:pPr>
            <w:r>
              <w:rPr>
                <w:bCs/>
                <w:sz w:val="28"/>
                <w:szCs w:val="28"/>
                <w:lang w:val="es-ES"/>
              </w:rPr>
              <w:t xml:space="preserve">La petrolera argentina </w:t>
            </w:r>
            <w:r w:rsidR="00444F5A">
              <w:rPr>
                <w:bCs/>
                <w:sz w:val="28"/>
                <w:szCs w:val="28"/>
                <w:lang w:val="es-ES"/>
              </w:rPr>
              <w:t xml:space="preserve">presentó los balances del 2T22 el </w:t>
            </w:r>
            <w:r w:rsidR="00735B1F">
              <w:rPr>
                <w:bCs/>
                <w:sz w:val="28"/>
                <w:szCs w:val="28"/>
                <w:lang w:val="es-ES"/>
              </w:rPr>
              <w:t>miércoles</w:t>
            </w:r>
            <w:r w:rsidR="00444F5A">
              <w:rPr>
                <w:bCs/>
                <w:sz w:val="28"/>
                <w:szCs w:val="28"/>
                <w:lang w:val="es-ES"/>
              </w:rPr>
              <w:t xml:space="preserve"> y </w:t>
            </w:r>
            <w:r>
              <w:rPr>
                <w:bCs/>
                <w:sz w:val="28"/>
                <w:szCs w:val="28"/>
                <w:lang w:val="es-ES"/>
              </w:rPr>
              <w:t xml:space="preserve">exhibió una gran performance tanto respecto el trimestre anterior como en términos interanuales. La producción </w:t>
            </w:r>
            <w:proofErr w:type="spellStart"/>
            <w:r>
              <w:rPr>
                <w:bCs/>
                <w:sz w:val="28"/>
                <w:szCs w:val="28"/>
                <w:lang w:val="es-ES"/>
              </w:rPr>
              <w:t>upstream</w:t>
            </w:r>
            <w:proofErr w:type="spellEnd"/>
            <w:r>
              <w:rPr>
                <w:bCs/>
                <w:sz w:val="28"/>
                <w:szCs w:val="28"/>
                <w:lang w:val="es-ES"/>
              </w:rPr>
              <w:t xml:space="preserve"> (exploración y producción) total creció un 9% </w:t>
            </w:r>
            <w:proofErr w:type="spellStart"/>
            <w:r>
              <w:rPr>
                <w:bCs/>
                <w:sz w:val="28"/>
                <w:szCs w:val="28"/>
                <w:lang w:val="es-ES"/>
              </w:rPr>
              <w:t>YoY</w:t>
            </w:r>
            <w:proofErr w:type="spellEnd"/>
            <w:r>
              <w:rPr>
                <w:bCs/>
                <w:sz w:val="28"/>
                <w:szCs w:val="28"/>
                <w:lang w:val="es-ES"/>
              </w:rPr>
              <w:t xml:space="preserve"> acompañada por precios locales y de exportación que crecieron significativamente.</w:t>
            </w:r>
          </w:p>
          <w:p w14:paraId="21163B1F" w14:textId="77777777" w:rsidR="00F51219" w:rsidRDefault="00E9218D" w:rsidP="00F51219">
            <w:pPr>
              <w:spacing w:before="240" w:after="240"/>
              <w:rPr>
                <w:bCs/>
                <w:sz w:val="28"/>
                <w:szCs w:val="28"/>
                <w:lang w:val="es-ES"/>
              </w:rPr>
            </w:pPr>
            <w:r>
              <w:rPr>
                <w:bCs/>
                <w:sz w:val="28"/>
                <w:szCs w:val="28"/>
                <w:lang w:val="es-ES"/>
              </w:rPr>
              <w:t>Con ventas creciendo al 45% interanual y ganancias antes de intereses e impuestos (EBIT) haciéndolo al 174%, la compañía incrementó su margen EBIT desde el 9% (2T22) hasta el actual 18%.</w:t>
            </w:r>
            <w:r w:rsidR="00320810">
              <w:rPr>
                <w:bCs/>
                <w:sz w:val="28"/>
                <w:szCs w:val="28"/>
                <w:lang w:val="es-ES"/>
              </w:rPr>
              <w:t xml:space="preserve"> Las ganancias netas pasaron de un terreno negativo de USD -492M hace un año a campo positivo de USD 798M en este último trimestre.</w:t>
            </w:r>
          </w:p>
          <w:p w14:paraId="16EA5BD3" w14:textId="0A4FCF9D" w:rsidR="000B3E0F" w:rsidRDefault="00F51219" w:rsidP="00F51219">
            <w:pPr>
              <w:spacing w:before="240" w:after="240"/>
              <w:rPr>
                <w:bCs/>
                <w:sz w:val="28"/>
                <w:szCs w:val="28"/>
                <w:lang w:val="es-ES"/>
              </w:rPr>
            </w:pPr>
            <w:r>
              <w:rPr>
                <w:bCs/>
                <w:sz w:val="28"/>
                <w:szCs w:val="28"/>
                <w:lang w:val="es-ES"/>
              </w:rPr>
              <w:t xml:space="preserve">El stock de deuda bruta se redujo en un 4% respecto al 2T21 mientras que la deuda neta lo hizo en un 9%. De esta manera, la deuda neta </w:t>
            </w:r>
            <w:r w:rsidR="007F27D0">
              <w:rPr>
                <w:bCs/>
                <w:sz w:val="28"/>
                <w:szCs w:val="28"/>
                <w:lang w:val="es-ES"/>
              </w:rPr>
              <w:t>explica</w:t>
            </w:r>
            <w:r>
              <w:rPr>
                <w:bCs/>
                <w:sz w:val="28"/>
                <w:szCs w:val="28"/>
                <w:lang w:val="es-ES"/>
              </w:rPr>
              <w:t xml:space="preserve"> el 80% del </w:t>
            </w:r>
            <w:proofErr w:type="spellStart"/>
            <w:r>
              <w:rPr>
                <w:bCs/>
                <w:sz w:val="28"/>
                <w:szCs w:val="28"/>
                <w:lang w:val="es-ES"/>
              </w:rPr>
              <w:t>enterprise</w:t>
            </w:r>
            <w:proofErr w:type="spellEnd"/>
            <w:r>
              <w:rPr>
                <w:bCs/>
                <w:sz w:val="28"/>
                <w:szCs w:val="28"/>
                <w:lang w:val="es-ES"/>
              </w:rPr>
              <w:t xml:space="preserve"> </w:t>
            </w:r>
            <w:proofErr w:type="spellStart"/>
            <w:r w:rsidR="007F27D0">
              <w:rPr>
                <w:bCs/>
                <w:sz w:val="28"/>
                <w:szCs w:val="28"/>
                <w:lang w:val="es-ES"/>
              </w:rPr>
              <w:t>value</w:t>
            </w:r>
            <w:proofErr w:type="spellEnd"/>
            <w:r w:rsidR="007F27D0">
              <w:rPr>
                <w:bCs/>
                <w:sz w:val="28"/>
                <w:szCs w:val="28"/>
                <w:lang w:val="es-ES"/>
              </w:rPr>
              <w:t>, que a su vez representa 4 veces el EBIT (LTM) y 1,4 veces el EBITDA (LTM).</w:t>
            </w:r>
          </w:p>
          <w:p w14:paraId="32DC6F4F" w14:textId="52791EEE" w:rsidR="00462906" w:rsidRDefault="00462906" w:rsidP="00F51219">
            <w:pPr>
              <w:spacing w:before="240" w:after="240"/>
              <w:rPr>
                <w:bCs/>
                <w:sz w:val="28"/>
                <w:szCs w:val="28"/>
                <w:lang w:val="es-ES"/>
              </w:rPr>
            </w:pPr>
          </w:p>
          <w:p w14:paraId="7E75A606" w14:textId="26ADBF74" w:rsidR="007F27D0" w:rsidRPr="00C278BD" w:rsidRDefault="00C278BD" w:rsidP="00F51219">
            <w:pPr>
              <w:spacing w:before="240" w:after="240"/>
              <w:rPr>
                <w:bCs/>
                <w:sz w:val="28"/>
                <w:szCs w:val="28"/>
                <w:u w:val="single"/>
                <w:lang w:val="es-ES"/>
              </w:rPr>
            </w:pPr>
            <w:r w:rsidRPr="00C278BD">
              <w:rPr>
                <w:bCs/>
                <w:sz w:val="28"/>
                <w:szCs w:val="28"/>
                <w:u w:val="single"/>
                <w:lang w:val="es-ES"/>
              </w:rPr>
              <w:t>Loma Negra</w:t>
            </w:r>
          </w:p>
          <w:p w14:paraId="72967CE2" w14:textId="559F5FBE" w:rsidR="00C278BD" w:rsidRDefault="00D86519" w:rsidP="00F51219">
            <w:pPr>
              <w:spacing w:before="240" w:after="240"/>
              <w:rPr>
                <w:bCs/>
                <w:sz w:val="28"/>
                <w:szCs w:val="28"/>
                <w:lang w:val="es-ES"/>
              </w:rPr>
            </w:pPr>
            <w:r>
              <w:rPr>
                <w:bCs/>
                <w:sz w:val="28"/>
                <w:szCs w:val="28"/>
                <w:lang w:val="es-ES"/>
              </w:rPr>
              <w:t xml:space="preserve">En el 2T22, LOMA exhibió una buena performance relativa al 2T21. Las ventas (USD 204M) medidas en dólares crecieron un 39% </w:t>
            </w:r>
            <w:proofErr w:type="spellStart"/>
            <w:r>
              <w:rPr>
                <w:bCs/>
                <w:sz w:val="28"/>
                <w:szCs w:val="28"/>
                <w:lang w:val="es-ES"/>
              </w:rPr>
              <w:t>YoY</w:t>
            </w:r>
            <w:proofErr w:type="spellEnd"/>
            <w:r>
              <w:rPr>
                <w:bCs/>
                <w:sz w:val="28"/>
                <w:szCs w:val="28"/>
                <w:lang w:val="es-ES"/>
              </w:rPr>
              <w:t xml:space="preserve">, explicado en gran </w:t>
            </w:r>
            <w:proofErr w:type="gramStart"/>
            <w:r>
              <w:rPr>
                <w:bCs/>
                <w:sz w:val="28"/>
                <w:szCs w:val="28"/>
                <w:lang w:val="es-ES"/>
              </w:rPr>
              <w:t>parte  por</w:t>
            </w:r>
            <w:proofErr w:type="gramEnd"/>
            <w:r>
              <w:rPr>
                <w:bCs/>
                <w:sz w:val="28"/>
                <w:szCs w:val="28"/>
                <w:lang w:val="es-ES"/>
              </w:rPr>
              <w:t xml:space="preserve"> mayores ventas de cemento además de hormigón y agregados.</w:t>
            </w:r>
          </w:p>
          <w:p w14:paraId="5E28D543" w14:textId="26C00F47" w:rsidR="00D86519" w:rsidRDefault="00D86519" w:rsidP="00F51219">
            <w:pPr>
              <w:spacing w:before="240" w:after="240"/>
              <w:rPr>
                <w:bCs/>
                <w:sz w:val="28"/>
                <w:szCs w:val="28"/>
                <w:lang w:val="es-ES"/>
              </w:rPr>
            </w:pPr>
            <w:r>
              <w:rPr>
                <w:bCs/>
                <w:sz w:val="28"/>
                <w:szCs w:val="28"/>
                <w:lang w:val="es-ES"/>
              </w:rPr>
              <w:t xml:space="preserve">El EBITDA ajustado (USD 63M) creció 31,7% respecto al 2T21. A pesar de ello, el gran incremento en las ventas justifica la reducción en el margen desde el 32,4% hasta el 30,8% del último trimestre. La ganancia </w:t>
            </w:r>
            <w:r>
              <w:rPr>
                <w:bCs/>
                <w:sz w:val="28"/>
                <w:szCs w:val="28"/>
                <w:lang w:val="es-ES"/>
              </w:rPr>
              <w:lastRenderedPageBreak/>
              <w:t>neta (USD 55M) también creció en términos interanuales, un 12,3%.</w:t>
            </w:r>
          </w:p>
          <w:p w14:paraId="3116E266" w14:textId="1381C10F" w:rsidR="00D86519" w:rsidRDefault="00D86519" w:rsidP="00F51219">
            <w:pPr>
              <w:spacing w:before="240" w:after="240"/>
              <w:rPr>
                <w:bCs/>
                <w:sz w:val="28"/>
                <w:szCs w:val="28"/>
                <w:lang w:val="es-ES"/>
              </w:rPr>
            </w:pPr>
            <w:r>
              <w:rPr>
                <w:bCs/>
                <w:sz w:val="28"/>
                <w:szCs w:val="28"/>
                <w:lang w:val="es-ES"/>
              </w:rPr>
              <w:t>La reducción en la deuda neta fue sumamente significativa. La misma pasó de USD 43M en el segundo trimestre del año pasado a ser de USD 2M este año. De esta manera, la deuda neta representa 0,01</w:t>
            </w:r>
            <w:r w:rsidR="00466344">
              <w:rPr>
                <w:bCs/>
                <w:sz w:val="28"/>
                <w:szCs w:val="28"/>
                <w:lang w:val="es-ES"/>
              </w:rPr>
              <w:t>x</w:t>
            </w:r>
            <w:r>
              <w:rPr>
                <w:bCs/>
                <w:sz w:val="28"/>
                <w:szCs w:val="28"/>
                <w:lang w:val="es-ES"/>
              </w:rPr>
              <w:t xml:space="preserve"> </w:t>
            </w:r>
            <w:proofErr w:type="spellStart"/>
            <w:r>
              <w:rPr>
                <w:bCs/>
                <w:sz w:val="28"/>
                <w:szCs w:val="28"/>
                <w:lang w:val="es-ES"/>
              </w:rPr>
              <w:t>veecs</w:t>
            </w:r>
            <w:proofErr w:type="spellEnd"/>
            <w:r>
              <w:rPr>
                <w:bCs/>
                <w:sz w:val="28"/>
                <w:szCs w:val="28"/>
                <w:lang w:val="es-ES"/>
              </w:rPr>
              <w:t xml:space="preserve"> el EBITDA</w:t>
            </w:r>
            <w:r w:rsidR="00466344">
              <w:rPr>
                <w:bCs/>
                <w:sz w:val="28"/>
                <w:szCs w:val="28"/>
                <w:lang w:val="es-ES"/>
              </w:rPr>
              <w:t xml:space="preserve"> (LTM) cuando en el 2T21 era de 0,12x. La deuda neta no explica más que el 0,15% del </w:t>
            </w:r>
            <w:proofErr w:type="spellStart"/>
            <w:r w:rsidR="00466344">
              <w:rPr>
                <w:bCs/>
                <w:sz w:val="28"/>
                <w:szCs w:val="28"/>
                <w:lang w:val="es-ES"/>
              </w:rPr>
              <w:t>enterprise</w:t>
            </w:r>
            <w:proofErr w:type="spellEnd"/>
            <w:r w:rsidR="00466344">
              <w:rPr>
                <w:bCs/>
                <w:sz w:val="28"/>
                <w:szCs w:val="28"/>
                <w:lang w:val="es-ES"/>
              </w:rPr>
              <w:t xml:space="preserve"> </w:t>
            </w:r>
            <w:proofErr w:type="spellStart"/>
            <w:r w:rsidR="00466344">
              <w:rPr>
                <w:bCs/>
                <w:sz w:val="28"/>
                <w:szCs w:val="28"/>
                <w:lang w:val="es-ES"/>
              </w:rPr>
              <w:t>value</w:t>
            </w:r>
            <w:proofErr w:type="spellEnd"/>
            <w:r w:rsidR="00466344">
              <w:rPr>
                <w:bCs/>
                <w:sz w:val="28"/>
                <w:szCs w:val="28"/>
                <w:lang w:val="es-ES"/>
              </w:rPr>
              <w:t>.</w:t>
            </w:r>
          </w:p>
          <w:p w14:paraId="7730543E" w14:textId="77777777" w:rsidR="00C278BD" w:rsidRDefault="00C278BD" w:rsidP="00F51219">
            <w:pPr>
              <w:spacing w:before="240" w:after="240"/>
              <w:rPr>
                <w:bCs/>
                <w:sz w:val="28"/>
                <w:szCs w:val="28"/>
                <w:lang w:val="es-ES"/>
              </w:rPr>
            </w:pPr>
          </w:p>
          <w:p w14:paraId="301741E0" w14:textId="079572D2" w:rsidR="00C278BD" w:rsidRPr="00C278BD" w:rsidRDefault="00C278BD" w:rsidP="00F51219">
            <w:pPr>
              <w:spacing w:before="240" w:after="240"/>
              <w:rPr>
                <w:bCs/>
                <w:sz w:val="28"/>
                <w:szCs w:val="28"/>
                <w:u w:val="single"/>
                <w:lang w:val="es-ES"/>
              </w:rPr>
            </w:pPr>
            <w:r w:rsidRPr="00C278BD">
              <w:rPr>
                <w:bCs/>
                <w:sz w:val="28"/>
                <w:szCs w:val="28"/>
                <w:u w:val="single"/>
                <w:lang w:val="es-ES"/>
              </w:rPr>
              <w:t>Pampa Energía</w:t>
            </w:r>
          </w:p>
          <w:p w14:paraId="6194A6E7" w14:textId="79F6127A" w:rsidR="004B1DD9" w:rsidRDefault="003D754A" w:rsidP="00F51219">
            <w:pPr>
              <w:spacing w:before="240" w:after="240"/>
              <w:rPr>
                <w:bCs/>
                <w:sz w:val="28"/>
                <w:szCs w:val="28"/>
                <w:lang w:val="es-ES"/>
              </w:rPr>
            </w:pPr>
            <w:r>
              <w:rPr>
                <w:bCs/>
                <w:sz w:val="28"/>
                <w:szCs w:val="28"/>
                <w:lang w:val="es-ES"/>
              </w:rPr>
              <w:t xml:space="preserve">PAMP presentó balances del 2T22 el día de ayer. Los resultados </w:t>
            </w:r>
            <w:r w:rsidR="004B1DD9">
              <w:rPr>
                <w:bCs/>
                <w:sz w:val="28"/>
                <w:szCs w:val="28"/>
                <w:lang w:val="es-ES"/>
              </w:rPr>
              <w:t>no fueron buenos</w:t>
            </w:r>
            <w:r>
              <w:rPr>
                <w:bCs/>
                <w:sz w:val="28"/>
                <w:szCs w:val="28"/>
                <w:lang w:val="es-ES"/>
              </w:rPr>
              <w:t>. Las ventas (USD 462M) crecieron tanto trimestral como interanualmente (12% y 34% respectivamente).</w:t>
            </w:r>
            <w:r w:rsidR="004B1DD9">
              <w:rPr>
                <w:bCs/>
                <w:sz w:val="28"/>
                <w:szCs w:val="28"/>
                <w:lang w:val="es-ES"/>
              </w:rPr>
              <w:t xml:space="preserve"> El incremento </w:t>
            </w:r>
            <w:proofErr w:type="spellStart"/>
            <w:r w:rsidR="004B1DD9">
              <w:rPr>
                <w:bCs/>
                <w:sz w:val="28"/>
                <w:szCs w:val="28"/>
                <w:lang w:val="es-ES"/>
              </w:rPr>
              <w:t>YoY</w:t>
            </w:r>
            <w:proofErr w:type="spellEnd"/>
            <w:r w:rsidR="004B1DD9">
              <w:rPr>
                <w:bCs/>
                <w:sz w:val="28"/>
                <w:szCs w:val="28"/>
                <w:lang w:val="es-ES"/>
              </w:rPr>
              <w:t xml:space="preserve"> en los ingresos se produjo por un aumento en las ventas de petróleo y gas de 54% y por un 60% en los petroquímicos. No obstante, la generación eléctrica se redujo en un 1%. </w:t>
            </w:r>
          </w:p>
          <w:p w14:paraId="0B62A67A" w14:textId="40179F21" w:rsidR="00C278BD" w:rsidRDefault="003D754A" w:rsidP="00F51219">
            <w:pPr>
              <w:spacing w:before="240" w:after="240"/>
              <w:rPr>
                <w:bCs/>
                <w:sz w:val="28"/>
                <w:szCs w:val="28"/>
                <w:lang w:val="es-ES"/>
              </w:rPr>
            </w:pPr>
            <w:r>
              <w:rPr>
                <w:bCs/>
                <w:sz w:val="28"/>
                <w:szCs w:val="28"/>
                <w:lang w:val="es-ES"/>
              </w:rPr>
              <w:t>El dato positivo en los ingresos se reflejó en un incremento trimestral del 2% en las ganancias antes de impuestos e intereses, pero el número fue rojo en el caso interanual (</w:t>
            </w:r>
            <w:r w:rsidR="004B1DD9">
              <w:rPr>
                <w:bCs/>
                <w:sz w:val="28"/>
                <w:szCs w:val="28"/>
                <w:lang w:val="es-ES"/>
              </w:rPr>
              <w:t xml:space="preserve">-12%). Peor es el dato </w:t>
            </w:r>
            <w:proofErr w:type="spellStart"/>
            <w:r w:rsidR="004B1DD9">
              <w:rPr>
                <w:bCs/>
                <w:sz w:val="28"/>
                <w:szCs w:val="28"/>
                <w:lang w:val="es-ES"/>
              </w:rPr>
              <w:t>QoQ</w:t>
            </w:r>
            <w:proofErr w:type="spellEnd"/>
            <w:r w:rsidR="004B1DD9">
              <w:rPr>
                <w:bCs/>
                <w:sz w:val="28"/>
                <w:szCs w:val="28"/>
                <w:lang w:val="es-ES"/>
              </w:rPr>
              <w:t xml:space="preserve"> en las ganancias netas, que cayeron un 33%, aunque la caída interanual del 6% fue menor. El margen EBIT de 29% se redujo desde el 32% del 1T22 y desde el 45% del 2T21. El EBITDA ajustado cerró en un -5% </w:t>
            </w:r>
            <w:proofErr w:type="spellStart"/>
            <w:r w:rsidR="004B1DD9">
              <w:rPr>
                <w:bCs/>
                <w:sz w:val="28"/>
                <w:szCs w:val="28"/>
                <w:lang w:val="es-ES"/>
              </w:rPr>
              <w:t>YoY</w:t>
            </w:r>
            <w:proofErr w:type="spellEnd"/>
            <w:r w:rsidR="008101F9">
              <w:rPr>
                <w:bCs/>
                <w:sz w:val="28"/>
                <w:szCs w:val="28"/>
                <w:lang w:val="es-ES"/>
              </w:rPr>
              <w:t>, impulsado por el -18% en el segmento de generación eléctrica que no fue compensado por los incrementos del 39% en petróleo y gas y del 19% en petroquímicos.</w:t>
            </w:r>
          </w:p>
          <w:p w14:paraId="70D62226" w14:textId="5DDE6D73" w:rsidR="004B1DD9" w:rsidRDefault="00617345" w:rsidP="00F51219">
            <w:pPr>
              <w:spacing w:before="240" w:after="240"/>
              <w:rPr>
                <w:bCs/>
                <w:sz w:val="28"/>
                <w:szCs w:val="28"/>
                <w:lang w:val="es-ES"/>
              </w:rPr>
            </w:pPr>
            <w:r>
              <w:rPr>
                <w:bCs/>
                <w:sz w:val="28"/>
                <w:szCs w:val="28"/>
                <w:lang w:val="es-ES"/>
              </w:rPr>
              <w:lastRenderedPageBreak/>
              <w:t xml:space="preserve">La deuda neta cerró en USD 902M. Este monto representa 1,3 veces el EBITDA y explica el 40% del </w:t>
            </w:r>
            <w:proofErr w:type="spellStart"/>
            <w:r>
              <w:rPr>
                <w:bCs/>
                <w:sz w:val="28"/>
                <w:szCs w:val="28"/>
                <w:lang w:val="es-ES"/>
              </w:rPr>
              <w:t>enterprise</w:t>
            </w:r>
            <w:proofErr w:type="spellEnd"/>
            <w:r>
              <w:rPr>
                <w:bCs/>
                <w:sz w:val="28"/>
                <w:szCs w:val="28"/>
                <w:lang w:val="es-ES"/>
              </w:rPr>
              <w:t xml:space="preserve"> </w:t>
            </w:r>
            <w:proofErr w:type="spellStart"/>
            <w:r>
              <w:rPr>
                <w:bCs/>
                <w:sz w:val="28"/>
                <w:szCs w:val="28"/>
                <w:lang w:val="es-ES"/>
              </w:rPr>
              <w:t>value</w:t>
            </w:r>
            <w:proofErr w:type="spellEnd"/>
            <w:r>
              <w:rPr>
                <w:bCs/>
                <w:sz w:val="28"/>
                <w:szCs w:val="28"/>
                <w:lang w:val="es-ES"/>
              </w:rPr>
              <w:t xml:space="preserve"> (USD 2,2MM).</w:t>
            </w:r>
          </w:p>
          <w:p w14:paraId="716B4D84" w14:textId="77777777" w:rsidR="00C278BD" w:rsidRDefault="00C278BD" w:rsidP="00F51219">
            <w:pPr>
              <w:spacing w:before="240" w:after="240"/>
              <w:rPr>
                <w:bCs/>
                <w:sz w:val="28"/>
                <w:szCs w:val="28"/>
                <w:lang w:val="es-ES"/>
              </w:rPr>
            </w:pPr>
          </w:p>
          <w:p w14:paraId="3A693A9A" w14:textId="72253988" w:rsidR="00C278BD" w:rsidRPr="00C278BD" w:rsidRDefault="00C278BD" w:rsidP="00F51219">
            <w:pPr>
              <w:spacing w:before="240" w:after="240"/>
              <w:rPr>
                <w:bCs/>
                <w:sz w:val="28"/>
                <w:szCs w:val="28"/>
                <w:u w:val="single"/>
                <w:lang w:val="es-ES"/>
              </w:rPr>
            </w:pPr>
            <w:r w:rsidRPr="00C278BD">
              <w:rPr>
                <w:bCs/>
                <w:sz w:val="28"/>
                <w:szCs w:val="28"/>
                <w:u w:val="single"/>
                <w:lang w:val="es-ES"/>
              </w:rPr>
              <w:t>Transportadora gas del Sur</w:t>
            </w:r>
          </w:p>
          <w:p w14:paraId="5785C3B5" w14:textId="774764B6" w:rsidR="00F51219" w:rsidRDefault="007A1C3C" w:rsidP="00F51219">
            <w:pPr>
              <w:spacing w:before="240" w:after="240"/>
              <w:rPr>
                <w:bCs/>
                <w:sz w:val="28"/>
                <w:szCs w:val="28"/>
                <w:lang w:val="es-ES"/>
              </w:rPr>
            </w:pPr>
            <w:r>
              <w:rPr>
                <w:bCs/>
                <w:sz w:val="28"/>
                <w:szCs w:val="28"/>
                <w:lang w:val="es-ES"/>
              </w:rPr>
              <w:t xml:space="preserve">Los resultados del 2T22 fueron negativos para TGS. Las ventas (USD 231M) cayeron un 26% en términos interanuales. El segmento de producción </w:t>
            </w:r>
            <w:r w:rsidR="00C80500">
              <w:rPr>
                <w:bCs/>
                <w:sz w:val="28"/>
                <w:szCs w:val="28"/>
                <w:lang w:val="es-ES"/>
              </w:rPr>
              <w:t xml:space="preserve">y comercialización de líquidos </w:t>
            </w:r>
            <w:r>
              <w:rPr>
                <w:bCs/>
                <w:sz w:val="28"/>
                <w:szCs w:val="28"/>
                <w:lang w:val="es-ES"/>
              </w:rPr>
              <w:t>fue el más perjudicado (-31%) seguido por el transporte de gas natural (-24%).</w:t>
            </w:r>
          </w:p>
          <w:p w14:paraId="4BEBD43D" w14:textId="7322DD6C" w:rsidR="007A1C3C" w:rsidRDefault="00800C14" w:rsidP="00F51219">
            <w:pPr>
              <w:spacing w:before="240" w:after="240"/>
              <w:rPr>
                <w:bCs/>
                <w:sz w:val="28"/>
                <w:szCs w:val="28"/>
                <w:lang w:val="es-ES"/>
              </w:rPr>
            </w:pPr>
            <w:r>
              <w:rPr>
                <w:bCs/>
                <w:sz w:val="28"/>
                <w:szCs w:val="28"/>
                <w:lang w:val="es-ES"/>
              </w:rPr>
              <w:t>El EBIT (USD 77M) se redujo un 29% respecto al 2T21. A pesar de la reducción en costos operativos, la caída de las ganancias antes de impuestos e intereses implicó una reducción del margen EBIT de 60bps desde un 35% hace un año hasta el actual 33%.</w:t>
            </w:r>
          </w:p>
          <w:p w14:paraId="1B9568EE" w14:textId="6152563F" w:rsidR="00087FDF" w:rsidRDefault="00087FDF" w:rsidP="00F51219">
            <w:pPr>
              <w:spacing w:before="240" w:after="240"/>
              <w:rPr>
                <w:bCs/>
                <w:sz w:val="28"/>
                <w:szCs w:val="28"/>
                <w:lang w:val="es-ES"/>
              </w:rPr>
            </w:pPr>
            <w:r>
              <w:rPr>
                <w:bCs/>
                <w:sz w:val="28"/>
                <w:szCs w:val="28"/>
                <w:lang w:val="es-ES"/>
              </w:rPr>
              <w:t>Datos positivos vinieron por el lado del nivel de endeudamiento. Una reducción del 35% de la deuda bruta medida en dólares trajo aparejada junto a menores niveles de caja y equivalentes una baja en la deuda neta del 47%.</w:t>
            </w:r>
            <w:r w:rsidR="00716D61">
              <w:rPr>
                <w:bCs/>
                <w:sz w:val="28"/>
                <w:szCs w:val="28"/>
                <w:lang w:val="es-ES"/>
              </w:rPr>
              <w:t xml:space="preserve"> El stock de deuda neta se mantiene bajo, en torno al 4% del </w:t>
            </w:r>
            <w:proofErr w:type="spellStart"/>
            <w:r w:rsidR="00716D61">
              <w:rPr>
                <w:bCs/>
                <w:sz w:val="28"/>
                <w:szCs w:val="28"/>
                <w:lang w:val="es-ES"/>
              </w:rPr>
              <w:t>enterprise</w:t>
            </w:r>
            <w:proofErr w:type="spellEnd"/>
            <w:r w:rsidR="00716D61">
              <w:rPr>
                <w:bCs/>
                <w:sz w:val="28"/>
                <w:szCs w:val="28"/>
                <w:lang w:val="es-ES"/>
              </w:rPr>
              <w:t xml:space="preserve"> </w:t>
            </w:r>
            <w:proofErr w:type="spellStart"/>
            <w:r w:rsidR="00716D61">
              <w:rPr>
                <w:bCs/>
                <w:sz w:val="28"/>
                <w:szCs w:val="28"/>
                <w:lang w:val="es-ES"/>
              </w:rPr>
              <w:t>value</w:t>
            </w:r>
            <w:proofErr w:type="spellEnd"/>
            <w:r w:rsidR="00716D61">
              <w:rPr>
                <w:bCs/>
                <w:sz w:val="28"/>
                <w:szCs w:val="28"/>
                <w:lang w:val="es-ES"/>
              </w:rPr>
              <w:t>.</w:t>
            </w:r>
          </w:p>
          <w:p w14:paraId="2EC39397" w14:textId="46E77EFC" w:rsidR="00B6192B" w:rsidRDefault="00B6192B" w:rsidP="00F51219">
            <w:pPr>
              <w:spacing w:before="240" w:after="240"/>
              <w:rPr>
                <w:bCs/>
                <w:sz w:val="28"/>
                <w:szCs w:val="28"/>
                <w:lang w:val="es-ES"/>
              </w:rPr>
            </w:pPr>
            <w:r>
              <w:rPr>
                <w:bCs/>
                <w:sz w:val="28"/>
                <w:szCs w:val="28"/>
                <w:lang w:val="es-ES"/>
              </w:rPr>
              <w:t xml:space="preserve">A diferencia del 2T21, este trimestre la </w:t>
            </w:r>
            <w:proofErr w:type="spellStart"/>
            <w:r>
              <w:rPr>
                <w:bCs/>
                <w:sz w:val="28"/>
                <w:szCs w:val="28"/>
                <w:lang w:val="es-ES"/>
              </w:rPr>
              <w:t>compagía</w:t>
            </w:r>
            <w:proofErr w:type="spellEnd"/>
            <w:r>
              <w:rPr>
                <w:bCs/>
                <w:sz w:val="28"/>
                <w:szCs w:val="28"/>
                <w:lang w:val="es-ES"/>
              </w:rPr>
              <w:t xml:space="preserve"> generó un flujo de caja libre negativo (USD -47,9) derivado de un flujo de caja operativo también negativo (USD -21,7), a pesar del menor gasto en </w:t>
            </w:r>
            <w:proofErr w:type="spellStart"/>
            <w:r>
              <w:rPr>
                <w:bCs/>
                <w:sz w:val="28"/>
                <w:szCs w:val="28"/>
                <w:lang w:val="es-ES"/>
              </w:rPr>
              <w:t>CapEx</w:t>
            </w:r>
            <w:proofErr w:type="spellEnd"/>
            <w:r>
              <w:rPr>
                <w:bCs/>
                <w:sz w:val="28"/>
                <w:szCs w:val="28"/>
                <w:lang w:val="es-ES"/>
              </w:rPr>
              <w:t xml:space="preserve"> medido en dólares.</w:t>
            </w:r>
          </w:p>
          <w:p w14:paraId="12F2D50A" w14:textId="77777777" w:rsidR="00F51219" w:rsidRDefault="00F51219" w:rsidP="00F51219">
            <w:pPr>
              <w:spacing w:before="240" w:after="240"/>
              <w:rPr>
                <w:bCs/>
                <w:sz w:val="28"/>
                <w:szCs w:val="28"/>
                <w:lang w:val="es-ES"/>
              </w:rPr>
            </w:pPr>
          </w:p>
          <w:p w14:paraId="40A5D3E8" w14:textId="77777777" w:rsidR="00F51219" w:rsidRDefault="00F51219" w:rsidP="00F51219">
            <w:pPr>
              <w:spacing w:before="240" w:after="240"/>
              <w:rPr>
                <w:bCs/>
                <w:sz w:val="28"/>
                <w:szCs w:val="28"/>
                <w:lang w:val="es-ES"/>
              </w:rPr>
            </w:pPr>
          </w:p>
          <w:p w14:paraId="79CA522F" w14:textId="77777777" w:rsidR="00F51219" w:rsidRDefault="00F51219" w:rsidP="00F51219">
            <w:pPr>
              <w:spacing w:before="240" w:after="240"/>
              <w:rPr>
                <w:bCs/>
                <w:sz w:val="28"/>
                <w:szCs w:val="28"/>
                <w:lang w:val="es-ES"/>
              </w:rPr>
            </w:pPr>
          </w:p>
          <w:p w14:paraId="645932EE" w14:textId="77777777" w:rsidR="00F51219" w:rsidRDefault="00F51219" w:rsidP="00F51219">
            <w:pPr>
              <w:spacing w:before="240" w:after="240"/>
              <w:rPr>
                <w:bCs/>
                <w:sz w:val="28"/>
                <w:szCs w:val="28"/>
                <w:lang w:val="es-ES"/>
              </w:rPr>
            </w:pPr>
          </w:p>
          <w:p w14:paraId="2C3099DA" w14:textId="77777777" w:rsidR="00F51219" w:rsidRDefault="00F51219" w:rsidP="00F51219">
            <w:pPr>
              <w:spacing w:before="240" w:after="240"/>
              <w:rPr>
                <w:bCs/>
                <w:sz w:val="28"/>
                <w:szCs w:val="28"/>
                <w:lang w:val="es-ES"/>
              </w:rPr>
            </w:pPr>
          </w:p>
          <w:p w14:paraId="3EE34690" w14:textId="77777777" w:rsidR="00F51219" w:rsidRDefault="00F51219" w:rsidP="00F51219">
            <w:pPr>
              <w:spacing w:before="240" w:after="240"/>
              <w:rPr>
                <w:bCs/>
                <w:sz w:val="28"/>
                <w:szCs w:val="28"/>
                <w:lang w:val="es-ES"/>
              </w:rPr>
            </w:pPr>
          </w:p>
          <w:p w14:paraId="09B0AC9F" w14:textId="0F515980" w:rsidR="00F51219" w:rsidRPr="00712D8F" w:rsidRDefault="00F51219" w:rsidP="00F51219">
            <w:pPr>
              <w:spacing w:before="240" w:after="240"/>
              <w:rPr>
                <w:bCs/>
                <w:sz w:val="28"/>
                <w:szCs w:val="28"/>
                <w:lang w:val="es-ES"/>
              </w:rPr>
            </w:pPr>
          </w:p>
        </w:tc>
      </w:tr>
      <w:tr w:rsidR="002349B9" w:rsidRPr="008C2736" w14:paraId="5E28C87F" w14:textId="77777777" w:rsidTr="001B5120">
        <w:trPr>
          <w:gridBefore w:val="1"/>
          <w:wBefore w:w="450" w:type="dxa"/>
        </w:trPr>
        <w:tc>
          <w:tcPr>
            <w:tcW w:w="10031" w:type="dxa"/>
            <w:gridSpan w:val="2"/>
            <w:tcBorders>
              <w:top w:val="nil"/>
              <w:left w:val="nil"/>
              <w:bottom w:val="nil"/>
              <w:right w:val="nil"/>
            </w:tcBorders>
            <w:vAlign w:val="center"/>
          </w:tcPr>
          <w:p w14:paraId="63C93C4A" w14:textId="65892851" w:rsidR="002349B9" w:rsidRDefault="002349B9" w:rsidP="006A319A">
            <w:pPr>
              <w:spacing w:before="0"/>
              <w:jc w:val="center"/>
              <w:rPr>
                <w:bCs/>
                <w:sz w:val="28"/>
                <w:szCs w:val="28"/>
              </w:rPr>
            </w:pPr>
          </w:p>
          <w:p w14:paraId="50C403E4" w14:textId="08CFD671" w:rsidR="002349B9" w:rsidRPr="00962487" w:rsidRDefault="002349B9" w:rsidP="009E7FA8">
            <w:pPr>
              <w:jc w:val="center"/>
              <w:rPr>
                <w:bCs/>
                <w:sz w:val="28"/>
                <w:szCs w:val="28"/>
              </w:rPr>
            </w:pPr>
          </w:p>
          <w:p w14:paraId="15905C12" w14:textId="50CB2CB4" w:rsidR="002349B9" w:rsidRPr="008C2736" w:rsidRDefault="002349B9" w:rsidP="009E7FA8">
            <w:pPr>
              <w:spacing w:after="0"/>
              <w:jc w:val="center"/>
              <w:rPr>
                <w:bCs/>
                <w:i/>
                <w:sz w:val="28"/>
                <w:szCs w:val="28"/>
                <w:lang w:val="es-ES"/>
              </w:rPr>
            </w:pPr>
          </w:p>
        </w:tc>
      </w:tr>
    </w:tbl>
    <w:p w14:paraId="43E264C3" w14:textId="46EAD72F" w:rsidR="00FF3572" w:rsidRDefault="00FF3572"/>
    <w:tbl>
      <w:tblPr>
        <w:tblW w:w="9918"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115" w:type="dxa"/>
          <w:right w:w="115" w:type="dxa"/>
        </w:tblCellMar>
        <w:tblLook w:val="0000" w:firstRow="0" w:lastRow="0" w:firstColumn="0" w:lastColumn="0" w:noHBand="0" w:noVBand="0"/>
      </w:tblPr>
      <w:tblGrid>
        <w:gridCol w:w="822"/>
        <w:gridCol w:w="1876"/>
        <w:gridCol w:w="1877"/>
        <w:gridCol w:w="1877"/>
        <w:gridCol w:w="1733"/>
        <w:gridCol w:w="1733"/>
      </w:tblGrid>
      <w:tr w:rsidR="00FF3572" w:rsidRPr="00D90C82" w14:paraId="46A6FC40" w14:textId="77777777" w:rsidTr="00FF3572">
        <w:trPr>
          <w:cantSplit/>
          <w:trHeight w:hRule="exact" w:val="504"/>
        </w:trPr>
        <w:tc>
          <w:tcPr>
            <w:tcW w:w="9918" w:type="dxa"/>
            <w:gridSpan w:val="6"/>
            <w:shd w:val="clear" w:color="auto" w:fill="002060"/>
            <w:noWrap/>
            <w:tcMar>
              <w:bottom w:w="58" w:type="dxa"/>
            </w:tcMar>
            <w:vAlign w:val="bottom"/>
          </w:tcPr>
          <w:tbl>
            <w:tblPr>
              <w:tblW w:w="991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115" w:type="dxa"/>
                <w:right w:w="115" w:type="dxa"/>
              </w:tblCellMar>
              <w:tblLook w:val="0000" w:firstRow="0" w:lastRow="0" w:firstColumn="0" w:lastColumn="0" w:noHBand="0" w:noVBand="0"/>
            </w:tblPr>
            <w:tblGrid>
              <w:gridCol w:w="822"/>
              <w:gridCol w:w="1876"/>
              <w:gridCol w:w="1877"/>
              <w:gridCol w:w="1877"/>
              <w:gridCol w:w="1733"/>
              <w:gridCol w:w="1733"/>
            </w:tblGrid>
            <w:tr w:rsidR="000C7E45" w:rsidRPr="00D90C82" w14:paraId="36D31F0A" w14:textId="77777777" w:rsidTr="009569EA">
              <w:trPr>
                <w:cantSplit/>
                <w:trHeight w:hRule="exact" w:val="504"/>
              </w:trPr>
              <w:tc>
                <w:tcPr>
                  <w:tcW w:w="9918" w:type="dxa"/>
                  <w:gridSpan w:val="6"/>
                  <w:shd w:val="clear" w:color="auto" w:fill="002060"/>
                  <w:noWrap/>
                  <w:tcMar>
                    <w:bottom w:w="58" w:type="dxa"/>
                  </w:tcMar>
                  <w:vAlign w:val="bottom"/>
                </w:tcPr>
                <w:p w14:paraId="02CE139D" w14:textId="77777777" w:rsidR="000C7E45" w:rsidRPr="00D90C82" w:rsidRDefault="000C7E45" w:rsidP="000C7E45">
                  <w:pPr>
                    <w:pStyle w:val="Weekdays"/>
                    <w:rPr>
                      <w:rFonts w:ascii="Times New Roman" w:hAnsi="Times New Roman"/>
                      <w:color w:val="FFFFFF" w:themeColor="background1"/>
                    </w:rPr>
                  </w:pPr>
                  <w:r w:rsidRPr="00D90C82">
                    <w:rPr>
                      <w:rFonts w:ascii="Times New Roman" w:hAnsi="Times New Roman"/>
                      <w:color w:val="FFFFFF" w:themeColor="background1"/>
                      <w:sz w:val="32"/>
                    </w:rPr>
                    <w:t>Calendario Económico</w:t>
                  </w:r>
                </w:p>
              </w:tc>
            </w:tr>
            <w:tr w:rsidR="000C7E45" w:rsidRPr="00D90C82" w14:paraId="71793D15" w14:textId="77777777" w:rsidTr="009569EA">
              <w:trPr>
                <w:cantSplit/>
                <w:trHeight w:hRule="exact" w:val="259"/>
              </w:trPr>
              <w:tc>
                <w:tcPr>
                  <w:tcW w:w="822" w:type="dxa"/>
                  <w:shd w:val="clear" w:color="auto" w:fill="002060"/>
                  <w:noWrap/>
                  <w:tcMar>
                    <w:bottom w:w="58" w:type="dxa"/>
                  </w:tcMar>
                  <w:vAlign w:val="bottom"/>
                </w:tcPr>
                <w:p w14:paraId="5C5A9488" w14:textId="77777777" w:rsidR="000C7E45" w:rsidRPr="00D90C82" w:rsidRDefault="000C7E45" w:rsidP="000C7E45">
                  <w:pPr>
                    <w:pStyle w:val="Weekdays"/>
                    <w:rPr>
                      <w:rFonts w:ascii="Times New Roman" w:hAnsi="Times New Roman"/>
                    </w:rPr>
                  </w:pPr>
                  <w:r w:rsidRPr="00D90C82">
                    <w:rPr>
                      <w:rFonts w:ascii="Times New Roman" w:hAnsi="Times New Roman"/>
                    </w:rPr>
                    <w:br w:type="page"/>
                  </w:r>
                  <w:r w:rsidRPr="00D90C82">
                    <w:rPr>
                      <w:rFonts w:ascii="Times New Roman" w:hAnsi="Times New Roman"/>
                    </w:rPr>
                    <w:br w:type="page"/>
                    <w:t>Países</w:t>
                  </w:r>
                </w:p>
                <w:p w14:paraId="1A010458" w14:textId="77777777" w:rsidR="000C7E45" w:rsidRPr="00D90C82" w:rsidRDefault="000C7E45" w:rsidP="000C7E45">
                  <w:pPr>
                    <w:pStyle w:val="Weekdays"/>
                    <w:rPr>
                      <w:rFonts w:ascii="Times New Roman" w:hAnsi="Times New Roman"/>
                    </w:rPr>
                  </w:pPr>
                </w:p>
                <w:p w14:paraId="34105CC4" w14:textId="77777777" w:rsidR="000C7E45" w:rsidRPr="00D90C82" w:rsidRDefault="000C7E45" w:rsidP="000C7E45">
                  <w:pPr>
                    <w:pStyle w:val="Weekdays"/>
                    <w:rPr>
                      <w:rFonts w:ascii="Times New Roman" w:hAnsi="Times New Roman"/>
                    </w:rPr>
                  </w:pPr>
                </w:p>
              </w:tc>
              <w:tc>
                <w:tcPr>
                  <w:tcW w:w="1876" w:type="dxa"/>
                  <w:shd w:val="clear" w:color="auto" w:fill="002060"/>
                  <w:noWrap/>
                  <w:tcMar>
                    <w:bottom w:w="58" w:type="dxa"/>
                  </w:tcMar>
                  <w:vAlign w:val="bottom"/>
                </w:tcPr>
                <w:p w14:paraId="72C398E7" w14:textId="77777777" w:rsidR="000C7E45" w:rsidRPr="00D90C82" w:rsidRDefault="000C7E45" w:rsidP="000C7E45">
                  <w:pPr>
                    <w:pStyle w:val="Weekdays"/>
                    <w:rPr>
                      <w:rFonts w:ascii="Times New Roman" w:hAnsi="Times New Roman"/>
                      <w:color w:val="FFFFFF" w:themeColor="background1"/>
                    </w:rPr>
                  </w:pPr>
                  <w:r w:rsidRPr="00D90C82">
                    <w:rPr>
                      <w:rFonts w:ascii="Times New Roman" w:hAnsi="Times New Roman"/>
                      <w:color w:val="FFFFFF" w:themeColor="background1"/>
                    </w:rPr>
                    <w:t>Lunes</w:t>
                  </w:r>
                </w:p>
              </w:tc>
              <w:tc>
                <w:tcPr>
                  <w:tcW w:w="1877" w:type="dxa"/>
                  <w:shd w:val="clear" w:color="auto" w:fill="002060"/>
                  <w:noWrap/>
                  <w:tcMar>
                    <w:bottom w:w="58" w:type="dxa"/>
                  </w:tcMar>
                  <w:vAlign w:val="bottom"/>
                </w:tcPr>
                <w:p w14:paraId="54CDBD9E" w14:textId="77777777" w:rsidR="000C7E45" w:rsidRPr="00D90C82" w:rsidRDefault="000C7E45" w:rsidP="000C7E45">
                  <w:pPr>
                    <w:pStyle w:val="Weekdays"/>
                    <w:rPr>
                      <w:rFonts w:ascii="Times New Roman" w:hAnsi="Times New Roman"/>
                      <w:color w:val="FFFFFF" w:themeColor="background1"/>
                    </w:rPr>
                  </w:pPr>
                  <w:r w:rsidRPr="00D90C82">
                    <w:rPr>
                      <w:rFonts w:ascii="Times New Roman" w:hAnsi="Times New Roman"/>
                      <w:color w:val="FFFFFF" w:themeColor="background1"/>
                    </w:rPr>
                    <w:t>Martes</w:t>
                  </w:r>
                </w:p>
              </w:tc>
              <w:tc>
                <w:tcPr>
                  <w:tcW w:w="1877" w:type="dxa"/>
                  <w:shd w:val="clear" w:color="auto" w:fill="002060"/>
                  <w:noWrap/>
                  <w:tcMar>
                    <w:bottom w:w="58" w:type="dxa"/>
                  </w:tcMar>
                  <w:vAlign w:val="bottom"/>
                </w:tcPr>
                <w:p w14:paraId="73F03F38" w14:textId="77777777" w:rsidR="000C7E45" w:rsidRPr="00D90C82" w:rsidRDefault="000C7E45" w:rsidP="000C7E45">
                  <w:pPr>
                    <w:pStyle w:val="Weekdays"/>
                    <w:rPr>
                      <w:rFonts w:ascii="Times New Roman" w:hAnsi="Times New Roman"/>
                      <w:color w:val="FFFFFF" w:themeColor="background1"/>
                    </w:rPr>
                  </w:pPr>
                  <w:r w:rsidRPr="00D90C82">
                    <w:rPr>
                      <w:rFonts w:ascii="Times New Roman" w:hAnsi="Times New Roman"/>
                      <w:color w:val="FFFFFF" w:themeColor="background1"/>
                    </w:rPr>
                    <w:t>Miércoles</w:t>
                  </w:r>
                </w:p>
              </w:tc>
              <w:tc>
                <w:tcPr>
                  <w:tcW w:w="1733" w:type="dxa"/>
                  <w:shd w:val="clear" w:color="auto" w:fill="002060"/>
                  <w:noWrap/>
                  <w:tcMar>
                    <w:bottom w:w="58" w:type="dxa"/>
                  </w:tcMar>
                  <w:vAlign w:val="bottom"/>
                </w:tcPr>
                <w:p w14:paraId="62B64BF7" w14:textId="77777777" w:rsidR="000C7E45" w:rsidRPr="00D90C82" w:rsidRDefault="000C7E45" w:rsidP="000C7E45">
                  <w:pPr>
                    <w:pStyle w:val="Weekdays"/>
                    <w:rPr>
                      <w:rFonts w:ascii="Times New Roman" w:hAnsi="Times New Roman"/>
                      <w:color w:val="FFFFFF" w:themeColor="background1"/>
                    </w:rPr>
                  </w:pPr>
                  <w:r w:rsidRPr="00D90C82">
                    <w:rPr>
                      <w:rFonts w:ascii="Times New Roman" w:hAnsi="Times New Roman"/>
                      <w:color w:val="FFFFFF" w:themeColor="background1"/>
                    </w:rPr>
                    <w:t>Jueves</w:t>
                  </w:r>
                </w:p>
              </w:tc>
              <w:tc>
                <w:tcPr>
                  <w:tcW w:w="1733" w:type="dxa"/>
                  <w:shd w:val="clear" w:color="auto" w:fill="002060"/>
                  <w:noWrap/>
                  <w:tcMar>
                    <w:bottom w:w="58" w:type="dxa"/>
                  </w:tcMar>
                  <w:vAlign w:val="bottom"/>
                </w:tcPr>
                <w:p w14:paraId="068D300E" w14:textId="77777777" w:rsidR="000C7E45" w:rsidRPr="00D90C82" w:rsidRDefault="000C7E45" w:rsidP="000C7E45">
                  <w:pPr>
                    <w:pStyle w:val="Weekdays"/>
                    <w:rPr>
                      <w:rFonts w:ascii="Times New Roman" w:hAnsi="Times New Roman"/>
                      <w:color w:val="FFFFFF" w:themeColor="background1"/>
                    </w:rPr>
                  </w:pPr>
                  <w:r w:rsidRPr="00D90C82">
                    <w:rPr>
                      <w:rFonts w:ascii="Times New Roman" w:hAnsi="Times New Roman"/>
                      <w:color w:val="FFFFFF" w:themeColor="background1"/>
                    </w:rPr>
                    <w:t>Viernes</w:t>
                  </w:r>
                </w:p>
              </w:tc>
            </w:tr>
            <w:tr w:rsidR="000C7E45" w:rsidRPr="00D90C82" w14:paraId="0A4653F1" w14:textId="77777777" w:rsidTr="009569EA">
              <w:trPr>
                <w:cantSplit/>
                <w:trHeight w:hRule="exact" w:val="1584"/>
              </w:trPr>
              <w:tc>
                <w:tcPr>
                  <w:tcW w:w="822" w:type="dxa"/>
                  <w:shd w:val="clear" w:color="auto" w:fill="auto"/>
                </w:tcPr>
                <w:p w14:paraId="53295114" w14:textId="77777777" w:rsidR="000C7E45" w:rsidRPr="00D90C82" w:rsidRDefault="000C7E45" w:rsidP="000C7E45">
                  <w:pPr>
                    <w:pStyle w:val="Dates"/>
                    <w:jc w:val="center"/>
                    <w:rPr>
                      <w:rFonts w:ascii="Times New Roman" w:hAnsi="Times New Roman" w:cs="Times New Roman"/>
                      <w:sz w:val="40"/>
                      <w:szCs w:val="40"/>
                    </w:rPr>
                  </w:pPr>
                </w:p>
                <w:p w14:paraId="73184F3E" w14:textId="77777777" w:rsidR="000C7E45" w:rsidRPr="00D90C82" w:rsidRDefault="000C7E45" w:rsidP="000C7E45">
                  <w:pPr>
                    <w:pStyle w:val="Dates"/>
                    <w:jc w:val="center"/>
                    <w:rPr>
                      <w:rFonts w:ascii="Times New Roman" w:hAnsi="Times New Roman" w:cs="Times New Roman"/>
                      <w:sz w:val="28"/>
                      <w:szCs w:val="28"/>
                    </w:rPr>
                  </w:pPr>
                  <w:r w:rsidRPr="00D90C82">
                    <w:rPr>
                      <w:rFonts w:ascii="Times New Roman" w:hAnsi="Times New Roman" w:cs="Times New Roman"/>
                      <w:sz w:val="28"/>
                      <w:szCs w:val="28"/>
                    </w:rPr>
                    <w:t>USA</w:t>
                  </w:r>
                </w:p>
              </w:tc>
              <w:tc>
                <w:tcPr>
                  <w:tcW w:w="1876" w:type="dxa"/>
                  <w:shd w:val="clear" w:color="auto" w:fill="auto"/>
                </w:tcPr>
                <w:p w14:paraId="06A4FBB5" w14:textId="77777777" w:rsidR="000C7E45" w:rsidRPr="00D90C82" w:rsidRDefault="000C7E45" w:rsidP="000C7E45">
                  <w:pPr>
                    <w:pStyle w:val="Dates"/>
                    <w:spacing w:before="120"/>
                    <w:rPr>
                      <w:rFonts w:ascii="Times New Roman" w:hAnsi="Times New Roman" w:cs="Times New Roman"/>
                    </w:rPr>
                  </w:pPr>
                </w:p>
              </w:tc>
              <w:tc>
                <w:tcPr>
                  <w:tcW w:w="1877" w:type="dxa"/>
                  <w:shd w:val="clear" w:color="auto" w:fill="auto"/>
                </w:tcPr>
                <w:p w14:paraId="0258FDBD" w14:textId="77777777" w:rsidR="000C7E45" w:rsidRDefault="000C7E45" w:rsidP="000C7E45">
                  <w:pPr>
                    <w:pStyle w:val="Dates"/>
                    <w:spacing w:before="120"/>
                    <w:rPr>
                      <w:rFonts w:ascii="Times New Roman" w:hAnsi="Times New Roman" w:cs="Times New Roman"/>
                      <w:b/>
                    </w:rPr>
                  </w:pPr>
                  <w:r>
                    <w:rPr>
                      <w:rFonts w:ascii="Times New Roman" w:hAnsi="Times New Roman" w:cs="Times New Roman"/>
                      <w:b/>
                    </w:rPr>
                    <w:t xml:space="preserve">ISM PMI </w:t>
                  </w:r>
                  <w:proofErr w:type="spellStart"/>
                  <w:r>
                    <w:rPr>
                      <w:rFonts w:ascii="Times New Roman" w:hAnsi="Times New Roman" w:cs="Times New Roman"/>
                      <w:b/>
                    </w:rPr>
                    <w:t>Manuf</w:t>
                  </w:r>
                  <w:proofErr w:type="spellEnd"/>
                  <w:r>
                    <w:rPr>
                      <w:rFonts w:ascii="Times New Roman" w:hAnsi="Times New Roman" w:cs="Times New Roman"/>
                      <w:b/>
                    </w:rPr>
                    <w:t>.</w:t>
                  </w:r>
                </w:p>
                <w:p w14:paraId="2B0AEADE" w14:textId="77777777" w:rsidR="000C7E45" w:rsidRPr="00D90C82" w:rsidRDefault="000C7E45" w:rsidP="000C7E45">
                  <w:pPr>
                    <w:pStyle w:val="Dates"/>
                    <w:spacing w:before="120"/>
                    <w:rPr>
                      <w:rFonts w:ascii="Times New Roman" w:hAnsi="Times New Roman" w:cs="Times New Roman"/>
                    </w:rPr>
                  </w:pPr>
                  <w:proofErr w:type="spellStart"/>
                  <w:r w:rsidRPr="0023794F">
                    <w:rPr>
                      <w:rFonts w:ascii="Times New Roman" w:hAnsi="Times New Roman" w:cs="Times New Roman"/>
                      <w:i/>
                      <w:sz w:val="18"/>
                      <w:szCs w:val="18"/>
                      <w:lang w:val="es-MX"/>
                    </w:rPr>
                    <w:t>Est</w:t>
                  </w:r>
                  <w:proofErr w:type="spellEnd"/>
                  <w:r w:rsidRPr="0023794F">
                    <w:rPr>
                      <w:rFonts w:ascii="Times New Roman" w:hAnsi="Times New Roman" w:cs="Times New Roman"/>
                      <w:i/>
                      <w:sz w:val="18"/>
                      <w:szCs w:val="18"/>
                      <w:lang w:val="es-MX"/>
                    </w:rPr>
                    <w:t>.</w:t>
                  </w:r>
                  <w:r>
                    <w:rPr>
                      <w:rFonts w:ascii="Times New Roman" w:hAnsi="Times New Roman" w:cs="Times New Roman"/>
                      <w:i/>
                      <w:sz w:val="18"/>
                      <w:szCs w:val="18"/>
                      <w:lang w:val="es-MX"/>
                    </w:rPr>
                    <w:t xml:space="preserve"> 57.9</w:t>
                  </w:r>
                </w:p>
              </w:tc>
              <w:tc>
                <w:tcPr>
                  <w:tcW w:w="1877" w:type="dxa"/>
                  <w:shd w:val="clear" w:color="auto" w:fill="auto"/>
                </w:tcPr>
                <w:p w14:paraId="5CE10AC2" w14:textId="77777777" w:rsidR="000C7E45" w:rsidRPr="00A870D7" w:rsidRDefault="000C7E45" w:rsidP="000C7E45">
                  <w:pPr>
                    <w:pStyle w:val="Dates"/>
                    <w:spacing w:before="120"/>
                    <w:rPr>
                      <w:rFonts w:ascii="Times New Roman" w:hAnsi="Times New Roman" w:cs="Times New Roman"/>
                      <w:b/>
                      <w:lang w:val="es-MX"/>
                    </w:rPr>
                  </w:pPr>
                  <w:r>
                    <w:rPr>
                      <w:rFonts w:ascii="Times New Roman" w:hAnsi="Times New Roman" w:cs="Times New Roman"/>
                      <w:b/>
                    </w:rPr>
                    <w:t>Var. Empleos no Agrícolas ADP (feb)</w:t>
                  </w:r>
                </w:p>
              </w:tc>
              <w:tc>
                <w:tcPr>
                  <w:tcW w:w="1733" w:type="dxa"/>
                  <w:shd w:val="clear" w:color="auto" w:fill="auto"/>
                </w:tcPr>
                <w:p w14:paraId="4066A997" w14:textId="77777777" w:rsidR="000C7E45" w:rsidRPr="000C7E45" w:rsidRDefault="000C7E45" w:rsidP="000C7E45">
                  <w:pPr>
                    <w:pStyle w:val="Dates"/>
                    <w:spacing w:before="120"/>
                    <w:rPr>
                      <w:rFonts w:ascii="Times New Roman" w:hAnsi="Times New Roman" w:cs="Times New Roman"/>
                      <w:b/>
                      <w:lang w:val="en-US"/>
                    </w:rPr>
                  </w:pPr>
                  <w:r w:rsidRPr="000C7E45">
                    <w:rPr>
                      <w:rFonts w:ascii="Times New Roman" w:hAnsi="Times New Roman" w:cs="Times New Roman"/>
                      <w:b/>
                      <w:lang w:val="en-US"/>
                    </w:rPr>
                    <w:t>ISM PMI no Manuf.</w:t>
                  </w:r>
                </w:p>
                <w:p w14:paraId="3D84DC06" w14:textId="77777777" w:rsidR="000C7E45" w:rsidRPr="000C7E45" w:rsidRDefault="000C7E45" w:rsidP="000C7E45">
                  <w:pPr>
                    <w:pStyle w:val="Dates"/>
                    <w:spacing w:before="120"/>
                    <w:rPr>
                      <w:rFonts w:ascii="Times New Roman" w:hAnsi="Times New Roman" w:cs="Times New Roman"/>
                      <w:lang w:val="en-US"/>
                    </w:rPr>
                  </w:pPr>
                  <w:r w:rsidRPr="000C7E45">
                    <w:rPr>
                      <w:rFonts w:ascii="Times New Roman" w:hAnsi="Times New Roman" w:cs="Times New Roman"/>
                      <w:i/>
                      <w:sz w:val="18"/>
                      <w:szCs w:val="18"/>
                      <w:lang w:val="en-US"/>
                    </w:rPr>
                    <w:t xml:space="preserve">Est. 60.5 </w:t>
                  </w:r>
                </w:p>
              </w:tc>
              <w:tc>
                <w:tcPr>
                  <w:tcW w:w="1733" w:type="dxa"/>
                  <w:shd w:val="clear" w:color="auto" w:fill="auto"/>
                </w:tcPr>
                <w:p w14:paraId="2CF9A7AD" w14:textId="77777777" w:rsidR="000C7E45" w:rsidRDefault="000C7E45" w:rsidP="000C7E45">
                  <w:pPr>
                    <w:pStyle w:val="Dates"/>
                    <w:spacing w:before="120"/>
                    <w:rPr>
                      <w:rFonts w:ascii="Times New Roman" w:hAnsi="Times New Roman" w:cs="Times New Roman"/>
                      <w:b/>
                    </w:rPr>
                  </w:pPr>
                  <w:r>
                    <w:rPr>
                      <w:rFonts w:ascii="Times New Roman" w:hAnsi="Times New Roman" w:cs="Times New Roman"/>
                      <w:b/>
                    </w:rPr>
                    <w:t>Informe de Empleo (feb)</w:t>
                  </w:r>
                </w:p>
                <w:p w14:paraId="00A254FE" w14:textId="77777777" w:rsidR="000C7E45" w:rsidRDefault="000C7E45" w:rsidP="000C7E45">
                  <w:pPr>
                    <w:pStyle w:val="Dates"/>
                    <w:spacing w:before="120"/>
                    <w:rPr>
                      <w:rFonts w:ascii="Times New Roman" w:hAnsi="Times New Roman" w:cs="Times New Roman"/>
                      <w:b/>
                    </w:rPr>
                  </w:pPr>
                  <w:r>
                    <w:rPr>
                      <w:rFonts w:ascii="Times New Roman" w:hAnsi="Times New Roman" w:cs="Times New Roman"/>
                      <w:b/>
                    </w:rPr>
                    <w:t>NFP:</w:t>
                  </w:r>
                </w:p>
                <w:p w14:paraId="6EA35023" w14:textId="77777777" w:rsidR="000C7E45" w:rsidRPr="008F0EB5" w:rsidRDefault="000C7E45" w:rsidP="000C7E45">
                  <w:pPr>
                    <w:pStyle w:val="Dates"/>
                    <w:spacing w:before="120"/>
                    <w:rPr>
                      <w:rFonts w:ascii="Times New Roman" w:hAnsi="Times New Roman" w:cs="Times New Roman"/>
                      <w:b/>
                    </w:rPr>
                  </w:pPr>
                  <w:r>
                    <w:rPr>
                      <w:rFonts w:ascii="Times New Roman" w:hAnsi="Times New Roman" w:cs="Times New Roman"/>
                      <w:b/>
                    </w:rPr>
                    <w:t xml:space="preserve"> </w:t>
                  </w:r>
                  <w:proofErr w:type="spellStart"/>
                  <w:r w:rsidRPr="0023794F">
                    <w:rPr>
                      <w:rFonts w:ascii="Times New Roman" w:hAnsi="Times New Roman" w:cs="Times New Roman"/>
                      <w:i/>
                      <w:sz w:val="18"/>
                      <w:szCs w:val="18"/>
                      <w:lang w:val="es-MX"/>
                    </w:rPr>
                    <w:t>Est</w:t>
                  </w:r>
                  <w:proofErr w:type="spellEnd"/>
                  <w:r w:rsidRPr="0023794F">
                    <w:rPr>
                      <w:rFonts w:ascii="Times New Roman" w:hAnsi="Times New Roman" w:cs="Times New Roman"/>
                      <w:i/>
                      <w:sz w:val="18"/>
                      <w:szCs w:val="18"/>
                      <w:lang w:val="es-MX"/>
                    </w:rPr>
                    <w:t>.</w:t>
                  </w:r>
                  <w:r>
                    <w:rPr>
                      <w:rFonts w:ascii="Times New Roman" w:hAnsi="Times New Roman" w:cs="Times New Roman"/>
                      <w:i/>
                      <w:sz w:val="18"/>
                      <w:szCs w:val="18"/>
                      <w:lang w:val="es-MX"/>
                    </w:rPr>
                    <w:t xml:space="preserve"> 438K</w:t>
                  </w:r>
                </w:p>
              </w:tc>
            </w:tr>
            <w:tr w:rsidR="000C7E45" w:rsidRPr="00D90C82" w14:paraId="12A9AF52" w14:textId="77777777" w:rsidTr="009569EA">
              <w:trPr>
                <w:cantSplit/>
                <w:trHeight w:hRule="exact" w:val="1584"/>
              </w:trPr>
              <w:tc>
                <w:tcPr>
                  <w:tcW w:w="822" w:type="dxa"/>
                  <w:shd w:val="clear" w:color="auto" w:fill="auto"/>
                  <w:tcMar>
                    <w:top w:w="115" w:type="dxa"/>
                    <w:left w:w="115" w:type="dxa"/>
                    <w:bottom w:w="115" w:type="dxa"/>
                    <w:right w:w="115" w:type="dxa"/>
                  </w:tcMar>
                </w:tcPr>
                <w:p w14:paraId="470F01EB" w14:textId="77777777" w:rsidR="000C7E45" w:rsidRPr="00D90C82" w:rsidRDefault="000C7E45" w:rsidP="000C7E45">
                  <w:pPr>
                    <w:pStyle w:val="Dates"/>
                    <w:jc w:val="center"/>
                    <w:rPr>
                      <w:rFonts w:ascii="Times New Roman" w:hAnsi="Times New Roman" w:cs="Times New Roman"/>
                      <w:sz w:val="28"/>
                      <w:szCs w:val="28"/>
                    </w:rPr>
                  </w:pPr>
                </w:p>
                <w:p w14:paraId="25C96525" w14:textId="77777777" w:rsidR="000C7E45" w:rsidRPr="00D90C82" w:rsidRDefault="000C7E45" w:rsidP="000C7E45">
                  <w:pPr>
                    <w:pStyle w:val="Dates"/>
                    <w:jc w:val="center"/>
                    <w:rPr>
                      <w:rFonts w:ascii="Times New Roman" w:hAnsi="Times New Roman" w:cs="Times New Roman"/>
                      <w:sz w:val="28"/>
                      <w:szCs w:val="28"/>
                    </w:rPr>
                  </w:pPr>
                </w:p>
                <w:p w14:paraId="3A3A0EF0" w14:textId="77777777" w:rsidR="000C7E45" w:rsidRPr="00D90C82" w:rsidRDefault="000C7E45" w:rsidP="000C7E45">
                  <w:pPr>
                    <w:pStyle w:val="Dates"/>
                    <w:jc w:val="center"/>
                    <w:rPr>
                      <w:rFonts w:ascii="Times New Roman" w:hAnsi="Times New Roman" w:cs="Times New Roman"/>
                    </w:rPr>
                  </w:pPr>
                  <w:r w:rsidRPr="00D90C82">
                    <w:rPr>
                      <w:rFonts w:ascii="Times New Roman" w:hAnsi="Times New Roman" w:cs="Times New Roman"/>
                      <w:sz w:val="28"/>
                      <w:szCs w:val="28"/>
                    </w:rPr>
                    <w:t>EU</w:t>
                  </w:r>
                </w:p>
              </w:tc>
              <w:tc>
                <w:tcPr>
                  <w:tcW w:w="1876" w:type="dxa"/>
                  <w:shd w:val="clear" w:color="auto" w:fill="auto"/>
                  <w:tcMar>
                    <w:top w:w="115" w:type="dxa"/>
                    <w:left w:w="115" w:type="dxa"/>
                    <w:bottom w:w="115" w:type="dxa"/>
                    <w:right w:w="115" w:type="dxa"/>
                  </w:tcMar>
                </w:tcPr>
                <w:p w14:paraId="605BE680" w14:textId="77777777" w:rsidR="000C7E45" w:rsidRPr="00D90C82" w:rsidRDefault="000C7E45" w:rsidP="000C7E45">
                  <w:pPr>
                    <w:pStyle w:val="Dates"/>
                    <w:spacing w:before="120"/>
                    <w:rPr>
                      <w:rFonts w:ascii="Times New Roman" w:hAnsi="Times New Roman" w:cs="Times New Roman"/>
                    </w:rPr>
                  </w:pPr>
                </w:p>
              </w:tc>
              <w:tc>
                <w:tcPr>
                  <w:tcW w:w="1877" w:type="dxa"/>
                  <w:shd w:val="clear" w:color="auto" w:fill="auto"/>
                  <w:tcMar>
                    <w:top w:w="115" w:type="dxa"/>
                    <w:left w:w="115" w:type="dxa"/>
                    <w:bottom w:w="115" w:type="dxa"/>
                    <w:right w:w="115" w:type="dxa"/>
                  </w:tcMar>
                </w:tcPr>
                <w:p w14:paraId="40A6AA1F" w14:textId="77777777" w:rsidR="000C7E45" w:rsidRDefault="000C7E45" w:rsidP="000C7E45">
                  <w:pPr>
                    <w:pStyle w:val="Dates"/>
                    <w:spacing w:before="120"/>
                    <w:rPr>
                      <w:rFonts w:ascii="Times New Roman" w:hAnsi="Times New Roman" w:cs="Times New Roman"/>
                      <w:b/>
                    </w:rPr>
                  </w:pPr>
                  <w:proofErr w:type="spellStart"/>
                  <w:r>
                    <w:rPr>
                      <w:rFonts w:ascii="Times New Roman" w:hAnsi="Times New Roman" w:cs="Times New Roman"/>
                      <w:b/>
                    </w:rPr>
                    <w:t>Markit</w:t>
                  </w:r>
                  <w:proofErr w:type="spellEnd"/>
                  <w:r>
                    <w:rPr>
                      <w:rFonts w:ascii="Times New Roman" w:hAnsi="Times New Roman" w:cs="Times New Roman"/>
                      <w:b/>
                    </w:rPr>
                    <w:t xml:space="preserve"> PMI </w:t>
                  </w:r>
                  <w:proofErr w:type="spellStart"/>
                  <w:r>
                    <w:rPr>
                      <w:rFonts w:ascii="Times New Roman" w:hAnsi="Times New Roman" w:cs="Times New Roman"/>
                      <w:b/>
                    </w:rPr>
                    <w:t>Manuf</w:t>
                  </w:r>
                  <w:proofErr w:type="spellEnd"/>
                  <w:r>
                    <w:rPr>
                      <w:rFonts w:ascii="Times New Roman" w:hAnsi="Times New Roman" w:cs="Times New Roman"/>
                      <w:b/>
                    </w:rPr>
                    <w:t>. (feb)</w:t>
                  </w:r>
                </w:p>
                <w:p w14:paraId="54D93722" w14:textId="77777777" w:rsidR="000C7E45" w:rsidRPr="00D90C82" w:rsidRDefault="000C7E45" w:rsidP="000C7E45">
                  <w:pPr>
                    <w:pStyle w:val="Dates"/>
                    <w:spacing w:before="120"/>
                    <w:rPr>
                      <w:rFonts w:ascii="Times New Roman" w:hAnsi="Times New Roman" w:cs="Times New Roman"/>
                      <w:b/>
                    </w:rPr>
                  </w:pPr>
                </w:p>
              </w:tc>
              <w:tc>
                <w:tcPr>
                  <w:tcW w:w="1877" w:type="dxa"/>
                  <w:shd w:val="clear" w:color="auto" w:fill="auto"/>
                  <w:tcMar>
                    <w:top w:w="115" w:type="dxa"/>
                    <w:left w:w="115" w:type="dxa"/>
                    <w:bottom w:w="115" w:type="dxa"/>
                    <w:right w:w="115" w:type="dxa"/>
                  </w:tcMar>
                </w:tcPr>
                <w:p w14:paraId="2C250552" w14:textId="77777777" w:rsidR="000C7E45" w:rsidRDefault="000C7E45" w:rsidP="000C7E45">
                  <w:pPr>
                    <w:pStyle w:val="Dates"/>
                    <w:spacing w:before="120"/>
                    <w:rPr>
                      <w:rFonts w:ascii="Times New Roman" w:hAnsi="Times New Roman" w:cs="Times New Roman"/>
                      <w:b/>
                      <w:lang w:val="es-MX"/>
                    </w:rPr>
                  </w:pPr>
                  <w:r>
                    <w:rPr>
                      <w:rFonts w:ascii="Times New Roman" w:hAnsi="Times New Roman" w:cs="Times New Roman"/>
                      <w:b/>
                      <w:lang w:val="es-MX"/>
                    </w:rPr>
                    <w:t>IPC (feb)</w:t>
                  </w:r>
                </w:p>
                <w:p w14:paraId="2349D8D5" w14:textId="77777777" w:rsidR="000C7E45" w:rsidRPr="00967E61" w:rsidRDefault="000C7E45" w:rsidP="000C7E45">
                  <w:pPr>
                    <w:pStyle w:val="Dates"/>
                    <w:spacing w:before="120"/>
                    <w:rPr>
                      <w:rFonts w:ascii="Times New Roman" w:hAnsi="Times New Roman" w:cs="Times New Roman"/>
                      <w:b/>
                      <w:lang w:val="es-MX"/>
                    </w:rPr>
                  </w:pPr>
                  <w:r>
                    <w:rPr>
                      <w:rFonts w:ascii="Times New Roman" w:hAnsi="Times New Roman" w:cs="Times New Roman"/>
                      <w:b/>
                      <w:lang w:val="es-MX"/>
                    </w:rPr>
                    <w:t xml:space="preserve">Índice de Inflación </w:t>
                  </w:r>
                </w:p>
                <w:p w14:paraId="63102623" w14:textId="77777777" w:rsidR="000C7E45" w:rsidRPr="0023794F" w:rsidRDefault="000C7E45" w:rsidP="000C7E45">
                  <w:pPr>
                    <w:pStyle w:val="Dates"/>
                    <w:spacing w:before="120"/>
                    <w:rPr>
                      <w:rFonts w:ascii="Times New Roman" w:hAnsi="Times New Roman" w:cs="Times New Roman"/>
                      <w:i/>
                      <w:sz w:val="18"/>
                      <w:szCs w:val="18"/>
                      <w:lang w:val="es-MX"/>
                    </w:rPr>
                  </w:pPr>
                  <w:proofErr w:type="spellStart"/>
                  <w:r w:rsidRPr="0023794F">
                    <w:rPr>
                      <w:rFonts w:ascii="Times New Roman" w:hAnsi="Times New Roman" w:cs="Times New Roman"/>
                      <w:i/>
                      <w:sz w:val="18"/>
                      <w:szCs w:val="18"/>
                      <w:lang w:val="es-MX"/>
                    </w:rPr>
                    <w:t>Est</w:t>
                  </w:r>
                  <w:proofErr w:type="spellEnd"/>
                  <w:r w:rsidRPr="0023794F">
                    <w:rPr>
                      <w:rFonts w:ascii="Times New Roman" w:hAnsi="Times New Roman" w:cs="Times New Roman"/>
                      <w:i/>
                      <w:sz w:val="18"/>
                      <w:szCs w:val="18"/>
                      <w:lang w:val="es-MX"/>
                    </w:rPr>
                    <w:t>.</w:t>
                  </w:r>
                  <w:r>
                    <w:rPr>
                      <w:rFonts w:ascii="Times New Roman" w:hAnsi="Times New Roman" w:cs="Times New Roman"/>
                      <w:i/>
                      <w:sz w:val="18"/>
                      <w:szCs w:val="18"/>
                      <w:lang w:val="es-MX"/>
                    </w:rPr>
                    <w:t xml:space="preserve"> 5.3% </w:t>
                  </w:r>
                  <w:proofErr w:type="spellStart"/>
                  <w:r>
                    <w:rPr>
                      <w:rFonts w:ascii="Times New Roman" w:hAnsi="Times New Roman" w:cs="Times New Roman"/>
                      <w:i/>
                      <w:sz w:val="18"/>
                      <w:szCs w:val="18"/>
                      <w:lang w:val="es-MX"/>
                    </w:rPr>
                    <w:t>YoY</w:t>
                  </w:r>
                  <w:proofErr w:type="spellEnd"/>
                </w:p>
              </w:tc>
              <w:tc>
                <w:tcPr>
                  <w:tcW w:w="1733" w:type="dxa"/>
                  <w:shd w:val="clear" w:color="auto" w:fill="auto"/>
                  <w:tcMar>
                    <w:top w:w="115" w:type="dxa"/>
                    <w:left w:w="115" w:type="dxa"/>
                    <w:bottom w:w="115" w:type="dxa"/>
                    <w:right w:w="115" w:type="dxa"/>
                  </w:tcMar>
                </w:tcPr>
                <w:p w14:paraId="7D9406D8" w14:textId="77777777" w:rsidR="000C7E45" w:rsidRPr="00D90C82" w:rsidRDefault="000C7E45" w:rsidP="000C7E45">
                  <w:pPr>
                    <w:pStyle w:val="Dates"/>
                    <w:spacing w:before="120"/>
                    <w:rPr>
                      <w:rFonts w:ascii="Times New Roman" w:hAnsi="Times New Roman" w:cs="Times New Roman"/>
                    </w:rPr>
                  </w:pPr>
                  <w:r>
                    <w:rPr>
                      <w:rFonts w:ascii="Times New Roman" w:hAnsi="Times New Roman" w:cs="Times New Roman"/>
                      <w:b/>
                    </w:rPr>
                    <w:t>Tasa de Desempleo (ene)</w:t>
                  </w:r>
                </w:p>
              </w:tc>
              <w:tc>
                <w:tcPr>
                  <w:tcW w:w="1733" w:type="dxa"/>
                  <w:shd w:val="clear" w:color="auto" w:fill="auto"/>
                  <w:tcMar>
                    <w:top w:w="115" w:type="dxa"/>
                    <w:left w:w="115" w:type="dxa"/>
                    <w:bottom w:w="115" w:type="dxa"/>
                    <w:right w:w="115" w:type="dxa"/>
                  </w:tcMar>
                </w:tcPr>
                <w:p w14:paraId="32D78F85" w14:textId="77777777" w:rsidR="000C7E45" w:rsidRPr="00A2275E" w:rsidRDefault="000C7E45" w:rsidP="000C7E45">
                  <w:pPr>
                    <w:pStyle w:val="Dates"/>
                    <w:spacing w:before="120"/>
                    <w:rPr>
                      <w:rFonts w:ascii="Times New Roman" w:hAnsi="Times New Roman" w:cs="Times New Roman"/>
                      <w:b/>
                    </w:rPr>
                  </w:pPr>
                </w:p>
              </w:tc>
            </w:tr>
            <w:tr w:rsidR="000C7E45" w:rsidRPr="00BA75E8" w14:paraId="6B070318" w14:textId="77777777" w:rsidTr="009569EA">
              <w:trPr>
                <w:cantSplit/>
                <w:trHeight w:hRule="exact" w:val="1584"/>
              </w:trPr>
              <w:tc>
                <w:tcPr>
                  <w:tcW w:w="822" w:type="dxa"/>
                  <w:shd w:val="clear" w:color="auto" w:fill="auto"/>
                  <w:tcMar>
                    <w:top w:w="115" w:type="dxa"/>
                    <w:left w:w="115" w:type="dxa"/>
                    <w:bottom w:w="115" w:type="dxa"/>
                    <w:right w:w="115" w:type="dxa"/>
                  </w:tcMar>
                </w:tcPr>
                <w:p w14:paraId="12B793A4" w14:textId="77777777" w:rsidR="000C7E45" w:rsidRPr="00D90C82" w:rsidRDefault="000C7E45" w:rsidP="000C7E45">
                  <w:pPr>
                    <w:pStyle w:val="Dates"/>
                    <w:rPr>
                      <w:rFonts w:ascii="Times New Roman" w:hAnsi="Times New Roman" w:cs="Times New Roman"/>
                    </w:rPr>
                  </w:pPr>
                </w:p>
                <w:p w14:paraId="27A7AC8F" w14:textId="77777777" w:rsidR="000C7E45" w:rsidRPr="00D90C82" w:rsidRDefault="000C7E45" w:rsidP="000C7E45">
                  <w:pPr>
                    <w:pStyle w:val="Dates"/>
                    <w:rPr>
                      <w:rFonts w:ascii="Times New Roman" w:hAnsi="Times New Roman" w:cs="Times New Roman"/>
                    </w:rPr>
                  </w:pPr>
                </w:p>
                <w:p w14:paraId="6693A358" w14:textId="77777777" w:rsidR="000C7E45" w:rsidRPr="00D90C82" w:rsidRDefault="000C7E45" w:rsidP="000C7E45">
                  <w:pPr>
                    <w:pStyle w:val="Dates"/>
                    <w:jc w:val="center"/>
                    <w:rPr>
                      <w:rFonts w:ascii="Times New Roman" w:hAnsi="Times New Roman" w:cs="Times New Roman"/>
                    </w:rPr>
                  </w:pPr>
                  <w:r w:rsidRPr="00D90C82">
                    <w:rPr>
                      <w:rFonts w:ascii="Times New Roman" w:hAnsi="Times New Roman" w:cs="Times New Roman"/>
                      <w:sz w:val="28"/>
                      <w:szCs w:val="28"/>
                    </w:rPr>
                    <w:t>EM</w:t>
                  </w:r>
                </w:p>
              </w:tc>
              <w:tc>
                <w:tcPr>
                  <w:tcW w:w="1876" w:type="dxa"/>
                  <w:shd w:val="clear" w:color="auto" w:fill="auto"/>
                  <w:tcMar>
                    <w:top w:w="115" w:type="dxa"/>
                    <w:left w:w="115" w:type="dxa"/>
                    <w:bottom w:w="115" w:type="dxa"/>
                    <w:right w:w="115" w:type="dxa"/>
                  </w:tcMar>
                </w:tcPr>
                <w:p w14:paraId="48EE460D" w14:textId="77777777" w:rsidR="000C7E45" w:rsidRPr="000C7E45" w:rsidRDefault="000C7E45" w:rsidP="000C7E45">
                  <w:pPr>
                    <w:pStyle w:val="Dates"/>
                    <w:spacing w:before="120"/>
                    <w:rPr>
                      <w:lang w:val="en-US"/>
                    </w:rPr>
                  </w:pPr>
                  <w:r w:rsidRPr="000C7E45">
                    <w:rPr>
                      <w:rFonts w:ascii="Times New Roman" w:hAnsi="Times New Roman" w:cs="Times New Roman"/>
                      <w:b/>
                      <w:lang w:val="en-US"/>
                    </w:rPr>
                    <w:t>(Ch) NBS PMI Manuf. (</w:t>
                  </w:r>
                  <w:proofErr w:type="spellStart"/>
                  <w:r w:rsidRPr="000C7E45">
                    <w:rPr>
                      <w:rFonts w:ascii="Times New Roman" w:hAnsi="Times New Roman" w:cs="Times New Roman"/>
                      <w:b/>
                      <w:lang w:val="en-US"/>
                    </w:rPr>
                    <w:t>feb</w:t>
                  </w:r>
                  <w:proofErr w:type="spellEnd"/>
                  <w:r w:rsidRPr="000C7E45">
                    <w:rPr>
                      <w:rFonts w:ascii="Times New Roman" w:hAnsi="Times New Roman" w:cs="Times New Roman"/>
                      <w:b/>
                      <w:lang w:val="en-US"/>
                    </w:rPr>
                    <w:t>)</w:t>
                  </w:r>
                  <w:r w:rsidRPr="000C7E45">
                    <w:rPr>
                      <w:lang w:val="en-US"/>
                    </w:rPr>
                    <w:t xml:space="preserve"> </w:t>
                  </w:r>
                </w:p>
                <w:p w14:paraId="78024DD1" w14:textId="77777777" w:rsidR="000C7E45" w:rsidRPr="00F806BC" w:rsidRDefault="000C7E45" w:rsidP="000C7E45">
                  <w:pPr>
                    <w:pStyle w:val="Dates"/>
                    <w:spacing w:before="120"/>
                    <w:rPr>
                      <w:rFonts w:ascii="Times New Roman" w:hAnsi="Times New Roman" w:cs="Times New Roman"/>
                      <w:b/>
                      <w:lang w:val="es-MX"/>
                    </w:rPr>
                  </w:pPr>
                  <w:proofErr w:type="spellStart"/>
                  <w:r w:rsidRPr="00F806BC">
                    <w:rPr>
                      <w:rFonts w:ascii="Times New Roman" w:hAnsi="Times New Roman" w:cs="Times New Roman"/>
                      <w:b/>
                      <w:lang w:val="es-MX"/>
                    </w:rPr>
                    <w:t>Caixin</w:t>
                  </w:r>
                  <w:proofErr w:type="spellEnd"/>
                  <w:r w:rsidRPr="00F806BC">
                    <w:rPr>
                      <w:rFonts w:ascii="Times New Roman" w:hAnsi="Times New Roman" w:cs="Times New Roman"/>
                      <w:b/>
                      <w:lang w:val="es-MX"/>
                    </w:rPr>
                    <w:t xml:space="preserve"> PMI </w:t>
                  </w:r>
                  <w:proofErr w:type="spellStart"/>
                  <w:r w:rsidRPr="00F806BC">
                    <w:rPr>
                      <w:rFonts w:ascii="Times New Roman" w:hAnsi="Times New Roman" w:cs="Times New Roman"/>
                      <w:b/>
                      <w:lang w:val="es-MX"/>
                    </w:rPr>
                    <w:t>Manuf</w:t>
                  </w:r>
                  <w:proofErr w:type="spellEnd"/>
                  <w:r w:rsidRPr="00F806BC">
                    <w:rPr>
                      <w:rFonts w:ascii="Times New Roman" w:hAnsi="Times New Roman" w:cs="Times New Roman"/>
                      <w:b/>
                      <w:lang w:val="es-MX"/>
                    </w:rPr>
                    <w:t>. (feb)</w:t>
                  </w:r>
                </w:p>
                <w:p w14:paraId="0B7036C0" w14:textId="77777777" w:rsidR="000C7E45" w:rsidRPr="00F806BC" w:rsidRDefault="000C7E45" w:rsidP="000C7E45">
                  <w:pPr>
                    <w:pStyle w:val="Dates"/>
                    <w:spacing w:before="120"/>
                    <w:rPr>
                      <w:rFonts w:ascii="Times New Roman" w:hAnsi="Times New Roman" w:cs="Times New Roman"/>
                      <w:b/>
                      <w:lang w:val="es-MX"/>
                    </w:rPr>
                  </w:pPr>
                </w:p>
                <w:p w14:paraId="6AF125E9" w14:textId="77777777" w:rsidR="000C7E45" w:rsidRPr="00F806BC" w:rsidRDefault="000C7E45" w:rsidP="000C7E45">
                  <w:pPr>
                    <w:pStyle w:val="Dates"/>
                    <w:spacing w:before="120"/>
                    <w:rPr>
                      <w:rFonts w:ascii="Times New Roman" w:hAnsi="Times New Roman" w:cs="Times New Roman"/>
                      <w:lang w:val="es-MX"/>
                    </w:rPr>
                  </w:pPr>
                </w:p>
              </w:tc>
              <w:tc>
                <w:tcPr>
                  <w:tcW w:w="1877" w:type="dxa"/>
                  <w:shd w:val="clear" w:color="auto" w:fill="auto"/>
                  <w:tcMar>
                    <w:top w:w="115" w:type="dxa"/>
                    <w:left w:w="115" w:type="dxa"/>
                    <w:bottom w:w="115" w:type="dxa"/>
                    <w:right w:w="115" w:type="dxa"/>
                  </w:tcMar>
                </w:tcPr>
                <w:p w14:paraId="40484465" w14:textId="77777777" w:rsidR="000C7E45" w:rsidRDefault="000C7E45" w:rsidP="000C7E45">
                  <w:pPr>
                    <w:pStyle w:val="Dates"/>
                    <w:spacing w:before="120"/>
                    <w:rPr>
                      <w:rFonts w:ascii="Times New Roman" w:hAnsi="Times New Roman" w:cs="Times New Roman"/>
                      <w:b/>
                      <w:lang w:val="es-MX"/>
                    </w:rPr>
                  </w:pPr>
                  <w:r w:rsidRPr="000C7E45">
                    <w:rPr>
                      <w:rFonts w:ascii="Times New Roman" w:hAnsi="Times New Roman" w:cs="Times New Roman"/>
                      <w:b/>
                      <w:lang w:val="es-MX"/>
                    </w:rPr>
                    <w:t xml:space="preserve">(Br) </w:t>
                  </w:r>
                  <w:r w:rsidRPr="00967E61">
                    <w:rPr>
                      <w:rFonts w:ascii="Times New Roman" w:hAnsi="Times New Roman" w:cs="Times New Roman"/>
                      <w:b/>
                      <w:lang w:val="es-MX"/>
                    </w:rPr>
                    <w:t xml:space="preserve">Balanza Comercial </w:t>
                  </w:r>
                  <w:r>
                    <w:rPr>
                      <w:rFonts w:ascii="Times New Roman" w:hAnsi="Times New Roman" w:cs="Times New Roman"/>
                      <w:b/>
                      <w:lang w:val="es-MX"/>
                    </w:rPr>
                    <w:t>(feb</w:t>
                  </w:r>
                  <w:r w:rsidRPr="00967E61">
                    <w:rPr>
                      <w:rFonts w:ascii="Times New Roman" w:hAnsi="Times New Roman" w:cs="Times New Roman"/>
                      <w:b/>
                      <w:lang w:val="es-MX"/>
                    </w:rPr>
                    <w:t>)</w:t>
                  </w:r>
                </w:p>
                <w:p w14:paraId="2F74AE22" w14:textId="77777777" w:rsidR="000C7E45" w:rsidRPr="00967E61" w:rsidRDefault="000C7E45" w:rsidP="000C7E45">
                  <w:pPr>
                    <w:pStyle w:val="Dates"/>
                    <w:spacing w:before="120"/>
                    <w:rPr>
                      <w:rFonts w:ascii="Times New Roman" w:hAnsi="Times New Roman" w:cs="Times New Roman"/>
                      <w:i/>
                      <w:sz w:val="18"/>
                      <w:szCs w:val="18"/>
                      <w:lang w:val="es-MX"/>
                    </w:rPr>
                  </w:pPr>
                  <w:proofErr w:type="spellStart"/>
                  <w:r w:rsidRPr="0023794F">
                    <w:rPr>
                      <w:rFonts w:ascii="Times New Roman" w:hAnsi="Times New Roman" w:cs="Times New Roman"/>
                      <w:i/>
                      <w:sz w:val="18"/>
                      <w:szCs w:val="18"/>
                      <w:lang w:val="es-MX"/>
                    </w:rPr>
                    <w:t>Est</w:t>
                  </w:r>
                  <w:proofErr w:type="spellEnd"/>
                  <w:r w:rsidRPr="0023794F">
                    <w:rPr>
                      <w:rFonts w:ascii="Times New Roman" w:hAnsi="Times New Roman" w:cs="Times New Roman"/>
                      <w:i/>
                      <w:sz w:val="18"/>
                      <w:szCs w:val="18"/>
                      <w:lang w:val="es-MX"/>
                    </w:rPr>
                    <w:t>.</w:t>
                  </w:r>
                  <w:r>
                    <w:rPr>
                      <w:rFonts w:ascii="Times New Roman" w:hAnsi="Times New Roman" w:cs="Times New Roman"/>
                      <w:i/>
                      <w:sz w:val="18"/>
                      <w:szCs w:val="18"/>
                      <w:lang w:val="es-MX"/>
                    </w:rPr>
                    <w:t xml:space="preserve"> -0.2B</w:t>
                  </w:r>
                </w:p>
                <w:p w14:paraId="2A492738" w14:textId="77777777" w:rsidR="000C7E45" w:rsidRPr="000C7E45" w:rsidRDefault="000C7E45" w:rsidP="000C7E45">
                  <w:pPr>
                    <w:pStyle w:val="Dates"/>
                    <w:spacing w:before="120"/>
                    <w:rPr>
                      <w:rFonts w:ascii="Times New Roman" w:hAnsi="Times New Roman" w:cs="Times New Roman"/>
                      <w:b/>
                      <w:lang w:val="es-MX"/>
                    </w:rPr>
                  </w:pPr>
                </w:p>
                <w:p w14:paraId="53725327" w14:textId="77777777" w:rsidR="000C7E45" w:rsidRPr="000C7E45" w:rsidRDefault="000C7E45" w:rsidP="000C7E45">
                  <w:pPr>
                    <w:pStyle w:val="Dates"/>
                    <w:spacing w:before="120"/>
                    <w:rPr>
                      <w:rFonts w:ascii="Times New Roman" w:hAnsi="Times New Roman" w:cs="Times New Roman"/>
                      <w:b/>
                      <w:lang w:val="es-MX"/>
                    </w:rPr>
                  </w:pPr>
                </w:p>
                <w:p w14:paraId="63ECE7C4" w14:textId="77777777" w:rsidR="000C7E45" w:rsidRPr="000C7E45" w:rsidRDefault="000C7E45" w:rsidP="000C7E45">
                  <w:pPr>
                    <w:pStyle w:val="Dates"/>
                    <w:spacing w:before="120"/>
                    <w:rPr>
                      <w:rFonts w:ascii="Times New Roman" w:hAnsi="Times New Roman" w:cs="Times New Roman"/>
                      <w:lang w:val="es-MX"/>
                    </w:rPr>
                  </w:pPr>
                </w:p>
              </w:tc>
              <w:tc>
                <w:tcPr>
                  <w:tcW w:w="1877" w:type="dxa"/>
                  <w:shd w:val="clear" w:color="auto" w:fill="auto"/>
                  <w:tcMar>
                    <w:top w:w="115" w:type="dxa"/>
                    <w:left w:w="115" w:type="dxa"/>
                    <w:bottom w:w="115" w:type="dxa"/>
                    <w:right w:w="115" w:type="dxa"/>
                  </w:tcMar>
                </w:tcPr>
                <w:p w14:paraId="128439ED" w14:textId="77777777" w:rsidR="000C7E45" w:rsidRPr="000C7E45" w:rsidRDefault="000C7E45" w:rsidP="000C7E45">
                  <w:pPr>
                    <w:pStyle w:val="Dates"/>
                    <w:spacing w:before="120"/>
                    <w:rPr>
                      <w:rFonts w:ascii="Times New Roman" w:hAnsi="Times New Roman" w:cs="Times New Roman"/>
                      <w:i/>
                      <w:sz w:val="18"/>
                      <w:szCs w:val="18"/>
                      <w:lang w:val="es-MX"/>
                    </w:rPr>
                  </w:pPr>
                </w:p>
              </w:tc>
              <w:tc>
                <w:tcPr>
                  <w:tcW w:w="1733" w:type="dxa"/>
                  <w:shd w:val="clear" w:color="auto" w:fill="auto"/>
                  <w:tcMar>
                    <w:top w:w="115" w:type="dxa"/>
                    <w:left w:w="115" w:type="dxa"/>
                    <w:bottom w:w="115" w:type="dxa"/>
                    <w:right w:w="115" w:type="dxa"/>
                  </w:tcMar>
                </w:tcPr>
                <w:p w14:paraId="75AEE5E7" w14:textId="77777777" w:rsidR="000C7E45" w:rsidRPr="000C7E45" w:rsidRDefault="000C7E45" w:rsidP="000C7E45">
                  <w:pPr>
                    <w:pStyle w:val="Dates"/>
                    <w:spacing w:before="120"/>
                    <w:rPr>
                      <w:rFonts w:ascii="Times New Roman" w:hAnsi="Times New Roman" w:cs="Times New Roman"/>
                      <w:i/>
                      <w:sz w:val="18"/>
                      <w:szCs w:val="18"/>
                      <w:lang w:val="en-US"/>
                    </w:rPr>
                  </w:pPr>
                  <w:r w:rsidRPr="000C7E45">
                    <w:rPr>
                      <w:rFonts w:ascii="Times New Roman" w:hAnsi="Times New Roman" w:cs="Times New Roman"/>
                      <w:b/>
                      <w:lang w:val="en-US"/>
                    </w:rPr>
                    <w:t>(Br) Markit PMI Manuf. (</w:t>
                  </w:r>
                  <w:proofErr w:type="spellStart"/>
                  <w:r w:rsidRPr="000C7E45">
                    <w:rPr>
                      <w:rFonts w:ascii="Times New Roman" w:hAnsi="Times New Roman" w:cs="Times New Roman"/>
                      <w:b/>
                      <w:lang w:val="en-US"/>
                    </w:rPr>
                    <w:t>feb</w:t>
                  </w:r>
                  <w:proofErr w:type="spellEnd"/>
                  <w:r w:rsidRPr="000C7E45">
                    <w:rPr>
                      <w:rFonts w:ascii="Times New Roman" w:hAnsi="Times New Roman" w:cs="Times New Roman"/>
                      <w:b/>
                      <w:lang w:val="en-US"/>
                    </w:rPr>
                    <w:t>)</w:t>
                  </w:r>
                </w:p>
              </w:tc>
              <w:tc>
                <w:tcPr>
                  <w:tcW w:w="1733" w:type="dxa"/>
                  <w:shd w:val="clear" w:color="auto" w:fill="auto"/>
                  <w:tcMar>
                    <w:top w:w="115" w:type="dxa"/>
                    <w:left w:w="115" w:type="dxa"/>
                    <w:bottom w:w="115" w:type="dxa"/>
                    <w:right w:w="115" w:type="dxa"/>
                  </w:tcMar>
                </w:tcPr>
                <w:p w14:paraId="51B6C095" w14:textId="77777777" w:rsidR="000C7E45" w:rsidRPr="00BA75E8" w:rsidRDefault="000C7E45" w:rsidP="000C7E45">
                  <w:pPr>
                    <w:pStyle w:val="Dates"/>
                    <w:spacing w:before="120"/>
                    <w:rPr>
                      <w:rFonts w:ascii="Times New Roman" w:hAnsi="Times New Roman" w:cs="Times New Roman"/>
                    </w:rPr>
                  </w:pPr>
                  <w:r w:rsidRPr="00F806BC">
                    <w:rPr>
                      <w:rFonts w:ascii="Times New Roman" w:hAnsi="Times New Roman" w:cs="Times New Roman"/>
                      <w:b/>
                      <w:lang w:val="es-MX"/>
                    </w:rPr>
                    <w:t xml:space="preserve">(Br) </w:t>
                  </w:r>
                  <w:r>
                    <w:rPr>
                      <w:rFonts w:ascii="Times New Roman" w:hAnsi="Times New Roman" w:cs="Times New Roman"/>
                      <w:b/>
                    </w:rPr>
                    <w:t>PBI Anual (4T)</w:t>
                  </w:r>
                </w:p>
              </w:tc>
            </w:tr>
            <w:tr w:rsidR="000C7E45" w:rsidRPr="00D90C82" w14:paraId="59094AE6" w14:textId="77777777" w:rsidTr="009569EA">
              <w:trPr>
                <w:cantSplit/>
                <w:trHeight w:hRule="exact" w:val="1584"/>
              </w:trPr>
              <w:tc>
                <w:tcPr>
                  <w:tcW w:w="822" w:type="dxa"/>
                  <w:shd w:val="clear" w:color="auto" w:fill="auto"/>
                  <w:tcMar>
                    <w:top w:w="115" w:type="dxa"/>
                    <w:left w:w="115" w:type="dxa"/>
                    <w:bottom w:w="115" w:type="dxa"/>
                    <w:right w:w="115" w:type="dxa"/>
                  </w:tcMar>
                </w:tcPr>
                <w:p w14:paraId="070EB04D" w14:textId="77777777" w:rsidR="000C7E45" w:rsidRPr="00BA75E8" w:rsidRDefault="000C7E45" w:rsidP="000C7E45">
                  <w:pPr>
                    <w:pStyle w:val="Dates"/>
                    <w:jc w:val="center"/>
                    <w:rPr>
                      <w:rFonts w:ascii="Times New Roman" w:hAnsi="Times New Roman" w:cs="Times New Roman"/>
                      <w:sz w:val="28"/>
                      <w:szCs w:val="28"/>
                      <w:lang w:val="es-MX"/>
                    </w:rPr>
                  </w:pPr>
                </w:p>
                <w:p w14:paraId="598E21C2" w14:textId="77777777" w:rsidR="000C7E45" w:rsidRPr="00D90C82" w:rsidRDefault="000C7E45" w:rsidP="000C7E45">
                  <w:pPr>
                    <w:pStyle w:val="Dates"/>
                    <w:jc w:val="center"/>
                    <w:rPr>
                      <w:rFonts w:ascii="Times New Roman" w:hAnsi="Times New Roman" w:cs="Times New Roman"/>
                      <w:sz w:val="28"/>
                      <w:szCs w:val="28"/>
                    </w:rPr>
                  </w:pPr>
                  <w:r w:rsidRPr="00D90C82">
                    <w:rPr>
                      <w:rFonts w:ascii="Times New Roman" w:hAnsi="Times New Roman" w:cs="Times New Roman"/>
                      <w:sz w:val="28"/>
                      <w:szCs w:val="28"/>
                    </w:rPr>
                    <w:t>ARG</w:t>
                  </w:r>
                </w:p>
                <w:p w14:paraId="3CB1FAA0" w14:textId="77777777" w:rsidR="000C7E45" w:rsidRPr="00D90C82" w:rsidRDefault="000C7E45" w:rsidP="000C7E45">
                  <w:pPr>
                    <w:pStyle w:val="Dates"/>
                    <w:rPr>
                      <w:rFonts w:ascii="Times New Roman" w:hAnsi="Times New Roman" w:cs="Times New Roman"/>
                    </w:rPr>
                  </w:pPr>
                </w:p>
              </w:tc>
              <w:tc>
                <w:tcPr>
                  <w:tcW w:w="1876" w:type="dxa"/>
                  <w:shd w:val="clear" w:color="auto" w:fill="auto"/>
                  <w:tcMar>
                    <w:top w:w="115" w:type="dxa"/>
                    <w:left w:w="115" w:type="dxa"/>
                    <w:bottom w:w="115" w:type="dxa"/>
                    <w:right w:w="115" w:type="dxa"/>
                  </w:tcMar>
                </w:tcPr>
                <w:p w14:paraId="12E89C3A" w14:textId="77777777" w:rsidR="000C7E45" w:rsidRPr="00D90C82" w:rsidRDefault="000C7E45" w:rsidP="000C7E45">
                  <w:pPr>
                    <w:pStyle w:val="Dates"/>
                    <w:spacing w:before="120"/>
                    <w:rPr>
                      <w:rFonts w:ascii="Times New Roman" w:hAnsi="Times New Roman" w:cs="Times New Roman"/>
                    </w:rPr>
                  </w:pPr>
                </w:p>
              </w:tc>
              <w:tc>
                <w:tcPr>
                  <w:tcW w:w="1877" w:type="dxa"/>
                  <w:shd w:val="clear" w:color="auto" w:fill="auto"/>
                  <w:tcMar>
                    <w:top w:w="115" w:type="dxa"/>
                    <w:left w:w="115" w:type="dxa"/>
                    <w:bottom w:w="115" w:type="dxa"/>
                    <w:right w:w="115" w:type="dxa"/>
                  </w:tcMar>
                </w:tcPr>
                <w:p w14:paraId="00BE1738" w14:textId="77777777" w:rsidR="000C7E45" w:rsidRDefault="000C7E45" w:rsidP="000C7E45">
                  <w:pPr>
                    <w:pStyle w:val="Dates"/>
                    <w:spacing w:before="120"/>
                    <w:rPr>
                      <w:rFonts w:ascii="Times New Roman" w:hAnsi="Times New Roman" w:cs="Times New Roman"/>
                      <w:b/>
                    </w:rPr>
                  </w:pPr>
                </w:p>
                <w:p w14:paraId="178D7106" w14:textId="77777777" w:rsidR="000C7E45" w:rsidRPr="00D90C82" w:rsidRDefault="000C7E45" w:rsidP="000C7E45">
                  <w:pPr>
                    <w:pStyle w:val="Dates"/>
                    <w:spacing w:before="120"/>
                    <w:ind w:left="720" w:hanging="720"/>
                    <w:rPr>
                      <w:rFonts w:ascii="Times New Roman" w:hAnsi="Times New Roman" w:cs="Times New Roman"/>
                    </w:rPr>
                  </w:pPr>
                </w:p>
              </w:tc>
              <w:tc>
                <w:tcPr>
                  <w:tcW w:w="1877" w:type="dxa"/>
                  <w:shd w:val="clear" w:color="auto" w:fill="auto"/>
                  <w:tcMar>
                    <w:top w:w="115" w:type="dxa"/>
                    <w:left w:w="115" w:type="dxa"/>
                    <w:bottom w:w="115" w:type="dxa"/>
                    <w:right w:w="115" w:type="dxa"/>
                  </w:tcMar>
                </w:tcPr>
                <w:p w14:paraId="2835B711" w14:textId="77777777" w:rsidR="000C7E45" w:rsidRPr="00D90C82" w:rsidRDefault="000C7E45" w:rsidP="000C7E45">
                  <w:pPr>
                    <w:pStyle w:val="Dates"/>
                    <w:spacing w:before="120"/>
                    <w:rPr>
                      <w:rFonts w:ascii="Times New Roman" w:hAnsi="Times New Roman" w:cs="Times New Roman"/>
                      <w:b/>
                    </w:rPr>
                  </w:pPr>
                </w:p>
              </w:tc>
              <w:tc>
                <w:tcPr>
                  <w:tcW w:w="1733" w:type="dxa"/>
                  <w:shd w:val="clear" w:color="auto" w:fill="auto"/>
                  <w:tcMar>
                    <w:top w:w="115" w:type="dxa"/>
                    <w:left w:w="115" w:type="dxa"/>
                    <w:bottom w:w="115" w:type="dxa"/>
                    <w:right w:w="115" w:type="dxa"/>
                  </w:tcMar>
                </w:tcPr>
                <w:p w14:paraId="2FBCDBE2" w14:textId="77777777" w:rsidR="000C7E45" w:rsidRPr="004421F5" w:rsidRDefault="000C7E45" w:rsidP="000C7E45">
                  <w:pPr>
                    <w:pStyle w:val="Dates"/>
                    <w:spacing w:before="120"/>
                    <w:rPr>
                      <w:rFonts w:ascii="Times New Roman" w:hAnsi="Times New Roman" w:cs="Times New Roman"/>
                      <w:b/>
                    </w:rPr>
                  </w:pPr>
                  <w:r>
                    <w:rPr>
                      <w:rFonts w:ascii="Times New Roman" w:hAnsi="Times New Roman" w:cs="Times New Roman"/>
                      <w:b/>
                    </w:rPr>
                    <w:t>Complejos Exportadores</w:t>
                  </w:r>
                </w:p>
              </w:tc>
              <w:tc>
                <w:tcPr>
                  <w:tcW w:w="1733" w:type="dxa"/>
                  <w:shd w:val="clear" w:color="auto" w:fill="auto"/>
                  <w:tcMar>
                    <w:top w:w="115" w:type="dxa"/>
                    <w:left w:w="115" w:type="dxa"/>
                    <w:bottom w:w="115" w:type="dxa"/>
                    <w:right w:w="115" w:type="dxa"/>
                  </w:tcMar>
                </w:tcPr>
                <w:p w14:paraId="7B4C40FB" w14:textId="77777777" w:rsidR="000C7E45" w:rsidRDefault="000C7E45" w:rsidP="000C7E45">
                  <w:pPr>
                    <w:pStyle w:val="Dates"/>
                    <w:spacing w:before="120"/>
                    <w:rPr>
                      <w:rFonts w:ascii="Times New Roman" w:hAnsi="Times New Roman" w:cs="Times New Roman"/>
                      <w:b/>
                    </w:rPr>
                  </w:pPr>
                </w:p>
                <w:p w14:paraId="3765D781" w14:textId="77777777" w:rsidR="000C7E45" w:rsidRPr="00D90C82" w:rsidRDefault="000C7E45" w:rsidP="000C7E45">
                  <w:pPr>
                    <w:pStyle w:val="Dates"/>
                    <w:spacing w:before="120"/>
                    <w:rPr>
                      <w:rFonts w:ascii="Times New Roman" w:hAnsi="Times New Roman" w:cs="Times New Roman"/>
                    </w:rPr>
                  </w:pPr>
                </w:p>
              </w:tc>
            </w:tr>
          </w:tbl>
          <w:p w14:paraId="5F4073CA" w14:textId="77777777" w:rsidR="00FF3572" w:rsidRPr="00D90C82" w:rsidRDefault="00FF3572" w:rsidP="0013346B">
            <w:pPr>
              <w:pStyle w:val="Weekdays"/>
              <w:rPr>
                <w:rFonts w:ascii="Times New Roman" w:hAnsi="Times New Roman"/>
                <w:color w:val="FFFFFF" w:themeColor="background1"/>
              </w:rPr>
            </w:pPr>
            <w:r w:rsidRPr="00D90C82">
              <w:rPr>
                <w:rFonts w:ascii="Times New Roman" w:hAnsi="Times New Roman"/>
                <w:color w:val="FFFFFF" w:themeColor="background1"/>
                <w:sz w:val="32"/>
              </w:rPr>
              <w:t>Calendario Económico</w:t>
            </w:r>
          </w:p>
        </w:tc>
      </w:tr>
      <w:tr w:rsidR="00FF3572" w:rsidRPr="00D90C82" w14:paraId="2334D42C" w14:textId="77777777" w:rsidTr="00FF3572">
        <w:trPr>
          <w:cantSplit/>
          <w:trHeight w:hRule="exact" w:val="259"/>
        </w:trPr>
        <w:tc>
          <w:tcPr>
            <w:tcW w:w="822" w:type="dxa"/>
            <w:shd w:val="clear" w:color="auto" w:fill="002060"/>
            <w:noWrap/>
            <w:tcMar>
              <w:bottom w:w="58" w:type="dxa"/>
            </w:tcMar>
            <w:vAlign w:val="bottom"/>
          </w:tcPr>
          <w:p w14:paraId="0F28045C" w14:textId="77777777" w:rsidR="00FF3572" w:rsidRPr="00D90C82" w:rsidRDefault="00FF3572" w:rsidP="0013346B">
            <w:pPr>
              <w:pStyle w:val="Weekdays"/>
              <w:rPr>
                <w:rFonts w:ascii="Times New Roman" w:hAnsi="Times New Roman"/>
              </w:rPr>
            </w:pPr>
            <w:r w:rsidRPr="00D90C82">
              <w:rPr>
                <w:rFonts w:ascii="Times New Roman" w:hAnsi="Times New Roman"/>
              </w:rPr>
              <w:br w:type="page"/>
            </w:r>
            <w:r w:rsidRPr="00D90C82">
              <w:rPr>
                <w:rFonts w:ascii="Times New Roman" w:hAnsi="Times New Roman"/>
              </w:rPr>
              <w:br w:type="page"/>
              <w:t>Países</w:t>
            </w:r>
          </w:p>
          <w:p w14:paraId="0D3C007C" w14:textId="77777777" w:rsidR="00FF3572" w:rsidRPr="00D90C82" w:rsidRDefault="00FF3572" w:rsidP="0013346B">
            <w:pPr>
              <w:pStyle w:val="Weekdays"/>
              <w:rPr>
                <w:rFonts w:ascii="Times New Roman" w:hAnsi="Times New Roman"/>
              </w:rPr>
            </w:pPr>
          </w:p>
          <w:p w14:paraId="51EB5E53" w14:textId="77777777" w:rsidR="00FF3572" w:rsidRPr="00D90C82" w:rsidRDefault="00FF3572" w:rsidP="0013346B">
            <w:pPr>
              <w:pStyle w:val="Weekdays"/>
              <w:rPr>
                <w:rFonts w:ascii="Times New Roman" w:hAnsi="Times New Roman"/>
              </w:rPr>
            </w:pPr>
          </w:p>
        </w:tc>
        <w:tc>
          <w:tcPr>
            <w:tcW w:w="1876" w:type="dxa"/>
            <w:shd w:val="clear" w:color="auto" w:fill="002060"/>
            <w:noWrap/>
            <w:tcMar>
              <w:bottom w:w="58" w:type="dxa"/>
            </w:tcMar>
            <w:vAlign w:val="bottom"/>
          </w:tcPr>
          <w:p w14:paraId="4D8E88B8" w14:textId="77777777" w:rsidR="00FF3572" w:rsidRPr="00D90C82" w:rsidRDefault="00FF3572" w:rsidP="0013346B">
            <w:pPr>
              <w:pStyle w:val="Weekdays"/>
              <w:rPr>
                <w:rFonts w:ascii="Times New Roman" w:hAnsi="Times New Roman"/>
                <w:color w:val="FFFFFF" w:themeColor="background1"/>
              </w:rPr>
            </w:pPr>
            <w:r w:rsidRPr="00D90C82">
              <w:rPr>
                <w:rFonts w:ascii="Times New Roman" w:hAnsi="Times New Roman"/>
                <w:color w:val="FFFFFF" w:themeColor="background1"/>
              </w:rPr>
              <w:t>Lunes</w:t>
            </w:r>
          </w:p>
        </w:tc>
        <w:tc>
          <w:tcPr>
            <w:tcW w:w="1877" w:type="dxa"/>
            <w:shd w:val="clear" w:color="auto" w:fill="002060"/>
            <w:noWrap/>
            <w:tcMar>
              <w:bottom w:w="58" w:type="dxa"/>
            </w:tcMar>
            <w:vAlign w:val="bottom"/>
          </w:tcPr>
          <w:p w14:paraId="701FCA44" w14:textId="77777777" w:rsidR="00FF3572" w:rsidRPr="00D90C82" w:rsidRDefault="00FF3572" w:rsidP="0013346B">
            <w:pPr>
              <w:pStyle w:val="Weekdays"/>
              <w:rPr>
                <w:rFonts w:ascii="Times New Roman" w:hAnsi="Times New Roman"/>
                <w:color w:val="FFFFFF" w:themeColor="background1"/>
              </w:rPr>
            </w:pPr>
            <w:r w:rsidRPr="00D90C82">
              <w:rPr>
                <w:rFonts w:ascii="Times New Roman" w:hAnsi="Times New Roman"/>
                <w:color w:val="FFFFFF" w:themeColor="background1"/>
              </w:rPr>
              <w:t>Martes</w:t>
            </w:r>
          </w:p>
        </w:tc>
        <w:tc>
          <w:tcPr>
            <w:tcW w:w="1877" w:type="dxa"/>
            <w:shd w:val="clear" w:color="auto" w:fill="002060"/>
            <w:noWrap/>
            <w:tcMar>
              <w:bottom w:w="58" w:type="dxa"/>
            </w:tcMar>
            <w:vAlign w:val="bottom"/>
          </w:tcPr>
          <w:p w14:paraId="0E9F813A" w14:textId="77777777" w:rsidR="00FF3572" w:rsidRPr="00D90C82" w:rsidRDefault="00FF3572" w:rsidP="0013346B">
            <w:pPr>
              <w:pStyle w:val="Weekdays"/>
              <w:rPr>
                <w:rFonts w:ascii="Times New Roman" w:hAnsi="Times New Roman"/>
                <w:color w:val="FFFFFF" w:themeColor="background1"/>
              </w:rPr>
            </w:pPr>
            <w:r w:rsidRPr="00D90C82">
              <w:rPr>
                <w:rFonts w:ascii="Times New Roman" w:hAnsi="Times New Roman"/>
                <w:color w:val="FFFFFF" w:themeColor="background1"/>
              </w:rPr>
              <w:t>Miércoles</w:t>
            </w:r>
          </w:p>
        </w:tc>
        <w:tc>
          <w:tcPr>
            <w:tcW w:w="1733" w:type="dxa"/>
            <w:shd w:val="clear" w:color="auto" w:fill="002060"/>
            <w:noWrap/>
            <w:tcMar>
              <w:bottom w:w="58" w:type="dxa"/>
            </w:tcMar>
            <w:vAlign w:val="bottom"/>
          </w:tcPr>
          <w:p w14:paraId="182D3E8D" w14:textId="77777777" w:rsidR="00FF3572" w:rsidRPr="00D90C82" w:rsidRDefault="00FF3572" w:rsidP="0013346B">
            <w:pPr>
              <w:pStyle w:val="Weekdays"/>
              <w:rPr>
                <w:rFonts w:ascii="Times New Roman" w:hAnsi="Times New Roman"/>
                <w:color w:val="FFFFFF" w:themeColor="background1"/>
              </w:rPr>
            </w:pPr>
            <w:r w:rsidRPr="00D90C82">
              <w:rPr>
                <w:rFonts w:ascii="Times New Roman" w:hAnsi="Times New Roman"/>
                <w:color w:val="FFFFFF" w:themeColor="background1"/>
              </w:rPr>
              <w:t>Jueves</w:t>
            </w:r>
          </w:p>
        </w:tc>
        <w:tc>
          <w:tcPr>
            <w:tcW w:w="1733" w:type="dxa"/>
            <w:shd w:val="clear" w:color="auto" w:fill="002060"/>
            <w:noWrap/>
            <w:tcMar>
              <w:bottom w:w="58" w:type="dxa"/>
            </w:tcMar>
            <w:vAlign w:val="bottom"/>
          </w:tcPr>
          <w:p w14:paraId="1AC56EB5" w14:textId="77777777" w:rsidR="00FF3572" w:rsidRPr="00D90C82" w:rsidRDefault="00FF3572" w:rsidP="0013346B">
            <w:pPr>
              <w:pStyle w:val="Weekdays"/>
              <w:rPr>
                <w:rFonts w:ascii="Times New Roman" w:hAnsi="Times New Roman"/>
                <w:color w:val="FFFFFF" w:themeColor="background1"/>
              </w:rPr>
            </w:pPr>
            <w:r w:rsidRPr="00D90C82">
              <w:rPr>
                <w:rFonts w:ascii="Times New Roman" w:hAnsi="Times New Roman"/>
                <w:color w:val="FFFFFF" w:themeColor="background1"/>
              </w:rPr>
              <w:t>Viernes</w:t>
            </w:r>
          </w:p>
        </w:tc>
      </w:tr>
      <w:tr w:rsidR="000C7E45" w:rsidRPr="00D90C82" w14:paraId="63F44731" w14:textId="77777777" w:rsidTr="00FF3572">
        <w:trPr>
          <w:cantSplit/>
          <w:trHeight w:hRule="exact" w:val="1584"/>
        </w:trPr>
        <w:tc>
          <w:tcPr>
            <w:tcW w:w="822" w:type="dxa"/>
            <w:shd w:val="clear" w:color="auto" w:fill="auto"/>
          </w:tcPr>
          <w:p w14:paraId="3CBC5B39" w14:textId="77777777" w:rsidR="000C7E45" w:rsidRPr="00D90C82" w:rsidRDefault="000C7E45" w:rsidP="000C7E45">
            <w:pPr>
              <w:pStyle w:val="Dates"/>
              <w:jc w:val="center"/>
              <w:rPr>
                <w:rFonts w:ascii="Times New Roman" w:hAnsi="Times New Roman" w:cs="Times New Roman"/>
                <w:sz w:val="40"/>
                <w:szCs w:val="40"/>
              </w:rPr>
            </w:pPr>
          </w:p>
          <w:p w14:paraId="21047F3D" w14:textId="77777777" w:rsidR="000C7E45" w:rsidRPr="00D90C82" w:rsidRDefault="000C7E45" w:rsidP="000C7E45">
            <w:pPr>
              <w:pStyle w:val="Dates"/>
              <w:jc w:val="center"/>
              <w:rPr>
                <w:rFonts w:ascii="Times New Roman" w:hAnsi="Times New Roman" w:cs="Times New Roman"/>
                <w:sz w:val="28"/>
                <w:szCs w:val="28"/>
              </w:rPr>
            </w:pPr>
            <w:r w:rsidRPr="00D90C82">
              <w:rPr>
                <w:rFonts w:ascii="Times New Roman" w:hAnsi="Times New Roman" w:cs="Times New Roman"/>
                <w:sz w:val="28"/>
                <w:szCs w:val="28"/>
              </w:rPr>
              <w:t>USA</w:t>
            </w:r>
          </w:p>
        </w:tc>
        <w:tc>
          <w:tcPr>
            <w:tcW w:w="1876" w:type="dxa"/>
            <w:shd w:val="clear" w:color="auto" w:fill="auto"/>
          </w:tcPr>
          <w:p w14:paraId="446DBCF7" w14:textId="77777777" w:rsidR="000C7E45" w:rsidRPr="00D90C82" w:rsidRDefault="000C7E45" w:rsidP="000C7E45">
            <w:pPr>
              <w:pStyle w:val="Dates"/>
              <w:spacing w:before="120"/>
              <w:rPr>
                <w:rFonts w:ascii="Times New Roman" w:hAnsi="Times New Roman" w:cs="Times New Roman"/>
              </w:rPr>
            </w:pPr>
          </w:p>
        </w:tc>
        <w:tc>
          <w:tcPr>
            <w:tcW w:w="1877" w:type="dxa"/>
            <w:shd w:val="clear" w:color="auto" w:fill="auto"/>
          </w:tcPr>
          <w:p w14:paraId="1B852904" w14:textId="4F7452CC" w:rsidR="000C7E45" w:rsidRPr="00D90C82" w:rsidRDefault="000C7E45" w:rsidP="000C7E45">
            <w:pPr>
              <w:pStyle w:val="Dates"/>
              <w:spacing w:before="120"/>
              <w:rPr>
                <w:rFonts w:ascii="Times New Roman" w:hAnsi="Times New Roman" w:cs="Times New Roman"/>
              </w:rPr>
            </w:pPr>
          </w:p>
        </w:tc>
        <w:tc>
          <w:tcPr>
            <w:tcW w:w="1877" w:type="dxa"/>
            <w:shd w:val="clear" w:color="auto" w:fill="auto"/>
          </w:tcPr>
          <w:p w14:paraId="5E833BE5" w14:textId="73E5BC43" w:rsidR="000C7E45" w:rsidRPr="00D90C82" w:rsidRDefault="000C7E45" w:rsidP="000C7E45">
            <w:pPr>
              <w:pStyle w:val="Dates"/>
              <w:spacing w:before="120"/>
              <w:rPr>
                <w:rFonts w:ascii="Times New Roman" w:hAnsi="Times New Roman" w:cs="Times New Roman"/>
              </w:rPr>
            </w:pPr>
          </w:p>
        </w:tc>
        <w:tc>
          <w:tcPr>
            <w:tcW w:w="1733" w:type="dxa"/>
            <w:shd w:val="clear" w:color="auto" w:fill="auto"/>
          </w:tcPr>
          <w:p w14:paraId="0CED8CAF" w14:textId="5B085059" w:rsidR="000C7E45" w:rsidRPr="000C7E45" w:rsidRDefault="000C7E45" w:rsidP="000C7E45">
            <w:pPr>
              <w:pStyle w:val="Dates"/>
              <w:spacing w:before="120"/>
              <w:rPr>
                <w:rFonts w:ascii="Times New Roman" w:hAnsi="Times New Roman" w:cs="Times New Roman"/>
                <w:lang w:val="en-US"/>
              </w:rPr>
            </w:pPr>
            <w:r w:rsidRPr="000C7E45">
              <w:rPr>
                <w:rFonts w:ascii="Times New Roman" w:hAnsi="Times New Roman" w:cs="Times New Roman"/>
                <w:i/>
                <w:sz w:val="18"/>
                <w:szCs w:val="18"/>
                <w:lang w:val="en-US"/>
              </w:rPr>
              <w:t xml:space="preserve"> </w:t>
            </w:r>
          </w:p>
        </w:tc>
        <w:tc>
          <w:tcPr>
            <w:tcW w:w="1733" w:type="dxa"/>
            <w:shd w:val="clear" w:color="auto" w:fill="auto"/>
          </w:tcPr>
          <w:p w14:paraId="66E7C16C" w14:textId="3C992AB6" w:rsidR="000C7E45" w:rsidRPr="00D90C82" w:rsidRDefault="000C7E45" w:rsidP="000C7E45">
            <w:pPr>
              <w:pStyle w:val="Dates"/>
              <w:spacing w:before="120"/>
              <w:rPr>
                <w:rFonts w:ascii="Times New Roman" w:hAnsi="Times New Roman" w:cs="Times New Roman"/>
              </w:rPr>
            </w:pPr>
          </w:p>
        </w:tc>
      </w:tr>
      <w:tr w:rsidR="000C7E45" w:rsidRPr="00D90C82" w14:paraId="3E03FA24" w14:textId="77777777" w:rsidTr="00FF3572">
        <w:trPr>
          <w:cantSplit/>
          <w:trHeight w:hRule="exact" w:val="1584"/>
        </w:trPr>
        <w:tc>
          <w:tcPr>
            <w:tcW w:w="822" w:type="dxa"/>
            <w:shd w:val="clear" w:color="auto" w:fill="auto"/>
            <w:tcMar>
              <w:top w:w="115" w:type="dxa"/>
              <w:left w:w="115" w:type="dxa"/>
              <w:bottom w:w="115" w:type="dxa"/>
              <w:right w:w="115" w:type="dxa"/>
            </w:tcMar>
          </w:tcPr>
          <w:p w14:paraId="2D5BFF6A" w14:textId="77777777" w:rsidR="000C7E45" w:rsidRPr="00D90C82" w:rsidRDefault="000C7E45" w:rsidP="000C7E45">
            <w:pPr>
              <w:pStyle w:val="Dates"/>
              <w:jc w:val="center"/>
              <w:rPr>
                <w:rFonts w:ascii="Times New Roman" w:hAnsi="Times New Roman" w:cs="Times New Roman"/>
                <w:sz w:val="28"/>
                <w:szCs w:val="28"/>
              </w:rPr>
            </w:pPr>
          </w:p>
          <w:p w14:paraId="3D624C77" w14:textId="77777777" w:rsidR="000C7E45" w:rsidRPr="00D90C82" w:rsidRDefault="000C7E45" w:rsidP="000C7E45">
            <w:pPr>
              <w:pStyle w:val="Dates"/>
              <w:jc w:val="center"/>
              <w:rPr>
                <w:rFonts w:ascii="Times New Roman" w:hAnsi="Times New Roman" w:cs="Times New Roman"/>
                <w:sz w:val="28"/>
                <w:szCs w:val="28"/>
              </w:rPr>
            </w:pPr>
          </w:p>
          <w:p w14:paraId="7F1C4B97" w14:textId="77777777" w:rsidR="000C7E45" w:rsidRPr="00D90C82" w:rsidRDefault="000C7E45" w:rsidP="000C7E45">
            <w:pPr>
              <w:pStyle w:val="Dates"/>
              <w:jc w:val="center"/>
              <w:rPr>
                <w:rFonts w:ascii="Times New Roman" w:hAnsi="Times New Roman" w:cs="Times New Roman"/>
              </w:rPr>
            </w:pPr>
            <w:r w:rsidRPr="00D90C82">
              <w:rPr>
                <w:rFonts w:ascii="Times New Roman" w:hAnsi="Times New Roman" w:cs="Times New Roman"/>
                <w:sz w:val="28"/>
                <w:szCs w:val="28"/>
              </w:rPr>
              <w:t>EU</w:t>
            </w:r>
          </w:p>
        </w:tc>
        <w:tc>
          <w:tcPr>
            <w:tcW w:w="1876" w:type="dxa"/>
            <w:shd w:val="clear" w:color="auto" w:fill="auto"/>
            <w:tcMar>
              <w:top w:w="115" w:type="dxa"/>
              <w:left w:w="115" w:type="dxa"/>
              <w:bottom w:w="115" w:type="dxa"/>
              <w:right w:w="115" w:type="dxa"/>
            </w:tcMar>
          </w:tcPr>
          <w:p w14:paraId="7B8CE24D" w14:textId="77777777" w:rsidR="000C7E45" w:rsidRPr="00D90C82" w:rsidRDefault="000C7E45" w:rsidP="000C7E45">
            <w:pPr>
              <w:pStyle w:val="Dates"/>
              <w:spacing w:before="120"/>
              <w:rPr>
                <w:rFonts w:ascii="Times New Roman" w:hAnsi="Times New Roman" w:cs="Times New Roman"/>
              </w:rPr>
            </w:pPr>
          </w:p>
        </w:tc>
        <w:tc>
          <w:tcPr>
            <w:tcW w:w="1877" w:type="dxa"/>
            <w:shd w:val="clear" w:color="auto" w:fill="auto"/>
            <w:tcMar>
              <w:top w:w="115" w:type="dxa"/>
              <w:left w:w="115" w:type="dxa"/>
              <w:bottom w:w="115" w:type="dxa"/>
              <w:right w:w="115" w:type="dxa"/>
            </w:tcMar>
          </w:tcPr>
          <w:p w14:paraId="66D2AD50" w14:textId="77777777" w:rsidR="000C7E45" w:rsidRPr="00D90C82" w:rsidRDefault="000C7E45" w:rsidP="00DB2CF0">
            <w:pPr>
              <w:pStyle w:val="Dates"/>
              <w:spacing w:before="120"/>
              <w:rPr>
                <w:rFonts w:ascii="Times New Roman" w:hAnsi="Times New Roman" w:cs="Times New Roman"/>
                <w:b/>
              </w:rPr>
            </w:pPr>
          </w:p>
        </w:tc>
        <w:tc>
          <w:tcPr>
            <w:tcW w:w="1877" w:type="dxa"/>
            <w:shd w:val="clear" w:color="auto" w:fill="auto"/>
            <w:tcMar>
              <w:top w:w="115" w:type="dxa"/>
              <w:left w:w="115" w:type="dxa"/>
              <w:bottom w:w="115" w:type="dxa"/>
              <w:right w:w="115" w:type="dxa"/>
            </w:tcMar>
          </w:tcPr>
          <w:p w14:paraId="009103BE" w14:textId="36805265" w:rsidR="000C7E45" w:rsidRPr="00D90C82" w:rsidRDefault="000C7E45" w:rsidP="000C7E45">
            <w:pPr>
              <w:pStyle w:val="Dates"/>
              <w:spacing w:before="120"/>
              <w:rPr>
                <w:rFonts w:ascii="Times New Roman" w:hAnsi="Times New Roman" w:cs="Times New Roman"/>
                <w:i/>
                <w:sz w:val="18"/>
                <w:szCs w:val="18"/>
              </w:rPr>
            </w:pPr>
          </w:p>
        </w:tc>
        <w:tc>
          <w:tcPr>
            <w:tcW w:w="1733" w:type="dxa"/>
            <w:shd w:val="clear" w:color="auto" w:fill="auto"/>
            <w:tcMar>
              <w:top w:w="115" w:type="dxa"/>
              <w:left w:w="115" w:type="dxa"/>
              <w:bottom w:w="115" w:type="dxa"/>
              <w:right w:w="115" w:type="dxa"/>
            </w:tcMar>
          </w:tcPr>
          <w:p w14:paraId="56493B1B" w14:textId="1ACC9BC3" w:rsidR="000C7E45" w:rsidRPr="00D90C82" w:rsidRDefault="000C7E45" w:rsidP="000C7E45">
            <w:pPr>
              <w:pStyle w:val="Dates"/>
              <w:spacing w:before="120"/>
              <w:rPr>
                <w:rFonts w:ascii="Times New Roman" w:hAnsi="Times New Roman" w:cs="Times New Roman"/>
              </w:rPr>
            </w:pPr>
          </w:p>
        </w:tc>
        <w:tc>
          <w:tcPr>
            <w:tcW w:w="1733" w:type="dxa"/>
            <w:shd w:val="clear" w:color="auto" w:fill="auto"/>
            <w:tcMar>
              <w:top w:w="115" w:type="dxa"/>
              <w:left w:w="115" w:type="dxa"/>
              <w:bottom w:w="115" w:type="dxa"/>
              <w:right w:w="115" w:type="dxa"/>
            </w:tcMar>
          </w:tcPr>
          <w:p w14:paraId="752C429A" w14:textId="6EC66458" w:rsidR="000C7E45" w:rsidRPr="00A2275E" w:rsidRDefault="000C7E45" w:rsidP="000C7E45">
            <w:pPr>
              <w:pStyle w:val="Dates"/>
              <w:spacing w:before="120"/>
              <w:rPr>
                <w:rFonts w:ascii="Times New Roman" w:hAnsi="Times New Roman" w:cs="Times New Roman"/>
                <w:b/>
              </w:rPr>
            </w:pPr>
          </w:p>
        </w:tc>
      </w:tr>
      <w:tr w:rsidR="000C7E45" w:rsidRPr="00D90C82" w14:paraId="2200F4BF" w14:textId="77777777" w:rsidTr="00FF3572">
        <w:trPr>
          <w:cantSplit/>
          <w:trHeight w:hRule="exact" w:val="1584"/>
        </w:trPr>
        <w:tc>
          <w:tcPr>
            <w:tcW w:w="822" w:type="dxa"/>
            <w:shd w:val="clear" w:color="auto" w:fill="auto"/>
            <w:tcMar>
              <w:top w:w="115" w:type="dxa"/>
              <w:left w:w="115" w:type="dxa"/>
              <w:bottom w:w="115" w:type="dxa"/>
              <w:right w:w="115" w:type="dxa"/>
            </w:tcMar>
          </w:tcPr>
          <w:p w14:paraId="39A01C02" w14:textId="77777777" w:rsidR="000C7E45" w:rsidRPr="00D90C82" w:rsidRDefault="000C7E45" w:rsidP="000C7E45">
            <w:pPr>
              <w:pStyle w:val="Dates"/>
              <w:rPr>
                <w:rFonts w:ascii="Times New Roman" w:hAnsi="Times New Roman" w:cs="Times New Roman"/>
              </w:rPr>
            </w:pPr>
          </w:p>
          <w:p w14:paraId="4E5F45E7" w14:textId="77777777" w:rsidR="000C7E45" w:rsidRPr="00D90C82" w:rsidRDefault="000C7E45" w:rsidP="000C7E45">
            <w:pPr>
              <w:pStyle w:val="Dates"/>
              <w:rPr>
                <w:rFonts w:ascii="Times New Roman" w:hAnsi="Times New Roman" w:cs="Times New Roman"/>
              </w:rPr>
            </w:pPr>
          </w:p>
          <w:p w14:paraId="38098C34" w14:textId="77777777" w:rsidR="000C7E45" w:rsidRPr="00D90C82" w:rsidRDefault="000C7E45" w:rsidP="000C7E45">
            <w:pPr>
              <w:pStyle w:val="Dates"/>
              <w:jc w:val="center"/>
              <w:rPr>
                <w:rFonts w:ascii="Times New Roman" w:hAnsi="Times New Roman" w:cs="Times New Roman"/>
              </w:rPr>
            </w:pPr>
            <w:r w:rsidRPr="00D90C82">
              <w:rPr>
                <w:rFonts w:ascii="Times New Roman" w:hAnsi="Times New Roman" w:cs="Times New Roman"/>
                <w:sz w:val="28"/>
                <w:szCs w:val="28"/>
              </w:rPr>
              <w:t>EM</w:t>
            </w:r>
          </w:p>
        </w:tc>
        <w:tc>
          <w:tcPr>
            <w:tcW w:w="1876" w:type="dxa"/>
            <w:shd w:val="clear" w:color="auto" w:fill="auto"/>
            <w:tcMar>
              <w:top w:w="115" w:type="dxa"/>
              <w:left w:w="115" w:type="dxa"/>
              <w:bottom w:w="115" w:type="dxa"/>
              <w:right w:w="115" w:type="dxa"/>
            </w:tcMar>
          </w:tcPr>
          <w:p w14:paraId="1A3DE454" w14:textId="77777777" w:rsidR="000C7E45" w:rsidRPr="00F806BC" w:rsidRDefault="000C7E45" w:rsidP="000C7E45">
            <w:pPr>
              <w:pStyle w:val="Dates"/>
              <w:spacing w:before="120"/>
              <w:rPr>
                <w:rFonts w:ascii="Times New Roman" w:hAnsi="Times New Roman" w:cs="Times New Roman"/>
                <w:b/>
                <w:lang w:val="es-MX"/>
              </w:rPr>
            </w:pPr>
          </w:p>
          <w:p w14:paraId="61548633" w14:textId="77777777" w:rsidR="000C7E45" w:rsidRPr="00D90C82" w:rsidRDefault="000C7E45" w:rsidP="000C7E45">
            <w:pPr>
              <w:pStyle w:val="Dates"/>
              <w:spacing w:before="120"/>
              <w:rPr>
                <w:rFonts w:ascii="Times New Roman" w:hAnsi="Times New Roman" w:cs="Times New Roman"/>
              </w:rPr>
            </w:pPr>
          </w:p>
        </w:tc>
        <w:tc>
          <w:tcPr>
            <w:tcW w:w="1877" w:type="dxa"/>
            <w:shd w:val="clear" w:color="auto" w:fill="auto"/>
            <w:tcMar>
              <w:top w:w="115" w:type="dxa"/>
              <w:left w:w="115" w:type="dxa"/>
              <w:bottom w:w="115" w:type="dxa"/>
              <w:right w:w="115" w:type="dxa"/>
            </w:tcMar>
          </w:tcPr>
          <w:p w14:paraId="167037B4" w14:textId="77777777" w:rsidR="000C7E45" w:rsidRPr="000C7E45" w:rsidRDefault="000C7E45" w:rsidP="000C7E45">
            <w:pPr>
              <w:pStyle w:val="Dates"/>
              <w:spacing w:before="120"/>
              <w:rPr>
                <w:rFonts w:ascii="Times New Roman" w:hAnsi="Times New Roman" w:cs="Times New Roman"/>
                <w:b/>
                <w:lang w:val="es-MX"/>
              </w:rPr>
            </w:pPr>
          </w:p>
          <w:p w14:paraId="6A15B234" w14:textId="77777777" w:rsidR="000C7E45" w:rsidRPr="000C7E45" w:rsidRDefault="000C7E45" w:rsidP="000C7E45">
            <w:pPr>
              <w:pStyle w:val="Dates"/>
              <w:spacing w:before="120"/>
              <w:rPr>
                <w:rFonts w:ascii="Times New Roman" w:hAnsi="Times New Roman" w:cs="Times New Roman"/>
                <w:b/>
                <w:lang w:val="es-MX"/>
              </w:rPr>
            </w:pPr>
          </w:p>
          <w:p w14:paraId="48D0E0B7" w14:textId="77777777" w:rsidR="000C7E45" w:rsidRPr="00D90C82" w:rsidRDefault="000C7E45" w:rsidP="000C7E45">
            <w:pPr>
              <w:pStyle w:val="Dates"/>
              <w:spacing w:before="120"/>
              <w:rPr>
                <w:rFonts w:ascii="Times New Roman" w:hAnsi="Times New Roman" w:cs="Times New Roman"/>
              </w:rPr>
            </w:pPr>
          </w:p>
        </w:tc>
        <w:tc>
          <w:tcPr>
            <w:tcW w:w="1877" w:type="dxa"/>
            <w:shd w:val="clear" w:color="auto" w:fill="auto"/>
            <w:tcMar>
              <w:top w:w="115" w:type="dxa"/>
              <w:left w:w="115" w:type="dxa"/>
              <w:bottom w:w="115" w:type="dxa"/>
              <w:right w:w="115" w:type="dxa"/>
            </w:tcMar>
          </w:tcPr>
          <w:p w14:paraId="122E525F" w14:textId="77777777" w:rsidR="000C7E45" w:rsidRPr="00D90C82" w:rsidRDefault="000C7E45" w:rsidP="000C7E45">
            <w:pPr>
              <w:pStyle w:val="Dates"/>
              <w:spacing w:before="120"/>
              <w:rPr>
                <w:rFonts w:ascii="Times New Roman" w:hAnsi="Times New Roman" w:cs="Times New Roman"/>
                <w:i/>
                <w:sz w:val="18"/>
                <w:szCs w:val="18"/>
              </w:rPr>
            </w:pPr>
          </w:p>
        </w:tc>
        <w:tc>
          <w:tcPr>
            <w:tcW w:w="1733" w:type="dxa"/>
            <w:shd w:val="clear" w:color="auto" w:fill="auto"/>
            <w:tcMar>
              <w:top w:w="115" w:type="dxa"/>
              <w:left w:w="115" w:type="dxa"/>
              <w:bottom w:w="115" w:type="dxa"/>
              <w:right w:w="115" w:type="dxa"/>
            </w:tcMar>
          </w:tcPr>
          <w:p w14:paraId="18BD2356" w14:textId="63311EBC" w:rsidR="000C7E45" w:rsidRPr="000C7E45" w:rsidRDefault="000C7E45" w:rsidP="000C7E45">
            <w:pPr>
              <w:pStyle w:val="Dates"/>
              <w:spacing w:before="120"/>
              <w:rPr>
                <w:rFonts w:ascii="Times New Roman" w:hAnsi="Times New Roman" w:cs="Times New Roman"/>
                <w:i/>
                <w:sz w:val="18"/>
                <w:szCs w:val="18"/>
                <w:lang w:val="en-US"/>
              </w:rPr>
            </w:pPr>
          </w:p>
        </w:tc>
        <w:tc>
          <w:tcPr>
            <w:tcW w:w="1733" w:type="dxa"/>
            <w:shd w:val="clear" w:color="auto" w:fill="auto"/>
            <w:tcMar>
              <w:top w:w="115" w:type="dxa"/>
              <w:left w:w="115" w:type="dxa"/>
              <w:bottom w:w="115" w:type="dxa"/>
              <w:right w:w="115" w:type="dxa"/>
            </w:tcMar>
          </w:tcPr>
          <w:p w14:paraId="6F4E1823" w14:textId="7E96330B" w:rsidR="000C7E45" w:rsidRPr="00D90C82" w:rsidRDefault="000C7E45" w:rsidP="000C7E45">
            <w:pPr>
              <w:pStyle w:val="Dates"/>
              <w:spacing w:before="120"/>
              <w:rPr>
                <w:rFonts w:ascii="Times New Roman" w:hAnsi="Times New Roman" w:cs="Times New Roman"/>
              </w:rPr>
            </w:pPr>
          </w:p>
        </w:tc>
      </w:tr>
      <w:tr w:rsidR="000C7E45" w:rsidRPr="00D90C82" w14:paraId="17216FC3" w14:textId="77777777" w:rsidTr="00FF3572">
        <w:trPr>
          <w:cantSplit/>
          <w:trHeight w:hRule="exact" w:val="1584"/>
        </w:trPr>
        <w:tc>
          <w:tcPr>
            <w:tcW w:w="822" w:type="dxa"/>
            <w:shd w:val="clear" w:color="auto" w:fill="auto"/>
            <w:tcMar>
              <w:top w:w="115" w:type="dxa"/>
              <w:left w:w="115" w:type="dxa"/>
              <w:bottom w:w="115" w:type="dxa"/>
              <w:right w:w="115" w:type="dxa"/>
            </w:tcMar>
          </w:tcPr>
          <w:p w14:paraId="19BA0AF2" w14:textId="77777777" w:rsidR="000C7E45" w:rsidRPr="00D90C82" w:rsidRDefault="000C7E45" w:rsidP="000C7E45">
            <w:pPr>
              <w:pStyle w:val="Dates"/>
              <w:jc w:val="center"/>
              <w:rPr>
                <w:rFonts w:ascii="Times New Roman" w:hAnsi="Times New Roman" w:cs="Times New Roman"/>
                <w:sz w:val="28"/>
                <w:szCs w:val="28"/>
              </w:rPr>
            </w:pPr>
          </w:p>
          <w:p w14:paraId="1142AB4D" w14:textId="77777777" w:rsidR="000C7E45" w:rsidRPr="00D90C82" w:rsidRDefault="000C7E45" w:rsidP="000C7E45">
            <w:pPr>
              <w:pStyle w:val="Dates"/>
              <w:jc w:val="center"/>
              <w:rPr>
                <w:rFonts w:ascii="Times New Roman" w:hAnsi="Times New Roman" w:cs="Times New Roman"/>
                <w:sz w:val="28"/>
                <w:szCs w:val="28"/>
              </w:rPr>
            </w:pPr>
            <w:r w:rsidRPr="00D90C82">
              <w:rPr>
                <w:rFonts w:ascii="Times New Roman" w:hAnsi="Times New Roman" w:cs="Times New Roman"/>
                <w:sz w:val="28"/>
                <w:szCs w:val="28"/>
              </w:rPr>
              <w:t>ARG</w:t>
            </w:r>
          </w:p>
          <w:p w14:paraId="45B26417" w14:textId="77777777" w:rsidR="000C7E45" w:rsidRPr="00D90C82" w:rsidRDefault="000C7E45" w:rsidP="000C7E45">
            <w:pPr>
              <w:pStyle w:val="Dates"/>
              <w:rPr>
                <w:rFonts w:ascii="Times New Roman" w:hAnsi="Times New Roman" w:cs="Times New Roman"/>
              </w:rPr>
            </w:pPr>
          </w:p>
        </w:tc>
        <w:tc>
          <w:tcPr>
            <w:tcW w:w="1876" w:type="dxa"/>
            <w:shd w:val="clear" w:color="auto" w:fill="auto"/>
            <w:tcMar>
              <w:top w:w="115" w:type="dxa"/>
              <w:left w:w="115" w:type="dxa"/>
              <w:bottom w:w="115" w:type="dxa"/>
              <w:right w:w="115" w:type="dxa"/>
            </w:tcMar>
          </w:tcPr>
          <w:p w14:paraId="67B6AC41" w14:textId="77777777" w:rsidR="000C7E45" w:rsidRPr="00D90C82" w:rsidRDefault="000C7E45" w:rsidP="000C7E45">
            <w:pPr>
              <w:pStyle w:val="Dates"/>
              <w:spacing w:before="120"/>
              <w:rPr>
                <w:rFonts w:ascii="Times New Roman" w:hAnsi="Times New Roman" w:cs="Times New Roman"/>
              </w:rPr>
            </w:pPr>
          </w:p>
        </w:tc>
        <w:tc>
          <w:tcPr>
            <w:tcW w:w="1877" w:type="dxa"/>
            <w:shd w:val="clear" w:color="auto" w:fill="auto"/>
            <w:tcMar>
              <w:top w:w="115" w:type="dxa"/>
              <w:left w:w="115" w:type="dxa"/>
              <w:bottom w:w="115" w:type="dxa"/>
              <w:right w:w="115" w:type="dxa"/>
            </w:tcMar>
          </w:tcPr>
          <w:p w14:paraId="5EDC2EEB" w14:textId="77777777" w:rsidR="000C7E45" w:rsidRDefault="000C7E45" w:rsidP="000C7E45">
            <w:pPr>
              <w:pStyle w:val="Dates"/>
              <w:spacing w:before="120"/>
              <w:rPr>
                <w:rFonts w:ascii="Times New Roman" w:hAnsi="Times New Roman" w:cs="Times New Roman"/>
                <w:b/>
              </w:rPr>
            </w:pPr>
          </w:p>
          <w:p w14:paraId="65FB3B03" w14:textId="77777777" w:rsidR="000C7E45" w:rsidRPr="00D90C82" w:rsidRDefault="000C7E45" w:rsidP="000C7E45">
            <w:pPr>
              <w:pStyle w:val="Dates"/>
              <w:spacing w:before="120"/>
              <w:rPr>
                <w:rFonts w:ascii="Times New Roman" w:hAnsi="Times New Roman" w:cs="Times New Roman"/>
              </w:rPr>
            </w:pPr>
          </w:p>
        </w:tc>
        <w:tc>
          <w:tcPr>
            <w:tcW w:w="1877" w:type="dxa"/>
            <w:shd w:val="clear" w:color="auto" w:fill="auto"/>
            <w:tcMar>
              <w:top w:w="115" w:type="dxa"/>
              <w:left w:w="115" w:type="dxa"/>
              <w:bottom w:w="115" w:type="dxa"/>
              <w:right w:w="115" w:type="dxa"/>
            </w:tcMar>
          </w:tcPr>
          <w:p w14:paraId="7E19DD38" w14:textId="77777777" w:rsidR="000C7E45" w:rsidRPr="00D90C82" w:rsidRDefault="000C7E45" w:rsidP="000C7E45">
            <w:pPr>
              <w:pStyle w:val="Dates"/>
              <w:spacing w:before="120"/>
              <w:rPr>
                <w:rFonts w:ascii="Times New Roman" w:hAnsi="Times New Roman" w:cs="Times New Roman"/>
                <w:b/>
              </w:rPr>
            </w:pPr>
          </w:p>
        </w:tc>
        <w:tc>
          <w:tcPr>
            <w:tcW w:w="1733" w:type="dxa"/>
            <w:shd w:val="clear" w:color="auto" w:fill="auto"/>
            <w:tcMar>
              <w:top w:w="115" w:type="dxa"/>
              <w:left w:w="115" w:type="dxa"/>
              <w:bottom w:w="115" w:type="dxa"/>
              <w:right w:w="115" w:type="dxa"/>
            </w:tcMar>
          </w:tcPr>
          <w:p w14:paraId="4148A800" w14:textId="6E75084E" w:rsidR="000C7E45" w:rsidRPr="004421F5" w:rsidRDefault="000C7E45" w:rsidP="000C7E45">
            <w:pPr>
              <w:pStyle w:val="Dates"/>
              <w:spacing w:before="120"/>
              <w:rPr>
                <w:rFonts w:ascii="Times New Roman" w:hAnsi="Times New Roman" w:cs="Times New Roman"/>
                <w:b/>
              </w:rPr>
            </w:pPr>
          </w:p>
        </w:tc>
        <w:tc>
          <w:tcPr>
            <w:tcW w:w="1733" w:type="dxa"/>
            <w:shd w:val="clear" w:color="auto" w:fill="auto"/>
            <w:tcMar>
              <w:top w:w="115" w:type="dxa"/>
              <w:left w:w="115" w:type="dxa"/>
              <w:bottom w:w="115" w:type="dxa"/>
              <w:right w:w="115" w:type="dxa"/>
            </w:tcMar>
          </w:tcPr>
          <w:p w14:paraId="78B3769D" w14:textId="77777777" w:rsidR="000C7E45" w:rsidRDefault="000C7E45" w:rsidP="000C7E45">
            <w:pPr>
              <w:pStyle w:val="Dates"/>
              <w:spacing w:before="120"/>
              <w:rPr>
                <w:rFonts w:ascii="Times New Roman" w:hAnsi="Times New Roman" w:cs="Times New Roman"/>
                <w:b/>
              </w:rPr>
            </w:pPr>
          </w:p>
          <w:p w14:paraId="1B61EF2E" w14:textId="4FFDE72A" w:rsidR="000C7E45" w:rsidRPr="00D90C82" w:rsidRDefault="000C7E45" w:rsidP="000C7E45">
            <w:pPr>
              <w:pStyle w:val="Dates"/>
              <w:spacing w:before="120"/>
              <w:rPr>
                <w:rFonts w:ascii="Times New Roman" w:hAnsi="Times New Roman" w:cs="Times New Roman"/>
              </w:rPr>
            </w:pPr>
          </w:p>
        </w:tc>
      </w:tr>
    </w:tbl>
    <w:p w14:paraId="78C93A38" w14:textId="77777777" w:rsidR="001B6E94" w:rsidRDefault="001B6E94">
      <w:pPr>
        <w:spacing w:before="0" w:after="0"/>
        <w:jc w:val="left"/>
      </w:pPr>
    </w:p>
    <w:p w14:paraId="4750F00E" w14:textId="7260E433" w:rsidR="00920475" w:rsidRDefault="001B6E94">
      <w:pPr>
        <w:spacing w:before="0" w:after="0"/>
        <w:jc w:val="left"/>
      </w:pPr>
      <w:r>
        <w:lastRenderedPageBreak/>
        <w:br w:type="page"/>
      </w:r>
    </w:p>
    <w:tbl>
      <w:tblPr>
        <w:tblW w:w="10031" w:type="dxa"/>
        <w:tblLayout w:type="fixed"/>
        <w:tblLook w:val="04A0" w:firstRow="1" w:lastRow="0" w:firstColumn="1" w:lastColumn="0" w:noHBand="0" w:noVBand="1"/>
      </w:tblPr>
      <w:tblGrid>
        <w:gridCol w:w="3458"/>
        <w:gridCol w:w="6573"/>
      </w:tblGrid>
      <w:tr w:rsidR="00A316BC" w:rsidRPr="00657687" w14:paraId="5FA7E9C2" w14:textId="77777777" w:rsidTr="00A316BC">
        <w:tc>
          <w:tcPr>
            <w:tcW w:w="3458" w:type="dxa"/>
          </w:tcPr>
          <w:p w14:paraId="07163224" w14:textId="77777777" w:rsidR="00A316BC" w:rsidRPr="00657687" w:rsidRDefault="00A316BC" w:rsidP="003C2045">
            <w:pPr>
              <w:spacing w:before="0"/>
              <w:rPr>
                <w:sz w:val="20"/>
              </w:rPr>
            </w:pPr>
          </w:p>
        </w:tc>
        <w:tc>
          <w:tcPr>
            <w:tcW w:w="6573" w:type="dxa"/>
          </w:tcPr>
          <w:p w14:paraId="798E3583" w14:textId="77777777" w:rsidR="00A316BC" w:rsidRPr="00657687" w:rsidRDefault="00A316BC" w:rsidP="003C2045">
            <w:pPr>
              <w:spacing w:before="0"/>
              <w:rPr>
                <w:b/>
                <w:sz w:val="72"/>
                <w:szCs w:val="72"/>
              </w:rPr>
            </w:pPr>
            <w:r w:rsidRPr="00E462FF">
              <w:rPr>
                <w:b/>
                <w:sz w:val="52"/>
                <w:szCs w:val="72"/>
              </w:rPr>
              <w:t>Anexo I</w:t>
            </w:r>
          </w:p>
        </w:tc>
      </w:tr>
      <w:tr w:rsidR="00A316BC" w:rsidRPr="00657687" w14:paraId="01AD646D" w14:textId="77777777" w:rsidTr="00593D78">
        <w:trPr>
          <w:trHeight w:val="366"/>
        </w:trPr>
        <w:tc>
          <w:tcPr>
            <w:tcW w:w="3458" w:type="dxa"/>
          </w:tcPr>
          <w:p w14:paraId="47BFAB64" w14:textId="77777777" w:rsidR="00A316BC" w:rsidRPr="00657687" w:rsidRDefault="00A316BC" w:rsidP="003C2045">
            <w:pPr>
              <w:spacing w:before="0" w:after="0"/>
              <w:jc w:val="left"/>
              <w:rPr>
                <w:sz w:val="20"/>
              </w:rPr>
            </w:pPr>
          </w:p>
        </w:tc>
        <w:tc>
          <w:tcPr>
            <w:tcW w:w="6573" w:type="dxa"/>
          </w:tcPr>
          <w:p w14:paraId="1F1EF518" w14:textId="77777777" w:rsidR="00A316BC" w:rsidRPr="00657687" w:rsidRDefault="00A316BC" w:rsidP="003C2045">
            <w:pPr>
              <w:spacing w:before="0"/>
              <w:rPr>
                <w:b/>
                <w:sz w:val="32"/>
                <w:szCs w:val="32"/>
              </w:rPr>
            </w:pPr>
            <w:r w:rsidRPr="00E462FF">
              <w:rPr>
                <w:b/>
                <w:sz w:val="24"/>
                <w:szCs w:val="32"/>
              </w:rPr>
              <w:t>Cuadro de Control</w:t>
            </w:r>
          </w:p>
        </w:tc>
      </w:tr>
      <w:tr w:rsidR="00A316BC" w:rsidRPr="00657687" w14:paraId="397E0370" w14:textId="77777777" w:rsidTr="00A316BC">
        <w:tc>
          <w:tcPr>
            <w:tcW w:w="3458" w:type="dxa"/>
          </w:tcPr>
          <w:p w14:paraId="73F260BE" w14:textId="77777777" w:rsidR="00A316BC" w:rsidRPr="00657687" w:rsidRDefault="00A316BC" w:rsidP="003C2045">
            <w:pPr>
              <w:spacing w:before="0" w:after="0"/>
              <w:rPr>
                <w:sz w:val="20"/>
              </w:rPr>
            </w:pPr>
          </w:p>
        </w:tc>
        <w:tc>
          <w:tcPr>
            <w:tcW w:w="6573" w:type="dxa"/>
          </w:tcPr>
          <w:p w14:paraId="34764D3E" w14:textId="77777777" w:rsidR="00A316BC" w:rsidRPr="00657687" w:rsidRDefault="00A316BC" w:rsidP="003C2045">
            <w:pPr>
              <w:spacing w:before="0" w:after="60"/>
              <w:rPr>
                <w:b/>
                <w:szCs w:val="22"/>
              </w:rPr>
            </w:pPr>
            <w:r w:rsidRPr="00E462FF">
              <w:rPr>
                <w:b/>
                <w:sz w:val="20"/>
                <w:szCs w:val="22"/>
              </w:rPr>
              <w:t>Lectura de los “termómetros”</w:t>
            </w:r>
          </w:p>
        </w:tc>
      </w:tr>
      <w:tr w:rsidR="00A316BC" w:rsidRPr="00657687" w14:paraId="195AA110" w14:textId="77777777" w:rsidTr="00A316BC">
        <w:tc>
          <w:tcPr>
            <w:tcW w:w="3458" w:type="dxa"/>
          </w:tcPr>
          <w:p w14:paraId="3256B734" w14:textId="77777777" w:rsidR="00A316BC" w:rsidRPr="00FC4434" w:rsidRDefault="00A316BC" w:rsidP="003C2045">
            <w:pPr>
              <w:spacing w:before="60" w:after="60"/>
              <w:jc w:val="center"/>
              <w:rPr>
                <w:b/>
                <w:sz w:val="20"/>
                <w:u w:val="single"/>
              </w:rPr>
            </w:pPr>
            <w:r w:rsidRPr="00FC4434">
              <w:rPr>
                <w:b/>
                <w:sz w:val="20"/>
                <w:u w:val="single"/>
              </w:rPr>
              <w:t>“Termómetro” de referencia</w:t>
            </w:r>
          </w:p>
          <w:p w14:paraId="43BF25B9" w14:textId="77777777" w:rsidR="00A316BC" w:rsidRPr="004F0ABD" w:rsidRDefault="00A316BC" w:rsidP="003C2045">
            <w:pPr>
              <w:spacing w:before="0" w:after="0"/>
              <w:jc w:val="center"/>
              <w:rPr>
                <w:sz w:val="20"/>
              </w:rPr>
            </w:pPr>
            <w:r>
              <w:rPr>
                <w:noProof/>
                <w:sz w:val="20"/>
                <w:lang w:eastAsia="es-AR"/>
              </w:rPr>
              <w:drawing>
                <wp:inline distT="0" distB="0" distL="0" distR="0" wp14:anchorId="55E68622" wp14:editId="07B4A909">
                  <wp:extent cx="1283970" cy="593725"/>
                  <wp:effectExtent l="19050" t="0" r="0"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1283970" cy="593725"/>
                          </a:xfrm>
                          <a:prstGeom prst="rect">
                            <a:avLst/>
                          </a:prstGeom>
                          <a:noFill/>
                          <a:ln w="9525">
                            <a:noFill/>
                            <a:miter lim="800000"/>
                            <a:headEnd/>
                            <a:tailEnd/>
                          </a:ln>
                        </pic:spPr>
                      </pic:pic>
                    </a:graphicData>
                  </a:graphic>
                </wp:inline>
              </w:drawing>
            </w:r>
          </w:p>
        </w:tc>
        <w:tc>
          <w:tcPr>
            <w:tcW w:w="6573" w:type="dxa"/>
          </w:tcPr>
          <w:p w14:paraId="17171043" w14:textId="77777777" w:rsidR="00A316BC" w:rsidRPr="00E462FF" w:rsidRDefault="00A316BC" w:rsidP="003C2045">
            <w:pPr>
              <w:spacing w:before="0" w:after="60"/>
              <w:rPr>
                <w:sz w:val="16"/>
              </w:rPr>
            </w:pPr>
            <w:r>
              <w:rPr>
                <w:sz w:val="16"/>
              </w:rPr>
              <w:t>L</w:t>
            </w:r>
            <w:r w:rsidRPr="00E462FF">
              <w:rPr>
                <w:sz w:val="16"/>
              </w:rPr>
              <w:t xml:space="preserve">os “termómetros” </w:t>
            </w:r>
            <w:r>
              <w:rPr>
                <w:sz w:val="16"/>
              </w:rPr>
              <w:t xml:space="preserve">permiten </w:t>
            </w:r>
            <w:r w:rsidRPr="00E462FF">
              <w:rPr>
                <w:sz w:val="16"/>
              </w:rPr>
              <w:t>una lectura simple, rápida e integral de la coyuntura y perspectivas del mercado bursátil de referencia (S&amp;P 500</w:t>
            </w:r>
            <w:r>
              <w:rPr>
                <w:sz w:val="16"/>
              </w:rPr>
              <w:t>, “SPX”</w:t>
            </w:r>
            <w:r w:rsidRPr="00E462FF">
              <w:rPr>
                <w:sz w:val="16"/>
              </w:rPr>
              <w:t xml:space="preserve">). Las conclusiones que extraemos </w:t>
            </w:r>
            <w:r>
              <w:rPr>
                <w:sz w:val="16"/>
              </w:rPr>
              <w:t>buscan orientar</w:t>
            </w:r>
            <w:r w:rsidRPr="00E462FF">
              <w:rPr>
                <w:sz w:val="16"/>
              </w:rPr>
              <w:t xml:space="preserve"> la asignación estructural de activos y las posiciones técnicas, siempre en relación con el horizonte de planificación y otras particularidades de cada inversor, y </w:t>
            </w:r>
            <w:r w:rsidR="00113746">
              <w:rPr>
                <w:sz w:val="16"/>
              </w:rPr>
              <w:t>junto a</w:t>
            </w:r>
            <w:r w:rsidRPr="00E462FF">
              <w:rPr>
                <w:sz w:val="16"/>
              </w:rPr>
              <w:t xml:space="preserve"> otras circunstancias del mercado.</w:t>
            </w:r>
          </w:p>
          <w:p w14:paraId="6AD79CF3" w14:textId="77777777" w:rsidR="00A316BC" w:rsidRPr="00E462FF" w:rsidRDefault="00A316BC" w:rsidP="003C2045">
            <w:pPr>
              <w:spacing w:before="0" w:after="60"/>
              <w:rPr>
                <w:sz w:val="16"/>
              </w:rPr>
            </w:pPr>
            <w:r w:rsidRPr="00E462FF">
              <w:rPr>
                <w:sz w:val="16"/>
              </w:rPr>
              <w:t>Es así que la lectura de los termómetros es relativa a cada inversor</w:t>
            </w:r>
            <w:r w:rsidR="00113746">
              <w:rPr>
                <w:sz w:val="16"/>
              </w:rPr>
              <w:t xml:space="preserve"> y sus circunstancias</w:t>
            </w:r>
            <w:r w:rsidRPr="00E462FF">
              <w:rPr>
                <w:sz w:val="16"/>
              </w:rPr>
              <w:t>:</w:t>
            </w:r>
          </w:p>
          <w:p w14:paraId="6CAD0279" w14:textId="77777777" w:rsidR="00A316BC" w:rsidRDefault="00A316BC" w:rsidP="00A316BC">
            <w:pPr>
              <w:numPr>
                <w:ilvl w:val="0"/>
                <w:numId w:val="6"/>
              </w:numPr>
              <w:spacing w:before="0" w:after="60"/>
              <w:ind w:left="317" w:hanging="141"/>
              <w:rPr>
                <w:sz w:val="16"/>
              </w:rPr>
            </w:pPr>
            <w:r>
              <w:rPr>
                <w:sz w:val="16"/>
              </w:rPr>
              <w:t>En su extremo izquierdo (zona roja) señalan probables bajas del SPX sugiriendo irse cortos (“</w:t>
            </w:r>
            <w:proofErr w:type="spellStart"/>
            <w:r w:rsidRPr="00362145">
              <w:rPr>
                <w:i/>
                <w:sz w:val="16"/>
              </w:rPr>
              <w:t>s</w:t>
            </w:r>
            <w:r w:rsidR="00113746">
              <w:rPr>
                <w:i/>
                <w:sz w:val="16"/>
              </w:rPr>
              <w:t>h</w:t>
            </w:r>
            <w:r w:rsidRPr="00362145">
              <w:rPr>
                <w:i/>
                <w:sz w:val="16"/>
              </w:rPr>
              <w:t>ortearse</w:t>
            </w:r>
            <w:proofErr w:type="spellEnd"/>
            <w:r>
              <w:rPr>
                <w:sz w:val="16"/>
              </w:rPr>
              <w:t>”) a los inversores (o las carteras) más agresivos, y reducir fuertemente sus posiciones a los más conservadores o menos agresivos.</w:t>
            </w:r>
          </w:p>
          <w:p w14:paraId="4444C0E3" w14:textId="77777777" w:rsidR="00A316BC" w:rsidRDefault="00A316BC" w:rsidP="00A316BC">
            <w:pPr>
              <w:numPr>
                <w:ilvl w:val="0"/>
                <w:numId w:val="6"/>
              </w:numPr>
              <w:spacing w:before="0" w:after="60"/>
              <w:ind w:left="317" w:hanging="141"/>
              <w:rPr>
                <w:sz w:val="16"/>
              </w:rPr>
            </w:pPr>
            <w:r>
              <w:rPr>
                <w:sz w:val="16"/>
              </w:rPr>
              <w:t>En su zona media izquierda (amarilla) aconsejan posiciones en el SPX por debajo del nivel de referencia de largo plazo para cada cartera.</w:t>
            </w:r>
          </w:p>
          <w:p w14:paraId="1CA891B8" w14:textId="77777777" w:rsidR="00A316BC" w:rsidRDefault="00A316BC" w:rsidP="00A316BC">
            <w:pPr>
              <w:numPr>
                <w:ilvl w:val="0"/>
                <w:numId w:val="6"/>
              </w:numPr>
              <w:spacing w:before="0" w:after="60"/>
              <w:ind w:left="317" w:hanging="141"/>
              <w:rPr>
                <w:sz w:val="16"/>
              </w:rPr>
            </w:pPr>
            <w:r>
              <w:rPr>
                <w:sz w:val="16"/>
              </w:rPr>
              <w:t>E</w:t>
            </w:r>
            <w:r w:rsidRPr="00E462FF">
              <w:rPr>
                <w:sz w:val="16"/>
              </w:rPr>
              <w:t>n su punto medio</w:t>
            </w:r>
            <w:r>
              <w:rPr>
                <w:sz w:val="16"/>
              </w:rPr>
              <w:t xml:space="preserve"> </w:t>
            </w:r>
            <w:r w:rsidRPr="00E462FF">
              <w:rPr>
                <w:sz w:val="16"/>
              </w:rPr>
              <w:t>indican una posición neutral</w:t>
            </w:r>
            <w:r>
              <w:rPr>
                <w:sz w:val="16"/>
              </w:rPr>
              <w:t>, es decir posiciones técnicas acordes con la asignación estructural de activos de cada cartera, que probablemente para muchos inversores internacionales implique una posición comprada en el SPX.</w:t>
            </w:r>
          </w:p>
          <w:p w14:paraId="09EAFDBD" w14:textId="77777777" w:rsidR="00A316BC" w:rsidRDefault="00A316BC" w:rsidP="00A316BC">
            <w:pPr>
              <w:numPr>
                <w:ilvl w:val="0"/>
                <w:numId w:val="6"/>
              </w:numPr>
              <w:spacing w:before="0" w:after="60"/>
              <w:ind w:left="317" w:hanging="141"/>
              <w:rPr>
                <w:sz w:val="16"/>
              </w:rPr>
            </w:pPr>
            <w:r>
              <w:rPr>
                <w:sz w:val="16"/>
              </w:rPr>
              <w:t>Desde el centro (verde amarillento) hacia el extremo derecho (verde intenso) aconsejan una creciente ponderación del SPX, incluyendo el apalancamiento para las carteras más agresivas.</w:t>
            </w:r>
          </w:p>
          <w:p w14:paraId="1714F07D" w14:textId="77777777" w:rsidR="00A316BC" w:rsidRPr="00E17344" w:rsidRDefault="00A316BC" w:rsidP="003C2045">
            <w:pPr>
              <w:spacing w:before="0" w:after="60"/>
              <w:rPr>
                <w:b/>
                <w:sz w:val="20"/>
              </w:rPr>
            </w:pPr>
            <w:r>
              <w:rPr>
                <w:sz w:val="16"/>
              </w:rPr>
              <w:t>Asignamos un termómetro a cada uno de los grupos de factores que consideramos más significativos y perdurables por su influencia sobre los mercados bursátiles: valuaciones; ciclo de ganancias; y sentimientos y tendencias. Estos termómetros resumen la combinación de varios factores, pero no los agotan, y pueden operar cambios en el mercado que afecten su importancia. En nuestro análisis también podemos considerar, por diversas razones, factores que prefiramos utilizar como un input aparte para arribar a nuestras conclusiones.</w:t>
            </w:r>
          </w:p>
        </w:tc>
      </w:tr>
      <w:tr w:rsidR="00A316BC" w:rsidRPr="00657687" w14:paraId="19D1C3EB" w14:textId="77777777" w:rsidTr="00A316BC">
        <w:tc>
          <w:tcPr>
            <w:tcW w:w="3458" w:type="dxa"/>
          </w:tcPr>
          <w:p w14:paraId="44E19863" w14:textId="77777777" w:rsidR="00A316BC" w:rsidRPr="00657687" w:rsidRDefault="00A316BC" w:rsidP="003C2045">
            <w:pPr>
              <w:spacing w:before="0" w:after="0"/>
              <w:rPr>
                <w:sz w:val="20"/>
              </w:rPr>
            </w:pPr>
          </w:p>
        </w:tc>
        <w:tc>
          <w:tcPr>
            <w:tcW w:w="6573" w:type="dxa"/>
          </w:tcPr>
          <w:p w14:paraId="1D9FE2F0" w14:textId="77777777" w:rsidR="00A316BC" w:rsidRPr="00657687" w:rsidRDefault="00A316BC" w:rsidP="003C2045">
            <w:pPr>
              <w:spacing w:before="60" w:after="60"/>
              <w:rPr>
                <w:b/>
                <w:szCs w:val="22"/>
              </w:rPr>
            </w:pPr>
            <w:r w:rsidRPr="00E462FF">
              <w:rPr>
                <w:b/>
                <w:sz w:val="20"/>
                <w:szCs w:val="22"/>
              </w:rPr>
              <w:t>Valuación</w:t>
            </w:r>
          </w:p>
        </w:tc>
      </w:tr>
      <w:tr w:rsidR="00A316BC" w:rsidRPr="00657687" w14:paraId="32ADD9CC" w14:textId="77777777" w:rsidTr="00A316BC">
        <w:tc>
          <w:tcPr>
            <w:tcW w:w="3458" w:type="dxa"/>
          </w:tcPr>
          <w:p w14:paraId="1F55C0BA" w14:textId="77777777" w:rsidR="00A316BC" w:rsidRPr="00657687" w:rsidRDefault="00A316BC" w:rsidP="003C2045">
            <w:pPr>
              <w:spacing w:before="0"/>
              <w:rPr>
                <w:sz w:val="20"/>
              </w:rPr>
            </w:pPr>
          </w:p>
        </w:tc>
        <w:tc>
          <w:tcPr>
            <w:tcW w:w="6573" w:type="dxa"/>
          </w:tcPr>
          <w:p w14:paraId="37CF5572" w14:textId="77777777" w:rsidR="00A316BC" w:rsidRPr="00E462FF" w:rsidRDefault="00A316BC" w:rsidP="003C2045">
            <w:pPr>
              <w:spacing w:before="0" w:after="60"/>
              <w:rPr>
                <w:sz w:val="16"/>
              </w:rPr>
            </w:pPr>
            <w:r w:rsidRPr="00E462FF">
              <w:rPr>
                <w:b/>
                <w:sz w:val="16"/>
              </w:rPr>
              <w:t>Encontramos que la valuación del mercado es tal vez el más importante determinante de sus retornos en el largo plazo (mercados más baratos ~ mayor retorno prospectivo)</w:t>
            </w:r>
            <w:r w:rsidRPr="00E462FF">
              <w:rPr>
                <w:sz w:val="16"/>
              </w:rPr>
              <w:t>,</w:t>
            </w:r>
            <w:r>
              <w:rPr>
                <w:sz w:val="16"/>
              </w:rPr>
              <w:t xml:space="preserve"> que orienta la asignación estructural de activos y las oportunidades de rebalanceo,</w:t>
            </w:r>
            <w:r w:rsidRPr="00E462FF">
              <w:rPr>
                <w:sz w:val="16"/>
              </w:rPr>
              <w:t xml:space="preserve"> y que mantiene una significativa correlación con la magnitud de las correcciones, particularmente si tienen lugar en recesiones económicas (las mayores correcciones tienen a estar precedidas por mercados de mayores valuaciones). Sin embargo</w:t>
            </w:r>
            <w:r w:rsidR="00401C8D">
              <w:rPr>
                <w:sz w:val="16"/>
              </w:rPr>
              <w:t>,</w:t>
            </w:r>
            <w:r w:rsidRPr="00E462FF">
              <w:rPr>
                <w:sz w:val="16"/>
              </w:rPr>
              <w:t xml:space="preserve"> la valuación del mercado tiene poco valor en la determinación de sus movimientos de corto plazo, en los ciclos de sus precios y en la duración de dichos ciclos.</w:t>
            </w:r>
          </w:p>
          <w:p w14:paraId="280DC0E5" w14:textId="77777777" w:rsidR="00A316BC" w:rsidRPr="00A208C3" w:rsidRDefault="00A316BC" w:rsidP="003C2045">
            <w:pPr>
              <w:spacing w:before="0" w:after="60"/>
              <w:rPr>
                <w:sz w:val="20"/>
              </w:rPr>
            </w:pPr>
            <w:r w:rsidRPr="00E462FF">
              <w:rPr>
                <w:sz w:val="16"/>
              </w:rPr>
              <w:t>Seleccionamos el ratio de precios a ganancias por acción (“P/E”) y la prima por riesgo de mercado (</w:t>
            </w:r>
            <w:proofErr w:type="spellStart"/>
            <w:r w:rsidRPr="00E462FF">
              <w:rPr>
                <w:i/>
                <w:sz w:val="16"/>
              </w:rPr>
              <w:t>equity</w:t>
            </w:r>
            <w:proofErr w:type="spellEnd"/>
            <w:r w:rsidRPr="00E462FF">
              <w:rPr>
                <w:i/>
                <w:sz w:val="16"/>
              </w:rPr>
              <w:t xml:space="preserve"> </w:t>
            </w:r>
            <w:proofErr w:type="spellStart"/>
            <w:r w:rsidRPr="00E462FF">
              <w:rPr>
                <w:i/>
                <w:sz w:val="16"/>
              </w:rPr>
              <w:t>risk</w:t>
            </w:r>
            <w:proofErr w:type="spellEnd"/>
            <w:r w:rsidRPr="00E462FF">
              <w:rPr>
                <w:i/>
                <w:sz w:val="16"/>
              </w:rPr>
              <w:t xml:space="preserve"> </w:t>
            </w:r>
            <w:proofErr w:type="spellStart"/>
            <w:r w:rsidRPr="00E462FF">
              <w:rPr>
                <w:i/>
                <w:sz w:val="16"/>
              </w:rPr>
              <w:t>premium</w:t>
            </w:r>
            <w:proofErr w:type="spellEnd"/>
            <w:r w:rsidRPr="00E462FF">
              <w:rPr>
                <w:sz w:val="16"/>
              </w:rPr>
              <w:t>, “ERP”) como base de nuestra opinión respecto de la valuación del SPX.</w:t>
            </w:r>
          </w:p>
        </w:tc>
      </w:tr>
      <w:tr w:rsidR="00A316BC" w:rsidRPr="00657687" w14:paraId="5439041F" w14:textId="77777777" w:rsidTr="00A316BC">
        <w:tc>
          <w:tcPr>
            <w:tcW w:w="3458" w:type="dxa"/>
          </w:tcPr>
          <w:p w14:paraId="52894152" w14:textId="77777777" w:rsidR="00A316BC" w:rsidRPr="00657687" w:rsidRDefault="00A316BC" w:rsidP="003C2045">
            <w:pPr>
              <w:spacing w:before="0" w:after="0"/>
              <w:rPr>
                <w:sz w:val="20"/>
              </w:rPr>
            </w:pPr>
          </w:p>
        </w:tc>
        <w:tc>
          <w:tcPr>
            <w:tcW w:w="6573" w:type="dxa"/>
          </w:tcPr>
          <w:p w14:paraId="769BDB4D" w14:textId="77777777" w:rsidR="00A316BC" w:rsidRPr="00657687" w:rsidRDefault="00A316BC" w:rsidP="003C2045">
            <w:pPr>
              <w:spacing w:before="60" w:after="60"/>
              <w:rPr>
                <w:b/>
                <w:szCs w:val="22"/>
              </w:rPr>
            </w:pPr>
            <w:r w:rsidRPr="00E462FF">
              <w:rPr>
                <w:b/>
                <w:sz w:val="20"/>
                <w:szCs w:val="22"/>
              </w:rPr>
              <w:t>Ciclo de ganancias</w:t>
            </w:r>
          </w:p>
        </w:tc>
      </w:tr>
      <w:tr w:rsidR="00A316BC" w:rsidRPr="00657687" w14:paraId="103F3128" w14:textId="77777777" w:rsidTr="00A316BC">
        <w:tc>
          <w:tcPr>
            <w:tcW w:w="3458" w:type="dxa"/>
          </w:tcPr>
          <w:p w14:paraId="2A5FE983" w14:textId="77777777" w:rsidR="00A316BC" w:rsidRPr="00657687" w:rsidRDefault="00A316BC" w:rsidP="003C2045">
            <w:pPr>
              <w:spacing w:before="0"/>
              <w:rPr>
                <w:sz w:val="20"/>
              </w:rPr>
            </w:pPr>
          </w:p>
        </w:tc>
        <w:tc>
          <w:tcPr>
            <w:tcW w:w="6573" w:type="dxa"/>
          </w:tcPr>
          <w:p w14:paraId="3C8E0EAC" w14:textId="77777777" w:rsidR="00A316BC" w:rsidRPr="00E462FF" w:rsidRDefault="00A316BC" w:rsidP="003C2045">
            <w:pPr>
              <w:spacing w:before="0" w:after="60"/>
              <w:rPr>
                <w:b/>
                <w:sz w:val="16"/>
              </w:rPr>
            </w:pPr>
            <w:r w:rsidRPr="00E462FF">
              <w:rPr>
                <w:b/>
                <w:sz w:val="16"/>
              </w:rPr>
              <w:t>Las ganancias son la fuente que mueven y sostienen los negocios, y también los índices bursátiles. Hallamos que los momentos de mayor debilidad de los mercados tienden a relacionarse con caídas crecientes en las ganancias, y los de mayor fortaleza con las recuperaciones que siguen a dichas caídas.</w:t>
            </w:r>
          </w:p>
          <w:p w14:paraId="30D5AC49" w14:textId="77777777" w:rsidR="00A316BC" w:rsidRPr="00657687" w:rsidRDefault="00A316BC" w:rsidP="003C2045">
            <w:pPr>
              <w:spacing w:before="0" w:after="60"/>
              <w:rPr>
                <w:sz w:val="20"/>
              </w:rPr>
            </w:pPr>
            <w:r w:rsidRPr="00E462FF">
              <w:rPr>
                <w:sz w:val="16"/>
              </w:rPr>
              <w:t>Utilizamos diversos indicadores para evaluar el ciclo de las ganancias, valiendo destacar: las ganancias del SPX en sí, las ganancias prospectivas estimadas, y las revisiones de los analistas en las diversas empresas que cotizan en EEUU. También observamos el comportamiento de las principales variables de la economía norteamericana, destacándose: producción industrial, ingreso real, empleo, y ventas reales.</w:t>
            </w:r>
          </w:p>
        </w:tc>
      </w:tr>
      <w:tr w:rsidR="00A316BC" w:rsidRPr="00657687" w14:paraId="3ED8D204" w14:textId="77777777" w:rsidTr="00A316BC">
        <w:tc>
          <w:tcPr>
            <w:tcW w:w="3458" w:type="dxa"/>
          </w:tcPr>
          <w:p w14:paraId="634D8DB1" w14:textId="77777777" w:rsidR="00A316BC" w:rsidRPr="00657687" w:rsidRDefault="00A316BC" w:rsidP="003C2045">
            <w:pPr>
              <w:spacing w:before="0" w:after="0"/>
              <w:rPr>
                <w:sz w:val="20"/>
              </w:rPr>
            </w:pPr>
          </w:p>
        </w:tc>
        <w:tc>
          <w:tcPr>
            <w:tcW w:w="6573" w:type="dxa"/>
          </w:tcPr>
          <w:p w14:paraId="3141A80D" w14:textId="77777777" w:rsidR="00A316BC" w:rsidRPr="00657687" w:rsidRDefault="00A316BC" w:rsidP="003C2045">
            <w:pPr>
              <w:spacing w:before="60" w:after="60"/>
              <w:rPr>
                <w:b/>
                <w:szCs w:val="22"/>
              </w:rPr>
            </w:pPr>
            <w:r w:rsidRPr="00E462FF">
              <w:rPr>
                <w:b/>
                <w:sz w:val="20"/>
                <w:szCs w:val="22"/>
              </w:rPr>
              <w:t>Sentimientos y tendencia</w:t>
            </w:r>
          </w:p>
        </w:tc>
      </w:tr>
      <w:tr w:rsidR="00A316BC" w:rsidRPr="00657687" w14:paraId="79073B84" w14:textId="77777777" w:rsidTr="00A316BC">
        <w:tc>
          <w:tcPr>
            <w:tcW w:w="3458" w:type="dxa"/>
          </w:tcPr>
          <w:p w14:paraId="1EFDAE62" w14:textId="77777777" w:rsidR="00A316BC" w:rsidRPr="00657687" w:rsidRDefault="00A316BC" w:rsidP="003C2045">
            <w:pPr>
              <w:spacing w:before="0"/>
              <w:rPr>
                <w:sz w:val="20"/>
              </w:rPr>
            </w:pPr>
          </w:p>
        </w:tc>
        <w:tc>
          <w:tcPr>
            <w:tcW w:w="6573" w:type="dxa"/>
          </w:tcPr>
          <w:p w14:paraId="0517B1A8" w14:textId="77777777" w:rsidR="00A316BC" w:rsidRPr="00E462FF" w:rsidRDefault="00A316BC" w:rsidP="003C2045">
            <w:pPr>
              <w:spacing w:before="0" w:after="60"/>
              <w:rPr>
                <w:sz w:val="16"/>
              </w:rPr>
            </w:pPr>
            <w:r>
              <w:rPr>
                <w:b/>
                <w:sz w:val="16"/>
              </w:rPr>
              <w:t>En el corto plazo es crucial comprender l</w:t>
            </w:r>
            <w:r w:rsidRPr="00E462FF">
              <w:rPr>
                <w:b/>
                <w:sz w:val="16"/>
              </w:rPr>
              <w:t>a corriente del dinero, dominada por las opiniones y sentimientos de los inversores, determina y a veces también refleja la tendencia del mercado.</w:t>
            </w:r>
            <w:r w:rsidRPr="00E462FF">
              <w:rPr>
                <w:sz w:val="16"/>
              </w:rPr>
              <w:t xml:space="preserve"> Utilizamos varios indicadores, muchos de los cuales tienen una interpretación precisa pero cuya lectura en conjunto requiere una evaluación integral de </w:t>
            </w:r>
            <w:r>
              <w:rPr>
                <w:sz w:val="16"/>
              </w:rPr>
              <w:t xml:space="preserve">los mismos </w:t>
            </w:r>
            <w:r w:rsidRPr="00E462FF">
              <w:rPr>
                <w:sz w:val="16"/>
              </w:rPr>
              <w:t>y de las circunstancias.</w:t>
            </w:r>
          </w:p>
        </w:tc>
      </w:tr>
    </w:tbl>
    <w:p w14:paraId="25832DB7" w14:textId="2761D290" w:rsidR="00037C3A" w:rsidRPr="00785E33" w:rsidRDefault="00037C3A" w:rsidP="001B6E94">
      <w:pPr>
        <w:spacing w:before="0" w:after="0"/>
        <w:jc w:val="left"/>
        <w:rPr>
          <w:color w:val="FF0000"/>
          <w:shd w:val="clear" w:color="auto" w:fill="FFFFFF"/>
        </w:rPr>
      </w:pPr>
    </w:p>
    <w:sectPr w:rsidR="00037C3A" w:rsidRPr="00785E33" w:rsidSect="00037C3A">
      <w:headerReference w:type="default" r:id="rId20"/>
      <w:pgSz w:w="12240" w:h="15840" w:code="1"/>
      <w:pgMar w:top="1559" w:right="1134" w:bottom="1134" w:left="1418" w:header="624" w:footer="522" w:gutter="0"/>
      <w:cols w:space="709"/>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6E2AAA" w14:textId="77777777" w:rsidR="00A41077" w:rsidRDefault="00A41077">
      <w:r>
        <w:separator/>
      </w:r>
    </w:p>
  </w:endnote>
  <w:endnote w:type="continuationSeparator" w:id="0">
    <w:p w14:paraId="1B868D73" w14:textId="77777777" w:rsidR="00A41077" w:rsidRDefault="00A41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98E644" w14:textId="77777777" w:rsidR="00A41077" w:rsidRDefault="00A41077">
      <w:r>
        <w:separator/>
      </w:r>
    </w:p>
  </w:footnote>
  <w:footnote w:type="continuationSeparator" w:id="0">
    <w:p w14:paraId="69A3207E" w14:textId="77777777" w:rsidR="00A41077" w:rsidRDefault="00A410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35" w:type="dxa"/>
      <w:tblLook w:val="04A0" w:firstRow="1" w:lastRow="0" w:firstColumn="1" w:lastColumn="0" w:noHBand="0" w:noVBand="1"/>
    </w:tblPr>
    <w:tblGrid>
      <w:gridCol w:w="4989"/>
      <w:gridCol w:w="5046"/>
    </w:tblGrid>
    <w:tr w:rsidR="009569EA" w:rsidRPr="00514C6C" w14:paraId="7E0452CD" w14:textId="77777777" w:rsidTr="00C334A8">
      <w:tc>
        <w:tcPr>
          <w:tcW w:w="4989" w:type="dxa"/>
          <w:vMerge w:val="restart"/>
          <w:vAlign w:val="center"/>
        </w:tcPr>
        <w:p w14:paraId="77F0CB90" w14:textId="77777777" w:rsidR="009569EA" w:rsidRDefault="009569EA" w:rsidP="0059776D">
          <w:pPr>
            <w:pStyle w:val="Encabezado"/>
            <w:jc w:val="left"/>
            <w:rPr>
              <w:noProof/>
              <w:color w:val="1F497D"/>
              <w:lang w:eastAsia="es-AR"/>
            </w:rPr>
          </w:pPr>
          <w:r>
            <w:rPr>
              <w:noProof/>
              <w:color w:val="1F497D"/>
              <w:lang w:eastAsia="es-AR"/>
            </w:rPr>
            <w:drawing>
              <wp:inline distT="0" distB="0" distL="0" distR="0" wp14:anchorId="2137E097" wp14:editId="77AFC7F6">
                <wp:extent cx="1786255" cy="425450"/>
                <wp:effectExtent l="1905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1786255" cy="425450"/>
                        </a:xfrm>
                        <a:prstGeom prst="rect">
                          <a:avLst/>
                        </a:prstGeom>
                        <a:noFill/>
                        <a:ln w="9525">
                          <a:noFill/>
                          <a:miter lim="800000"/>
                          <a:headEnd/>
                          <a:tailEnd/>
                        </a:ln>
                      </pic:spPr>
                    </pic:pic>
                  </a:graphicData>
                </a:graphic>
              </wp:inline>
            </w:drawing>
          </w:r>
        </w:p>
      </w:tc>
      <w:tc>
        <w:tcPr>
          <w:tcW w:w="5046" w:type="dxa"/>
          <w:vAlign w:val="bottom"/>
        </w:tcPr>
        <w:p w14:paraId="6BBE4906" w14:textId="07CB8FA6" w:rsidR="009569EA" w:rsidRDefault="009569EA" w:rsidP="0059776D">
          <w:pPr>
            <w:pStyle w:val="Encabezado"/>
            <w:jc w:val="right"/>
            <w:rPr>
              <w:color w:val="1F497D"/>
            </w:rPr>
          </w:pPr>
          <w:r>
            <w:rPr>
              <w:color w:val="1F497D"/>
            </w:rPr>
            <w:fldChar w:fldCharType="begin"/>
          </w:r>
          <w:r>
            <w:rPr>
              <w:color w:val="1F497D"/>
            </w:rPr>
            <w:instrText xml:space="preserve"> TIME \@ "dd' de 'MMMM' de 'yyyy" </w:instrText>
          </w:r>
          <w:r>
            <w:rPr>
              <w:color w:val="1F497D"/>
            </w:rPr>
            <w:fldChar w:fldCharType="separate"/>
          </w:r>
          <w:r w:rsidR="00A07110">
            <w:rPr>
              <w:noProof/>
              <w:color w:val="1F497D"/>
            </w:rPr>
            <w:t>12 de agosto de 2022</w:t>
          </w:r>
          <w:r>
            <w:rPr>
              <w:color w:val="1F497D"/>
            </w:rPr>
            <w:fldChar w:fldCharType="end"/>
          </w:r>
        </w:p>
      </w:tc>
    </w:tr>
    <w:tr w:rsidR="009569EA" w:rsidRPr="00514C6C" w14:paraId="0E706BC6" w14:textId="77777777" w:rsidTr="00C334A8">
      <w:tc>
        <w:tcPr>
          <w:tcW w:w="4989" w:type="dxa"/>
          <w:vMerge/>
          <w:vAlign w:val="bottom"/>
        </w:tcPr>
        <w:p w14:paraId="06E98AC5" w14:textId="77777777" w:rsidR="009569EA" w:rsidRPr="008D2DED" w:rsidRDefault="009569EA" w:rsidP="003C2045">
          <w:pPr>
            <w:pStyle w:val="Encabezado"/>
            <w:jc w:val="left"/>
            <w:rPr>
              <w:color w:val="1F497D"/>
            </w:rPr>
          </w:pPr>
        </w:p>
      </w:tc>
      <w:tc>
        <w:tcPr>
          <w:tcW w:w="5046" w:type="dxa"/>
          <w:vAlign w:val="bottom"/>
        </w:tcPr>
        <w:p w14:paraId="487D6AA1" w14:textId="77777777" w:rsidR="009569EA" w:rsidRPr="002D7C73" w:rsidRDefault="009569EA" w:rsidP="0059776D">
          <w:pPr>
            <w:pStyle w:val="Encabezado"/>
            <w:jc w:val="right"/>
            <w:rPr>
              <w:color w:val="1F497D"/>
            </w:rPr>
          </w:pPr>
          <w:r w:rsidRPr="002D7C73">
            <w:rPr>
              <w:color w:val="1F497D"/>
            </w:rPr>
            <w:fldChar w:fldCharType="begin"/>
          </w:r>
          <w:r w:rsidRPr="002D7C73">
            <w:rPr>
              <w:color w:val="1F497D"/>
            </w:rPr>
            <w:instrText xml:space="preserve"> PAGE   \* MERGEFORMAT </w:instrText>
          </w:r>
          <w:r w:rsidRPr="002D7C73">
            <w:rPr>
              <w:color w:val="1F497D"/>
            </w:rPr>
            <w:fldChar w:fldCharType="separate"/>
          </w:r>
          <w:r>
            <w:rPr>
              <w:noProof/>
              <w:color w:val="1F497D"/>
            </w:rPr>
            <w:t>2</w:t>
          </w:r>
          <w:r w:rsidRPr="002D7C73">
            <w:rPr>
              <w:color w:val="1F497D"/>
            </w:rPr>
            <w:fldChar w:fldCharType="end"/>
          </w:r>
        </w:p>
      </w:tc>
    </w:tr>
    <w:tr w:rsidR="009569EA" w:rsidRPr="008D2DED" w14:paraId="6BD2C4FD" w14:textId="77777777" w:rsidTr="00C334A8">
      <w:trPr>
        <w:trHeight w:val="809"/>
      </w:trPr>
      <w:tc>
        <w:tcPr>
          <w:tcW w:w="10035" w:type="dxa"/>
          <w:gridSpan w:val="2"/>
          <w:shd w:val="clear" w:color="auto" w:fill="1F497D"/>
          <w:vAlign w:val="center"/>
        </w:tcPr>
        <w:p w14:paraId="09E330C6" w14:textId="77777777" w:rsidR="009569EA" w:rsidRPr="008D2DED" w:rsidRDefault="009569EA" w:rsidP="00037C3A">
          <w:pPr>
            <w:pStyle w:val="Encabezado"/>
            <w:shd w:val="clear" w:color="auto" w:fill="1F497D"/>
            <w:spacing w:before="0" w:after="0"/>
            <w:jc w:val="left"/>
            <w:rPr>
              <w:color w:val="1F497D"/>
            </w:rPr>
          </w:pPr>
          <w:r>
            <w:rPr>
              <w:rFonts w:ascii="Garamond" w:hAnsi="Garamond"/>
              <w:b/>
              <w:color w:val="FFFFFF"/>
              <w:sz w:val="24"/>
              <w:szCs w:val="24"/>
            </w:rPr>
            <w:t>ESTRATEGIA GLOBAL Y LOCAL</w:t>
          </w:r>
        </w:p>
      </w:tc>
    </w:tr>
  </w:tbl>
  <w:p w14:paraId="0FDC0C6F" w14:textId="77777777" w:rsidR="009569EA" w:rsidRPr="0059776D" w:rsidRDefault="009569EA" w:rsidP="0059776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35" w:type="dxa"/>
      <w:tblLook w:val="04A0" w:firstRow="1" w:lastRow="0" w:firstColumn="1" w:lastColumn="0" w:noHBand="0" w:noVBand="1"/>
    </w:tblPr>
    <w:tblGrid>
      <w:gridCol w:w="4989"/>
      <w:gridCol w:w="5046"/>
    </w:tblGrid>
    <w:tr w:rsidR="009569EA" w:rsidRPr="00514C6C" w14:paraId="144C547F" w14:textId="77777777" w:rsidTr="00C334A8">
      <w:tc>
        <w:tcPr>
          <w:tcW w:w="4989" w:type="dxa"/>
          <w:vMerge w:val="restart"/>
          <w:vAlign w:val="center"/>
        </w:tcPr>
        <w:p w14:paraId="2B9FDC52" w14:textId="77777777" w:rsidR="009569EA" w:rsidRDefault="009569EA" w:rsidP="0059776D">
          <w:pPr>
            <w:pStyle w:val="Encabezado"/>
            <w:jc w:val="left"/>
            <w:rPr>
              <w:noProof/>
              <w:color w:val="1F497D"/>
              <w:lang w:eastAsia="es-AR"/>
            </w:rPr>
          </w:pPr>
          <w:r>
            <w:rPr>
              <w:noProof/>
              <w:color w:val="1F497D"/>
              <w:lang w:eastAsia="es-AR"/>
            </w:rPr>
            <w:drawing>
              <wp:inline distT="0" distB="0" distL="0" distR="0" wp14:anchorId="2D9710AB" wp14:editId="176743F8">
                <wp:extent cx="1786255" cy="425450"/>
                <wp:effectExtent l="19050" t="0" r="4445"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1786255" cy="425450"/>
                        </a:xfrm>
                        <a:prstGeom prst="rect">
                          <a:avLst/>
                        </a:prstGeom>
                        <a:noFill/>
                        <a:ln w="9525">
                          <a:noFill/>
                          <a:miter lim="800000"/>
                          <a:headEnd/>
                          <a:tailEnd/>
                        </a:ln>
                      </pic:spPr>
                    </pic:pic>
                  </a:graphicData>
                </a:graphic>
              </wp:inline>
            </w:drawing>
          </w:r>
        </w:p>
      </w:tc>
      <w:tc>
        <w:tcPr>
          <w:tcW w:w="5046" w:type="dxa"/>
          <w:vAlign w:val="bottom"/>
        </w:tcPr>
        <w:p w14:paraId="2ED3F435" w14:textId="0EBBA72A" w:rsidR="009569EA" w:rsidRDefault="009569EA" w:rsidP="00440860">
          <w:pPr>
            <w:pStyle w:val="Encabezado"/>
            <w:jc w:val="right"/>
            <w:rPr>
              <w:color w:val="1F497D"/>
            </w:rPr>
          </w:pPr>
          <w:r>
            <w:rPr>
              <w:color w:val="1F497D"/>
            </w:rPr>
            <w:fldChar w:fldCharType="begin"/>
          </w:r>
          <w:r>
            <w:rPr>
              <w:color w:val="1F497D"/>
            </w:rPr>
            <w:instrText xml:space="preserve"> TIME \@ "dd' de 'MMMM' de 'yyyy" </w:instrText>
          </w:r>
          <w:r>
            <w:rPr>
              <w:color w:val="1F497D"/>
            </w:rPr>
            <w:fldChar w:fldCharType="separate"/>
          </w:r>
          <w:r w:rsidR="00A07110">
            <w:rPr>
              <w:noProof/>
              <w:color w:val="1F497D"/>
            </w:rPr>
            <w:t>12 de agosto de 2022</w:t>
          </w:r>
          <w:r>
            <w:rPr>
              <w:color w:val="1F497D"/>
            </w:rPr>
            <w:fldChar w:fldCharType="end"/>
          </w:r>
        </w:p>
      </w:tc>
    </w:tr>
    <w:tr w:rsidR="009569EA" w:rsidRPr="00514C6C" w14:paraId="106AEF17" w14:textId="77777777" w:rsidTr="00C334A8">
      <w:tc>
        <w:tcPr>
          <w:tcW w:w="4989" w:type="dxa"/>
          <w:vMerge/>
          <w:vAlign w:val="bottom"/>
        </w:tcPr>
        <w:p w14:paraId="4F524B4D" w14:textId="77777777" w:rsidR="009569EA" w:rsidRPr="008D2DED" w:rsidRDefault="009569EA" w:rsidP="003C2045">
          <w:pPr>
            <w:pStyle w:val="Encabezado"/>
            <w:jc w:val="left"/>
            <w:rPr>
              <w:color w:val="1F497D"/>
            </w:rPr>
          </w:pPr>
        </w:p>
      </w:tc>
      <w:tc>
        <w:tcPr>
          <w:tcW w:w="5046" w:type="dxa"/>
          <w:vAlign w:val="bottom"/>
        </w:tcPr>
        <w:p w14:paraId="231FA789" w14:textId="4343C8A3" w:rsidR="009569EA" w:rsidRPr="00C1224D" w:rsidRDefault="009569EA" w:rsidP="0059776D">
          <w:pPr>
            <w:pStyle w:val="Encabezado"/>
            <w:jc w:val="right"/>
            <w:rPr>
              <w:color w:val="1F497D"/>
            </w:rPr>
          </w:pPr>
          <w:r w:rsidRPr="00C1224D">
            <w:rPr>
              <w:color w:val="1F497D"/>
            </w:rPr>
            <w:fldChar w:fldCharType="begin"/>
          </w:r>
          <w:r w:rsidRPr="00C1224D">
            <w:rPr>
              <w:color w:val="1F497D"/>
            </w:rPr>
            <w:instrText xml:space="preserve"> PAGE   \* MERGEFORMAT </w:instrText>
          </w:r>
          <w:r w:rsidRPr="00C1224D">
            <w:rPr>
              <w:color w:val="1F497D"/>
            </w:rPr>
            <w:fldChar w:fldCharType="separate"/>
          </w:r>
          <w:r w:rsidR="00A07110">
            <w:rPr>
              <w:noProof/>
              <w:color w:val="1F497D"/>
            </w:rPr>
            <w:t>8</w:t>
          </w:r>
          <w:r w:rsidRPr="00C1224D">
            <w:rPr>
              <w:color w:val="1F497D"/>
            </w:rPr>
            <w:fldChar w:fldCharType="end"/>
          </w:r>
        </w:p>
      </w:tc>
    </w:tr>
    <w:tr w:rsidR="009569EA" w:rsidRPr="008D2DED" w14:paraId="7E35A66F" w14:textId="77777777" w:rsidTr="00C334A8">
      <w:trPr>
        <w:trHeight w:val="809"/>
      </w:trPr>
      <w:tc>
        <w:tcPr>
          <w:tcW w:w="10035" w:type="dxa"/>
          <w:gridSpan w:val="2"/>
          <w:shd w:val="clear" w:color="auto" w:fill="1F497D"/>
          <w:vAlign w:val="center"/>
        </w:tcPr>
        <w:p w14:paraId="7163014C" w14:textId="77777777" w:rsidR="009569EA" w:rsidRPr="008D2DED" w:rsidRDefault="009569EA" w:rsidP="00AF22FE">
          <w:pPr>
            <w:pStyle w:val="Encabezado"/>
            <w:shd w:val="clear" w:color="auto" w:fill="1F497D"/>
            <w:spacing w:before="0" w:after="0"/>
            <w:jc w:val="left"/>
            <w:rPr>
              <w:color w:val="1F497D"/>
            </w:rPr>
          </w:pPr>
        </w:p>
      </w:tc>
    </w:tr>
  </w:tbl>
  <w:p w14:paraId="6B3EEAD4" w14:textId="77777777" w:rsidR="009569EA" w:rsidRPr="0059776D" w:rsidRDefault="009569EA" w:rsidP="001B6E9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9pt;height:34.35pt" o:bullet="t">
        <v:imagedata r:id="rId1" o:title=""/>
      </v:shape>
    </w:pict>
  </w:numPicBullet>
  <w:abstractNum w:abstractNumId="0" w15:restartNumberingAfterBreak="0">
    <w:nsid w:val="02907AE2"/>
    <w:multiLevelType w:val="hybridMultilevel"/>
    <w:tmpl w:val="FCCE2A88"/>
    <w:lvl w:ilvl="0" w:tplc="30101CCA">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2E30029"/>
    <w:multiLevelType w:val="hybridMultilevel"/>
    <w:tmpl w:val="AF303FC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4D4305"/>
    <w:multiLevelType w:val="hybridMultilevel"/>
    <w:tmpl w:val="BD9214E0"/>
    <w:lvl w:ilvl="0" w:tplc="E97A8C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33496"/>
    <w:multiLevelType w:val="hybridMultilevel"/>
    <w:tmpl w:val="E200DFB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F4306DB"/>
    <w:multiLevelType w:val="hybridMultilevel"/>
    <w:tmpl w:val="3CC6CD20"/>
    <w:lvl w:ilvl="0" w:tplc="FA68FA50">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076F4"/>
    <w:multiLevelType w:val="hybridMultilevel"/>
    <w:tmpl w:val="7A8E1F0E"/>
    <w:lvl w:ilvl="0" w:tplc="E97A8C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8F5E8F"/>
    <w:multiLevelType w:val="hybridMultilevel"/>
    <w:tmpl w:val="D7B85EC0"/>
    <w:lvl w:ilvl="0" w:tplc="E97A8C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D232C3"/>
    <w:multiLevelType w:val="hybridMultilevel"/>
    <w:tmpl w:val="287E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05D6D"/>
    <w:multiLevelType w:val="hybridMultilevel"/>
    <w:tmpl w:val="DE96C10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7424E39"/>
    <w:multiLevelType w:val="hybridMultilevel"/>
    <w:tmpl w:val="39DE6358"/>
    <w:lvl w:ilvl="0" w:tplc="FA68FA50">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B34E1A"/>
    <w:multiLevelType w:val="hybridMultilevel"/>
    <w:tmpl w:val="89E22FC6"/>
    <w:lvl w:ilvl="0" w:tplc="4FF87568">
      <w:start w:val="1"/>
      <w:numFmt w:val="decimal"/>
      <w:lvlText w:val="%1."/>
      <w:lvlJc w:val="left"/>
      <w:pPr>
        <w:ind w:left="1068" w:hanging="708"/>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41A188A"/>
    <w:multiLevelType w:val="hybridMultilevel"/>
    <w:tmpl w:val="32D0B198"/>
    <w:lvl w:ilvl="0" w:tplc="EC1EC0B4">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6FF1D4E"/>
    <w:multiLevelType w:val="hybridMultilevel"/>
    <w:tmpl w:val="C7D61862"/>
    <w:lvl w:ilvl="0" w:tplc="BC9C5BAA">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C170714"/>
    <w:multiLevelType w:val="hybridMultilevel"/>
    <w:tmpl w:val="9684CE06"/>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FAC5B4F"/>
    <w:multiLevelType w:val="hybridMultilevel"/>
    <w:tmpl w:val="55646C12"/>
    <w:lvl w:ilvl="0" w:tplc="D9D417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DF324A"/>
    <w:multiLevelType w:val="multilevel"/>
    <w:tmpl w:val="287EDC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5F62FA0"/>
    <w:multiLevelType w:val="hybridMultilevel"/>
    <w:tmpl w:val="E4F2A50C"/>
    <w:lvl w:ilvl="0" w:tplc="0F62611C">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7751D67"/>
    <w:multiLevelType w:val="hybridMultilevel"/>
    <w:tmpl w:val="717CFA96"/>
    <w:lvl w:ilvl="0" w:tplc="01A699B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A4E451E"/>
    <w:multiLevelType w:val="hybridMultilevel"/>
    <w:tmpl w:val="F6BAE292"/>
    <w:lvl w:ilvl="0" w:tplc="0C0A0017">
      <w:start w:val="1"/>
      <w:numFmt w:val="lowerLetter"/>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50564245"/>
    <w:multiLevelType w:val="hybridMultilevel"/>
    <w:tmpl w:val="2FB0D35E"/>
    <w:lvl w:ilvl="0" w:tplc="2C0A001B">
      <w:start w:val="1"/>
      <w:numFmt w:val="low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58F16CE8"/>
    <w:multiLevelType w:val="hybridMultilevel"/>
    <w:tmpl w:val="A134CE9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C9A2543"/>
    <w:multiLevelType w:val="hybridMultilevel"/>
    <w:tmpl w:val="60448A94"/>
    <w:lvl w:ilvl="0" w:tplc="EC1EC0B4">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70F773F4"/>
    <w:multiLevelType w:val="hybridMultilevel"/>
    <w:tmpl w:val="6ABE7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7147E0"/>
    <w:multiLevelType w:val="hybridMultilevel"/>
    <w:tmpl w:val="58B8E84C"/>
    <w:lvl w:ilvl="0" w:tplc="E97A8C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7"/>
  </w:num>
  <w:num w:numId="3">
    <w:abstractNumId w:val="15"/>
  </w:num>
  <w:num w:numId="4">
    <w:abstractNumId w:val="4"/>
  </w:num>
  <w:num w:numId="5">
    <w:abstractNumId w:val="9"/>
  </w:num>
  <w:num w:numId="6">
    <w:abstractNumId w:val="19"/>
  </w:num>
  <w:num w:numId="7">
    <w:abstractNumId w:val="23"/>
  </w:num>
  <w:num w:numId="8">
    <w:abstractNumId w:val="6"/>
  </w:num>
  <w:num w:numId="9">
    <w:abstractNumId w:val="5"/>
  </w:num>
  <w:num w:numId="10">
    <w:abstractNumId w:val="2"/>
  </w:num>
  <w:num w:numId="11">
    <w:abstractNumId w:val="22"/>
  </w:num>
  <w:num w:numId="12">
    <w:abstractNumId w:val="14"/>
  </w:num>
  <w:num w:numId="13">
    <w:abstractNumId w:val="11"/>
  </w:num>
  <w:num w:numId="14">
    <w:abstractNumId w:val="21"/>
  </w:num>
  <w:num w:numId="15">
    <w:abstractNumId w:val="0"/>
  </w:num>
  <w:num w:numId="16">
    <w:abstractNumId w:val="10"/>
  </w:num>
  <w:num w:numId="17">
    <w:abstractNumId w:val="3"/>
  </w:num>
  <w:num w:numId="18">
    <w:abstractNumId w:val="17"/>
  </w:num>
  <w:num w:numId="19">
    <w:abstractNumId w:val="12"/>
  </w:num>
  <w:num w:numId="20">
    <w:abstractNumId w:val="13"/>
  </w:num>
  <w:num w:numId="21">
    <w:abstractNumId w:val="1"/>
  </w:num>
  <w:num w:numId="22">
    <w:abstractNumId w:val="20"/>
  </w:num>
  <w:num w:numId="23">
    <w:abstractNumId w:val="8"/>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90"/>
  <w:hideSpellingErrors/>
  <w:hideGrammaticalErrors/>
  <w:activeWritingStyle w:appName="MSWord" w:lang="es-AR" w:vendorID="64" w:dllVersion="6" w:nlCheck="1" w:checkStyle="0"/>
  <w:activeWritingStyle w:appName="MSWord" w:lang="es-ES" w:vendorID="64" w:dllVersion="6" w:nlCheck="1" w:checkStyle="0"/>
  <w:activeWritingStyle w:appName="MSWord" w:lang="es-AR" w:vendorID="64" w:dllVersion="0" w:nlCheck="1" w:checkStyle="0"/>
  <w:activeWritingStyle w:appName="MSWord" w:lang="es-ES" w:vendorID="64" w:dllVersion="0" w:nlCheck="1" w:checkStyle="0"/>
  <w:activeWritingStyle w:appName="MSWord" w:lang="en-US" w:vendorID="64" w:dllVersion="6" w:nlCheck="1" w:checkStyle="1"/>
  <w:activeWritingStyle w:appName="MSWord" w:lang="es-MX" w:vendorID="64" w:dllVersion="6" w:nlCheck="1" w:checkStyle="0"/>
  <w:activeWritingStyle w:appName="MSWord" w:lang="en-CA" w:vendorID="64" w:dllVersion="6" w:nlCheck="1" w:checkStyle="1"/>
  <w:activeWritingStyle w:appName="MSWord" w:lang="es-US" w:vendorID="64" w:dllVersion="6" w:nlCheck="1" w:checkStyle="0"/>
  <w:activeWritingStyle w:appName="MSWord" w:lang="en-US" w:vendorID="64" w:dllVersion="0" w:nlCheck="1" w:checkStyle="0"/>
  <w:activeWritingStyle w:appName="MSWord" w:lang="es-MX" w:vendorID="64" w:dllVersion="0" w:nlCheck="1" w:checkStyle="0"/>
  <w:activeWritingStyle w:appName="MSWord" w:lang="es-AR" w:vendorID="64" w:dllVersion="131078" w:nlCheck="1" w:checkStyle="0"/>
  <w:activeWritingStyle w:appName="MSWord" w:lang="es-E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BD8"/>
    <w:rsid w:val="00000494"/>
    <w:rsid w:val="000019E7"/>
    <w:rsid w:val="00002098"/>
    <w:rsid w:val="00002452"/>
    <w:rsid w:val="0000274E"/>
    <w:rsid w:val="000029CC"/>
    <w:rsid w:val="00002C82"/>
    <w:rsid w:val="00002EED"/>
    <w:rsid w:val="000034DF"/>
    <w:rsid w:val="00004390"/>
    <w:rsid w:val="00004405"/>
    <w:rsid w:val="00004A5F"/>
    <w:rsid w:val="00005EDD"/>
    <w:rsid w:val="0000679E"/>
    <w:rsid w:val="00006DE2"/>
    <w:rsid w:val="00010E76"/>
    <w:rsid w:val="00011032"/>
    <w:rsid w:val="00011231"/>
    <w:rsid w:val="00011E77"/>
    <w:rsid w:val="0001409E"/>
    <w:rsid w:val="0001493D"/>
    <w:rsid w:val="00014AE7"/>
    <w:rsid w:val="00015278"/>
    <w:rsid w:val="000156BC"/>
    <w:rsid w:val="00015F2D"/>
    <w:rsid w:val="00016617"/>
    <w:rsid w:val="000168B0"/>
    <w:rsid w:val="00016E00"/>
    <w:rsid w:val="0001790F"/>
    <w:rsid w:val="00017D96"/>
    <w:rsid w:val="00017E9B"/>
    <w:rsid w:val="00020074"/>
    <w:rsid w:val="00020085"/>
    <w:rsid w:val="00021B50"/>
    <w:rsid w:val="00021E6E"/>
    <w:rsid w:val="0002211A"/>
    <w:rsid w:val="0002297D"/>
    <w:rsid w:val="00022ED2"/>
    <w:rsid w:val="0002307B"/>
    <w:rsid w:val="00023C85"/>
    <w:rsid w:val="000244AA"/>
    <w:rsid w:val="0002497D"/>
    <w:rsid w:val="00025111"/>
    <w:rsid w:val="00025596"/>
    <w:rsid w:val="00026501"/>
    <w:rsid w:val="00026DE2"/>
    <w:rsid w:val="0002758E"/>
    <w:rsid w:val="0003152B"/>
    <w:rsid w:val="0003289D"/>
    <w:rsid w:val="00034FFD"/>
    <w:rsid w:val="00035234"/>
    <w:rsid w:val="0003546D"/>
    <w:rsid w:val="0003737B"/>
    <w:rsid w:val="00037406"/>
    <w:rsid w:val="00037C3A"/>
    <w:rsid w:val="00040A9D"/>
    <w:rsid w:val="00040E53"/>
    <w:rsid w:val="00041000"/>
    <w:rsid w:val="00041244"/>
    <w:rsid w:val="000423C5"/>
    <w:rsid w:val="00043692"/>
    <w:rsid w:val="00045084"/>
    <w:rsid w:val="00045427"/>
    <w:rsid w:val="0004566A"/>
    <w:rsid w:val="000463BE"/>
    <w:rsid w:val="000468C0"/>
    <w:rsid w:val="00046C1C"/>
    <w:rsid w:val="000471B6"/>
    <w:rsid w:val="00047921"/>
    <w:rsid w:val="000511CD"/>
    <w:rsid w:val="000512B7"/>
    <w:rsid w:val="00051B9E"/>
    <w:rsid w:val="0005202C"/>
    <w:rsid w:val="00054252"/>
    <w:rsid w:val="000547CB"/>
    <w:rsid w:val="00055CA7"/>
    <w:rsid w:val="00060FEA"/>
    <w:rsid w:val="00061D29"/>
    <w:rsid w:val="00061EC5"/>
    <w:rsid w:val="00062CA9"/>
    <w:rsid w:val="000634E4"/>
    <w:rsid w:val="00065805"/>
    <w:rsid w:val="000662F5"/>
    <w:rsid w:val="000670F7"/>
    <w:rsid w:val="00067C17"/>
    <w:rsid w:val="000702C3"/>
    <w:rsid w:val="00071038"/>
    <w:rsid w:val="0007384C"/>
    <w:rsid w:val="00074627"/>
    <w:rsid w:val="0007592F"/>
    <w:rsid w:val="0007603D"/>
    <w:rsid w:val="0007795F"/>
    <w:rsid w:val="00077EB9"/>
    <w:rsid w:val="0008242B"/>
    <w:rsid w:val="000827D4"/>
    <w:rsid w:val="00082FF4"/>
    <w:rsid w:val="000833A2"/>
    <w:rsid w:val="00083828"/>
    <w:rsid w:val="00083BEA"/>
    <w:rsid w:val="00083F0A"/>
    <w:rsid w:val="00084A92"/>
    <w:rsid w:val="0008596E"/>
    <w:rsid w:val="00085C0B"/>
    <w:rsid w:val="00085C71"/>
    <w:rsid w:val="000860D9"/>
    <w:rsid w:val="00086B31"/>
    <w:rsid w:val="00086F66"/>
    <w:rsid w:val="00087F75"/>
    <w:rsid w:val="00087FDF"/>
    <w:rsid w:val="0009114D"/>
    <w:rsid w:val="0009227F"/>
    <w:rsid w:val="000955A0"/>
    <w:rsid w:val="00095FCA"/>
    <w:rsid w:val="0009762C"/>
    <w:rsid w:val="000A03A0"/>
    <w:rsid w:val="000A1191"/>
    <w:rsid w:val="000A158A"/>
    <w:rsid w:val="000A45C9"/>
    <w:rsid w:val="000A4886"/>
    <w:rsid w:val="000A520C"/>
    <w:rsid w:val="000A5D65"/>
    <w:rsid w:val="000A7175"/>
    <w:rsid w:val="000A7351"/>
    <w:rsid w:val="000A785C"/>
    <w:rsid w:val="000A7EDF"/>
    <w:rsid w:val="000B3596"/>
    <w:rsid w:val="000B3989"/>
    <w:rsid w:val="000B3E0F"/>
    <w:rsid w:val="000B4B19"/>
    <w:rsid w:val="000B4D4A"/>
    <w:rsid w:val="000B4E5F"/>
    <w:rsid w:val="000B53D2"/>
    <w:rsid w:val="000B55CC"/>
    <w:rsid w:val="000B5BB8"/>
    <w:rsid w:val="000B64E4"/>
    <w:rsid w:val="000B70D4"/>
    <w:rsid w:val="000B7BF0"/>
    <w:rsid w:val="000C09FC"/>
    <w:rsid w:val="000C236C"/>
    <w:rsid w:val="000C28E6"/>
    <w:rsid w:val="000C474E"/>
    <w:rsid w:val="000C50A9"/>
    <w:rsid w:val="000C58A5"/>
    <w:rsid w:val="000C738A"/>
    <w:rsid w:val="000C7B7C"/>
    <w:rsid w:val="000C7E45"/>
    <w:rsid w:val="000D00B4"/>
    <w:rsid w:val="000D05B5"/>
    <w:rsid w:val="000D05D8"/>
    <w:rsid w:val="000D10E6"/>
    <w:rsid w:val="000D17B3"/>
    <w:rsid w:val="000D2019"/>
    <w:rsid w:val="000D2CC3"/>
    <w:rsid w:val="000D394A"/>
    <w:rsid w:val="000D3B18"/>
    <w:rsid w:val="000D3DF5"/>
    <w:rsid w:val="000D685E"/>
    <w:rsid w:val="000D6AA4"/>
    <w:rsid w:val="000D7197"/>
    <w:rsid w:val="000D7ACE"/>
    <w:rsid w:val="000E0666"/>
    <w:rsid w:val="000E121A"/>
    <w:rsid w:val="000E1610"/>
    <w:rsid w:val="000E2294"/>
    <w:rsid w:val="000E25B3"/>
    <w:rsid w:val="000E3A6D"/>
    <w:rsid w:val="000E5331"/>
    <w:rsid w:val="000E6986"/>
    <w:rsid w:val="000E6C2A"/>
    <w:rsid w:val="000F2B30"/>
    <w:rsid w:val="000F2FAE"/>
    <w:rsid w:val="000F52AB"/>
    <w:rsid w:val="000F60FA"/>
    <w:rsid w:val="000F6812"/>
    <w:rsid w:val="000F76EE"/>
    <w:rsid w:val="000F7742"/>
    <w:rsid w:val="00100821"/>
    <w:rsid w:val="00100DDE"/>
    <w:rsid w:val="00100F6E"/>
    <w:rsid w:val="00101E47"/>
    <w:rsid w:val="00102AEA"/>
    <w:rsid w:val="00102CC1"/>
    <w:rsid w:val="0010350B"/>
    <w:rsid w:val="0010440B"/>
    <w:rsid w:val="00104769"/>
    <w:rsid w:val="00104A61"/>
    <w:rsid w:val="00105DA0"/>
    <w:rsid w:val="001061FC"/>
    <w:rsid w:val="00106CC9"/>
    <w:rsid w:val="00110A74"/>
    <w:rsid w:val="001135B1"/>
    <w:rsid w:val="00113746"/>
    <w:rsid w:val="001138B5"/>
    <w:rsid w:val="00113C76"/>
    <w:rsid w:val="0011445C"/>
    <w:rsid w:val="001153F2"/>
    <w:rsid w:val="00115510"/>
    <w:rsid w:val="00116AA0"/>
    <w:rsid w:val="00117991"/>
    <w:rsid w:val="001204B9"/>
    <w:rsid w:val="00121CEB"/>
    <w:rsid w:val="001225C3"/>
    <w:rsid w:val="00123911"/>
    <w:rsid w:val="00123DFD"/>
    <w:rsid w:val="00124A3B"/>
    <w:rsid w:val="00124DF1"/>
    <w:rsid w:val="00125083"/>
    <w:rsid w:val="001266D0"/>
    <w:rsid w:val="001270B0"/>
    <w:rsid w:val="001275F5"/>
    <w:rsid w:val="00127EB3"/>
    <w:rsid w:val="00132A64"/>
    <w:rsid w:val="0013346B"/>
    <w:rsid w:val="001348B9"/>
    <w:rsid w:val="0013563E"/>
    <w:rsid w:val="001361D5"/>
    <w:rsid w:val="001370C2"/>
    <w:rsid w:val="00137553"/>
    <w:rsid w:val="00137863"/>
    <w:rsid w:val="001405E9"/>
    <w:rsid w:val="00140EBC"/>
    <w:rsid w:val="00142DF4"/>
    <w:rsid w:val="0014389A"/>
    <w:rsid w:val="00144387"/>
    <w:rsid w:val="001444AA"/>
    <w:rsid w:val="00145A89"/>
    <w:rsid w:val="00146245"/>
    <w:rsid w:val="0014763F"/>
    <w:rsid w:val="00147AD5"/>
    <w:rsid w:val="00147AEA"/>
    <w:rsid w:val="00147D02"/>
    <w:rsid w:val="00150D0C"/>
    <w:rsid w:val="00151C2A"/>
    <w:rsid w:val="0015242B"/>
    <w:rsid w:val="001526F5"/>
    <w:rsid w:val="001534F5"/>
    <w:rsid w:val="0015456A"/>
    <w:rsid w:val="00155D12"/>
    <w:rsid w:val="00155EA4"/>
    <w:rsid w:val="00156473"/>
    <w:rsid w:val="00156487"/>
    <w:rsid w:val="001576D9"/>
    <w:rsid w:val="0016014E"/>
    <w:rsid w:val="001618D4"/>
    <w:rsid w:val="00163A3E"/>
    <w:rsid w:val="00163E3D"/>
    <w:rsid w:val="001649C8"/>
    <w:rsid w:val="00165E80"/>
    <w:rsid w:val="00166B67"/>
    <w:rsid w:val="00170BC4"/>
    <w:rsid w:val="00170F37"/>
    <w:rsid w:val="0017271C"/>
    <w:rsid w:val="00172E2D"/>
    <w:rsid w:val="00173CD4"/>
    <w:rsid w:val="001743B0"/>
    <w:rsid w:val="0017605D"/>
    <w:rsid w:val="00176F9E"/>
    <w:rsid w:val="00177AC9"/>
    <w:rsid w:val="00177DB4"/>
    <w:rsid w:val="00180A2B"/>
    <w:rsid w:val="001813A3"/>
    <w:rsid w:val="0018161F"/>
    <w:rsid w:val="00182239"/>
    <w:rsid w:val="001831C9"/>
    <w:rsid w:val="0018321E"/>
    <w:rsid w:val="0018330E"/>
    <w:rsid w:val="00183D8E"/>
    <w:rsid w:val="00184060"/>
    <w:rsid w:val="00184DE2"/>
    <w:rsid w:val="00184EE4"/>
    <w:rsid w:val="00186902"/>
    <w:rsid w:val="001873E5"/>
    <w:rsid w:val="00190026"/>
    <w:rsid w:val="00190929"/>
    <w:rsid w:val="00193C77"/>
    <w:rsid w:val="001940AF"/>
    <w:rsid w:val="0019586F"/>
    <w:rsid w:val="00195DE4"/>
    <w:rsid w:val="00195E56"/>
    <w:rsid w:val="00197041"/>
    <w:rsid w:val="001A1E78"/>
    <w:rsid w:val="001A26F3"/>
    <w:rsid w:val="001A4EC1"/>
    <w:rsid w:val="001A5F89"/>
    <w:rsid w:val="001A6851"/>
    <w:rsid w:val="001A7380"/>
    <w:rsid w:val="001B11B5"/>
    <w:rsid w:val="001B13A4"/>
    <w:rsid w:val="001B189A"/>
    <w:rsid w:val="001B21B1"/>
    <w:rsid w:val="001B2DC1"/>
    <w:rsid w:val="001B2E37"/>
    <w:rsid w:val="001B5120"/>
    <w:rsid w:val="001B5977"/>
    <w:rsid w:val="001B5A8C"/>
    <w:rsid w:val="001B6B4B"/>
    <w:rsid w:val="001B6E94"/>
    <w:rsid w:val="001B7108"/>
    <w:rsid w:val="001B7F42"/>
    <w:rsid w:val="001C0A67"/>
    <w:rsid w:val="001C1AA9"/>
    <w:rsid w:val="001C27C8"/>
    <w:rsid w:val="001C3B3A"/>
    <w:rsid w:val="001C3D7A"/>
    <w:rsid w:val="001C4BCB"/>
    <w:rsid w:val="001C672B"/>
    <w:rsid w:val="001C6ADD"/>
    <w:rsid w:val="001D030F"/>
    <w:rsid w:val="001D1113"/>
    <w:rsid w:val="001D2D3E"/>
    <w:rsid w:val="001D384E"/>
    <w:rsid w:val="001D4555"/>
    <w:rsid w:val="001D45BA"/>
    <w:rsid w:val="001D4645"/>
    <w:rsid w:val="001D4B00"/>
    <w:rsid w:val="001D631B"/>
    <w:rsid w:val="001D6806"/>
    <w:rsid w:val="001D7D0E"/>
    <w:rsid w:val="001E0D98"/>
    <w:rsid w:val="001E1FA6"/>
    <w:rsid w:val="001E2266"/>
    <w:rsid w:val="001E2AE1"/>
    <w:rsid w:val="001E46BA"/>
    <w:rsid w:val="001E4C5D"/>
    <w:rsid w:val="001E52F6"/>
    <w:rsid w:val="001E5336"/>
    <w:rsid w:val="001E5432"/>
    <w:rsid w:val="001E6A4F"/>
    <w:rsid w:val="001E6EFC"/>
    <w:rsid w:val="001E72FC"/>
    <w:rsid w:val="001F1216"/>
    <w:rsid w:val="001F1C9B"/>
    <w:rsid w:val="001F4A49"/>
    <w:rsid w:val="001F63DE"/>
    <w:rsid w:val="00200EB6"/>
    <w:rsid w:val="00201007"/>
    <w:rsid w:val="00201319"/>
    <w:rsid w:val="0020258D"/>
    <w:rsid w:val="00203835"/>
    <w:rsid w:val="00205A31"/>
    <w:rsid w:val="00206A13"/>
    <w:rsid w:val="0020725D"/>
    <w:rsid w:val="00207DBA"/>
    <w:rsid w:val="002106AC"/>
    <w:rsid w:val="00212386"/>
    <w:rsid w:val="002138D3"/>
    <w:rsid w:val="00216076"/>
    <w:rsid w:val="00216CB2"/>
    <w:rsid w:val="002176A7"/>
    <w:rsid w:val="00220141"/>
    <w:rsid w:val="00220C9B"/>
    <w:rsid w:val="00223B70"/>
    <w:rsid w:val="00225258"/>
    <w:rsid w:val="0022609F"/>
    <w:rsid w:val="00226E15"/>
    <w:rsid w:val="00230669"/>
    <w:rsid w:val="002317C6"/>
    <w:rsid w:val="00231A70"/>
    <w:rsid w:val="00232006"/>
    <w:rsid w:val="002337E7"/>
    <w:rsid w:val="002349B9"/>
    <w:rsid w:val="00234A76"/>
    <w:rsid w:val="00234DA5"/>
    <w:rsid w:val="002357A3"/>
    <w:rsid w:val="00235E1D"/>
    <w:rsid w:val="00236A96"/>
    <w:rsid w:val="00236AE9"/>
    <w:rsid w:val="00236D8B"/>
    <w:rsid w:val="00237761"/>
    <w:rsid w:val="00237932"/>
    <w:rsid w:val="00237985"/>
    <w:rsid w:val="00240D97"/>
    <w:rsid w:val="00241BF1"/>
    <w:rsid w:val="0024223D"/>
    <w:rsid w:val="00242857"/>
    <w:rsid w:val="00243310"/>
    <w:rsid w:val="00243442"/>
    <w:rsid w:val="00244990"/>
    <w:rsid w:val="00245C11"/>
    <w:rsid w:val="00246D0F"/>
    <w:rsid w:val="00246E2E"/>
    <w:rsid w:val="00250A35"/>
    <w:rsid w:val="0025281D"/>
    <w:rsid w:val="0025300D"/>
    <w:rsid w:val="002547F5"/>
    <w:rsid w:val="00255B98"/>
    <w:rsid w:val="002562BF"/>
    <w:rsid w:val="00256BAC"/>
    <w:rsid w:val="002570B7"/>
    <w:rsid w:val="002577F5"/>
    <w:rsid w:val="0025794F"/>
    <w:rsid w:val="00260070"/>
    <w:rsid w:val="00261683"/>
    <w:rsid w:val="00262979"/>
    <w:rsid w:val="002633EE"/>
    <w:rsid w:val="00264239"/>
    <w:rsid w:val="00265C5A"/>
    <w:rsid w:val="00266C0C"/>
    <w:rsid w:val="00266DDD"/>
    <w:rsid w:val="00267959"/>
    <w:rsid w:val="00270262"/>
    <w:rsid w:val="0027132E"/>
    <w:rsid w:val="002713A4"/>
    <w:rsid w:val="002714F6"/>
    <w:rsid w:val="00271566"/>
    <w:rsid w:val="00271EEA"/>
    <w:rsid w:val="002740B1"/>
    <w:rsid w:val="00274482"/>
    <w:rsid w:val="00276B7F"/>
    <w:rsid w:val="00276E92"/>
    <w:rsid w:val="00281B4E"/>
    <w:rsid w:val="00281F1B"/>
    <w:rsid w:val="00283B08"/>
    <w:rsid w:val="00285869"/>
    <w:rsid w:val="00286EC1"/>
    <w:rsid w:val="002873D7"/>
    <w:rsid w:val="002875EE"/>
    <w:rsid w:val="00291030"/>
    <w:rsid w:val="0029270C"/>
    <w:rsid w:val="00293161"/>
    <w:rsid w:val="002958CC"/>
    <w:rsid w:val="002964FE"/>
    <w:rsid w:val="00296868"/>
    <w:rsid w:val="002A1189"/>
    <w:rsid w:val="002A1B08"/>
    <w:rsid w:val="002A1E88"/>
    <w:rsid w:val="002A29C8"/>
    <w:rsid w:val="002A2C34"/>
    <w:rsid w:val="002A381C"/>
    <w:rsid w:val="002A5F6C"/>
    <w:rsid w:val="002A65D3"/>
    <w:rsid w:val="002B07F6"/>
    <w:rsid w:val="002B1208"/>
    <w:rsid w:val="002B18BA"/>
    <w:rsid w:val="002B1B00"/>
    <w:rsid w:val="002B371E"/>
    <w:rsid w:val="002B6FE4"/>
    <w:rsid w:val="002C0BC9"/>
    <w:rsid w:val="002C19A4"/>
    <w:rsid w:val="002C1D93"/>
    <w:rsid w:val="002C204C"/>
    <w:rsid w:val="002C30D5"/>
    <w:rsid w:val="002C3F34"/>
    <w:rsid w:val="002C4065"/>
    <w:rsid w:val="002C483B"/>
    <w:rsid w:val="002C6754"/>
    <w:rsid w:val="002C67D4"/>
    <w:rsid w:val="002C6AAE"/>
    <w:rsid w:val="002C6E99"/>
    <w:rsid w:val="002C747E"/>
    <w:rsid w:val="002C7F76"/>
    <w:rsid w:val="002D2AC0"/>
    <w:rsid w:val="002D4838"/>
    <w:rsid w:val="002D5265"/>
    <w:rsid w:val="002D5C28"/>
    <w:rsid w:val="002D5F51"/>
    <w:rsid w:val="002D6931"/>
    <w:rsid w:val="002D69E8"/>
    <w:rsid w:val="002D7C73"/>
    <w:rsid w:val="002E30A6"/>
    <w:rsid w:val="002E458C"/>
    <w:rsid w:val="002E4678"/>
    <w:rsid w:val="002E64DE"/>
    <w:rsid w:val="002E755A"/>
    <w:rsid w:val="002E7FE5"/>
    <w:rsid w:val="002F0062"/>
    <w:rsid w:val="002F01D7"/>
    <w:rsid w:val="002F1D30"/>
    <w:rsid w:val="002F2602"/>
    <w:rsid w:val="002F3435"/>
    <w:rsid w:val="002F4E63"/>
    <w:rsid w:val="002F606B"/>
    <w:rsid w:val="002F74A5"/>
    <w:rsid w:val="002F7DD9"/>
    <w:rsid w:val="002F7F2B"/>
    <w:rsid w:val="00300A0C"/>
    <w:rsid w:val="00300B06"/>
    <w:rsid w:val="003029E0"/>
    <w:rsid w:val="003029FC"/>
    <w:rsid w:val="003039A8"/>
    <w:rsid w:val="00303F38"/>
    <w:rsid w:val="00307D21"/>
    <w:rsid w:val="003123C3"/>
    <w:rsid w:val="003137E2"/>
    <w:rsid w:val="0031541F"/>
    <w:rsid w:val="00315963"/>
    <w:rsid w:val="0031781B"/>
    <w:rsid w:val="0031788E"/>
    <w:rsid w:val="00320810"/>
    <w:rsid w:val="003217AD"/>
    <w:rsid w:val="00321FD1"/>
    <w:rsid w:val="0032232E"/>
    <w:rsid w:val="00323D66"/>
    <w:rsid w:val="0032490B"/>
    <w:rsid w:val="0032667B"/>
    <w:rsid w:val="0033096D"/>
    <w:rsid w:val="00330E86"/>
    <w:rsid w:val="00331159"/>
    <w:rsid w:val="00333B19"/>
    <w:rsid w:val="00334109"/>
    <w:rsid w:val="00334B34"/>
    <w:rsid w:val="00335371"/>
    <w:rsid w:val="00336B4B"/>
    <w:rsid w:val="00340125"/>
    <w:rsid w:val="0034018C"/>
    <w:rsid w:val="00342634"/>
    <w:rsid w:val="003429F6"/>
    <w:rsid w:val="00342F57"/>
    <w:rsid w:val="00343C30"/>
    <w:rsid w:val="00344903"/>
    <w:rsid w:val="00344989"/>
    <w:rsid w:val="00345F03"/>
    <w:rsid w:val="00346297"/>
    <w:rsid w:val="00346D46"/>
    <w:rsid w:val="00347194"/>
    <w:rsid w:val="00347B2A"/>
    <w:rsid w:val="0035029C"/>
    <w:rsid w:val="003511F7"/>
    <w:rsid w:val="003512E5"/>
    <w:rsid w:val="00352C2B"/>
    <w:rsid w:val="00352E11"/>
    <w:rsid w:val="003535E2"/>
    <w:rsid w:val="00353A61"/>
    <w:rsid w:val="00354435"/>
    <w:rsid w:val="00354901"/>
    <w:rsid w:val="0035658B"/>
    <w:rsid w:val="00356E4D"/>
    <w:rsid w:val="0035752E"/>
    <w:rsid w:val="00360129"/>
    <w:rsid w:val="003610D3"/>
    <w:rsid w:val="00361F40"/>
    <w:rsid w:val="00363968"/>
    <w:rsid w:val="00364802"/>
    <w:rsid w:val="00364845"/>
    <w:rsid w:val="003653CF"/>
    <w:rsid w:val="00366951"/>
    <w:rsid w:val="00366DF3"/>
    <w:rsid w:val="00371698"/>
    <w:rsid w:val="00371936"/>
    <w:rsid w:val="00371FD3"/>
    <w:rsid w:val="003722C8"/>
    <w:rsid w:val="003740CF"/>
    <w:rsid w:val="003742AE"/>
    <w:rsid w:val="003744AF"/>
    <w:rsid w:val="0037478D"/>
    <w:rsid w:val="003750CE"/>
    <w:rsid w:val="00376338"/>
    <w:rsid w:val="003773C3"/>
    <w:rsid w:val="00380116"/>
    <w:rsid w:val="00381163"/>
    <w:rsid w:val="0038282E"/>
    <w:rsid w:val="003843FE"/>
    <w:rsid w:val="00386E23"/>
    <w:rsid w:val="003903EB"/>
    <w:rsid w:val="003912A5"/>
    <w:rsid w:val="0039158E"/>
    <w:rsid w:val="00391C78"/>
    <w:rsid w:val="00394E53"/>
    <w:rsid w:val="00394E76"/>
    <w:rsid w:val="003966B0"/>
    <w:rsid w:val="00396DA7"/>
    <w:rsid w:val="003A0609"/>
    <w:rsid w:val="003A0EF4"/>
    <w:rsid w:val="003A1C1D"/>
    <w:rsid w:val="003A292F"/>
    <w:rsid w:val="003A33D4"/>
    <w:rsid w:val="003A3861"/>
    <w:rsid w:val="003A3F9C"/>
    <w:rsid w:val="003A4444"/>
    <w:rsid w:val="003A4F37"/>
    <w:rsid w:val="003A5A75"/>
    <w:rsid w:val="003A5CC6"/>
    <w:rsid w:val="003A6763"/>
    <w:rsid w:val="003A6DB0"/>
    <w:rsid w:val="003A784C"/>
    <w:rsid w:val="003B1CC3"/>
    <w:rsid w:val="003B1D54"/>
    <w:rsid w:val="003B38FC"/>
    <w:rsid w:val="003B3CDF"/>
    <w:rsid w:val="003B3D15"/>
    <w:rsid w:val="003B61DC"/>
    <w:rsid w:val="003B7240"/>
    <w:rsid w:val="003B7D43"/>
    <w:rsid w:val="003C0C55"/>
    <w:rsid w:val="003C18B2"/>
    <w:rsid w:val="003C2045"/>
    <w:rsid w:val="003C2D19"/>
    <w:rsid w:val="003C2DB4"/>
    <w:rsid w:val="003C54AC"/>
    <w:rsid w:val="003C6517"/>
    <w:rsid w:val="003C6FE1"/>
    <w:rsid w:val="003C736B"/>
    <w:rsid w:val="003C7E4C"/>
    <w:rsid w:val="003D4016"/>
    <w:rsid w:val="003D40E5"/>
    <w:rsid w:val="003D41E5"/>
    <w:rsid w:val="003D4599"/>
    <w:rsid w:val="003D4D48"/>
    <w:rsid w:val="003D60EF"/>
    <w:rsid w:val="003D6E0F"/>
    <w:rsid w:val="003D754A"/>
    <w:rsid w:val="003E31AC"/>
    <w:rsid w:val="003E3A32"/>
    <w:rsid w:val="003E46E2"/>
    <w:rsid w:val="003E775E"/>
    <w:rsid w:val="003E79CE"/>
    <w:rsid w:val="003E7B88"/>
    <w:rsid w:val="003F02FB"/>
    <w:rsid w:val="003F182F"/>
    <w:rsid w:val="003F1D3F"/>
    <w:rsid w:val="003F5BB3"/>
    <w:rsid w:val="003F63DA"/>
    <w:rsid w:val="003F6847"/>
    <w:rsid w:val="003F7B00"/>
    <w:rsid w:val="00401239"/>
    <w:rsid w:val="00401C8D"/>
    <w:rsid w:val="004036BE"/>
    <w:rsid w:val="00403ACA"/>
    <w:rsid w:val="00403B53"/>
    <w:rsid w:val="00404111"/>
    <w:rsid w:val="004049B8"/>
    <w:rsid w:val="00407ACA"/>
    <w:rsid w:val="004118FB"/>
    <w:rsid w:val="00412480"/>
    <w:rsid w:val="004130F6"/>
    <w:rsid w:val="004143BB"/>
    <w:rsid w:val="00414C51"/>
    <w:rsid w:val="00420418"/>
    <w:rsid w:val="00420E48"/>
    <w:rsid w:val="00421B40"/>
    <w:rsid w:val="00423112"/>
    <w:rsid w:val="00423B8C"/>
    <w:rsid w:val="00423E51"/>
    <w:rsid w:val="004245D0"/>
    <w:rsid w:val="00425B67"/>
    <w:rsid w:val="004276DC"/>
    <w:rsid w:val="00430136"/>
    <w:rsid w:val="004306B4"/>
    <w:rsid w:val="0043072B"/>
    <w:rsid w:val="004311D3"/>
    <w:rsid w:val="0043156C"/>
    <w:rsid w:val="00431FA3"/>
    <w:rsid w:val="00432A67"/>
    <w:rsid w:val="00432AAC"/>
    <w:rsid w:val="004339D7"/>
    <w:rsid w:val="00434746"/>
    <w:rsid w:val="00434895"/>
    <w:rsid w:val="004355B9"/>
    <w:rsid w:val="004361FC"/>
    <w:rsid w:val="00440860"/>
    <w:rsid w:val="004421F5"/>
    <w:rsid w:val="0044365B"/>
    <w:rsid w:val="00444706"/>
    <w:rsid w:val="00444F5A"/>
    <w:rsid w:val="00445245"/>
    <w:rsid w:val="00445B3C"/>
    <w:rsid w:val="0044617F"/>
    <w:rsid w:val="00447168"/>
    <w:rsid w:val="0044775D"/>
    <w:rsid w:val="004503F3"/>
    <w:rsid w:val="004505F2"/>
    <w:rsid w:val="00450918"/>
    <w:rsid w:val="00450A02"/>
    <w:rsid w:val="00451374"/>
    <w:rsid w:val="00452641"/>
    <w:rsid w:val="00454ECC"/>
    <w:rsid w:val="0045515C"/>
    <w:rsid w:val="004554B4"/>
    <w:rsid w:val="00456C15"/>
    <w:rsid w:val="00456F36"/>
    <w:rsid w:val="00457449"/>
    <w:rsid w:val="00457525"/>
    <w:rsid w:val="004602A3"/>
    <w:rsid w:val="00460AEB"/>
    <w:rsid w:val="00461975"/>
    <w:rsid w:val="00461A80"/>
    <w:rsid w:val="004623FA"/>
    <w:rsid w:val="00462656"/>
    <w:rsid w:val="00462721"/>
    <w:rsid w:val="00462906"/>
    <w:rsid w:val="0046295A"/>
    <w:rsid w:val="00463061"/>
    <w:rsid w:val="00466344"/>
    <w:rsid w:val="00466453"/>
    <w:rsid w:val="0046656F"/>
    <w:rsid w:val="0046688D"/>
    <w:rsid w:val="00466A78"/>
    <w:rsid w:val="00466DD5"/>
    <w:rsid w:val="0046754B"/>
    <w:rsid w:val="004700FE"/>
    <w:rsid w:val="00473319"/>
    <w:rsid w:val="00473854"/>
    <w:rsid w:val="004741BC"/>
    <w:rsid w:val="004743CB"/>
    <w:rsid w:val="00475365"/>
    <w:rsid w:val="00475821"/>
    <w:rsid w:val="00475DAD"/>
    <w:rsid w:val="004762A8"/>
    <w:rsid w:val="00477A7B"/>
    <w:rsid w:val="00480044"/>
    <w:rsid w:val="00480B4F"/>
    <w:rsid w:val="00481433"/>
    <w:rsid w:val="00481879"/>
    <w:rsid w:val="00481D83"/>
    <w:rsid w:val="00482744"/>
    <w:rsid w:val="00484546"/>
    <w:rsid w:val="00485514"/>
    <w:rsid w:val="004861C2"/>
    <w:rsid w:val="0048653E"/>
    <w:rsid w:val="00487088"/>
    <w:rsid w:val="00487585"/>
    <w:rsid w:val="0049047E"/>
    <w:rsid w:val="00490C85"/>
    <w:rsid w:val="00490E43"/>
    <w:rsid w:val="00490F4A"/>
    <w:rsid w:val="00491317"/>
    <w:rsid w:val="00491A0B"/>
    <w:rsid w:val="0049248C"/>
    <w:rsid w:val="00493B21"/>
    <w:rsid w:val="00493E73"/>
    <w:rsid w:val="00493F75"/>
    <w:rsid w:val="00494539"/>
    <w:rsid w:val="00494B61"/>
    <w:rsid w:val="00496042"/>
    <w:rsid w:val="00496F1F"/>
    <w:rsid w:val="00496F60"/>
    <w:rsid w:val="00497D26"/>
    <w:rsid w:val="00497EF7"/>
    <w:rsid w:val="004A384F"/>
    <w:rsid w:val="004A4283"/>
    <w:rsid w:val="004A4A83"/>
    <w:rsid w:val="004A55AD"/>
    <w:rsid w:val="004A5741"/>
    <w:rsid w:val="004A7DC4"/>
    <w:rsid w:val="004B192F"/>
    <w:rsid w:val="004B1A87"/>
    <w:rsid w:val="004B1DD9"/>
    <w:rsid w:val="004B4150"/>
    <w:rsid w:val="004B47E3"/>
    <w:rsid w:val="004B4D8D"/>
    <w:rsid w:val="004B5869"/>
    <w:rsid w:val="004B73B7"/>
    <w:rsid w:val="004B7614"/>
    <w:rsid w:val="004C1AEB"/>
    <w:rsid w:val="004C369E"/>
    <w:rsid w:val="004C4E9E"/>
    <w:rsid w:val="004C5C61"/>
    <w:rsid w:val="004C6A23"/>
    <w:rsid w:val="004C715B"/>
    <w:rsid w:val="004C730F"/>
    <w:rsid w:val="004C745F"/>
    <w:rsid w:val="004D0086"/>
    <w:rsid w:val="004D07DF"/>
    <w:rsid w:val="004D0B75"/>
    <w:rsid w:val="004D3FF2"/>
    <w:rsid w:val="004D401D"/>
    <w:rsid w:val="004D4E90"/>
    <w:rsid w:val="004D6F2B"/>
    <w:rsid w:val="004E012A"/>
    <w:rsid w:val="004E056C"/>
    <w:rsid w:val="004E2517"/>
    <w:rsid w:val="004E62DF"/>
    <w:rsid w:val="004E6584"/>
    <w:rsid w:val="004E6593"/>
    <w:rsid w:val="004E6F80"/>
    <w:rsid w:val="004E7E12"/>
    <w:rsid w:val="004F03A3"/>
    <w:rsid w:val="004F19E0"/>
    <w:rsid w:val="004F1F86"/>
    <w:rsid w:val="004F2086"/>
    <w:rsid w:val="004F23DE"/>
    <w:rsid w:val="004F2490"/>
    <w:rsid w:val="004F2F73"/>
    <w:rsid w:val="004F317E"/>
    <w:rsid w:val="004F57FD"/>
    <w:rsid w:val="004F6BC6"/>
    <w:rsid w:val="004F6CF7"/>
    <w:rsid w:val="004F711D"/>
    <w:rsid w:val="00500B79"/>
    <w:rsid w:val="005012F3"/>
    <w:rsid w:val="0050167E"/>
    <w:rsid w:val="00505F50"/>
    <w:rsid w:val="005068D3"/>
    <w:rsid w:val="00506E40"/>
    <w:rsid w:val="0050749A"/>
    <w:rsid w:val="00510ABE"/>
    <w:rsid w:val="00510C5D"/>
    <w:rsid w:val="0051142A"/>
    <w:rsid w:val="005120B5"/>
    <w:rsid w:val="0051269A"/>
    <w:rsid w:val="005129A6"/>
    <w:rsid w:val="00514C05"/>
    <w:rsid w:val="00515E68"/>
    <w:rsid w:val="005173DF"/>
    <w:rsid w:val="005201BC"/>
    <w:rsid w:val="00520F69"/>
    <w:rsid w:val="00521BA8"/>
    <w:rsid w:val="005230D7"/>
    <w:rsid w:val="00523284"/>
    <w:rsid w:val="005232C7"/>
    <w:rsid w:val="00523AF9"/>
    <w:rsid w:val="00523F86"/>
    <w:rsid w:val="00524B53"/>
    <w:rsid w:val="005260B4"/>
    <w:rsid w:val="00526213"/>
    <w:rsid w:val="00526CDF"/>
    <w:rsid w:val="00526EAB"/>
    <w:rsid w:val="00527456"/>
    <w:rsid w:val="00527ED6"/>
    <w:rsid w:val="00527FF7"/>
    <w:rsid w:val="0053048D"/>
    <w:rsid w:val="0053132C"/>
    <w:rsid w:val="005315A7"/>
    <w:rsid w:val="0053250A"/>
    <w:rsid w:val="005328F7"/>
    <w:rsid w:val="00533BB8"/>
    <w:rsid w:val="005341FD"/>
    <w:rsid w:val="00534223"/>
    <w:rsid w:val="0053524F"/>
    <w:rsid w:val="005371E9"/>
    <w:rsid w:val="0054028F"/>
    <w:rsid w:val="005426B6"/>
    <w:rsid w:val="00542E8D"/>
    <w:rsid w:val="005441D2"/>
    <w:rsid w:val="0054451E"/>
    <w:rsid w:val="00546DB8"/>
    <w:rsid w:val="005476A0"/>
    <w:rsid w:val="005476AE"/>
    <w:rsid w:val="00547C60"/>
    <w:rsid w:val="00551872"/>
    <w:rsid w:val="00551F9F"/>
    <w:rsid w:val="005522D4"/>
    <w:rsid w:val="005525D7"/>
    <w:rsid w:val="00552891"/>
    <w:rsid w:val="00552D9A"/>
    <w:rsid w:val="005530FA"/>
    <w:rsid w:val="00560C66"/>
    <w:rsid w:val="005616BB"/>
    <w:rsid w:val="00563218"/>
    <w:rsid w:val="00563AE5"/>
    <w:rsid w:val="00563D29"/>
    <w:rsid w:val="00563F61"/>
    <w:rsid w:val="00564933"/>
    <w:rsid w:val="00565FDE"/>
    <w:rsid w:val="0056788B"/>
    <w:rsid w:val="00567E75"/>
    <w:rsid w:val="00570A68"/>
    <w:rsid w:val="00570F50"/>
    <w:rsid w:val="0057144F"/>
    <w:rsid w:val="00571C17"/>
    <w:rsid w:val="00574294"/>
    <w:rsid w:val="00574878"/>
    <w:rsid w:val="00575420"/>
    <w:rsid w:val="00576679"/>
    <w:rsid w:val="00576953"/>
    <w:rsid w:val="0057776C"/>
    <w:rsid w:val="00580946"/>
    <w:rsid w:val="005814AE"/>
    <w:rsid w:val="00581565"/>
    <w:rsid w:val="005815A1"/>
    <w:rsid w:val="00582F16"/>
    <w:rsid w:val="00585DB6"/>
    <w:rsid w:val="005862AD"/>
    <w:rsid w:val="00586D69"/>
    <w:rsid w:val="005873B9"/>
    <w:rsid w:val="0058793D"/>
    <w:rsid w:val="00587D23"/>
    <w:rsid w:val="00590024"/>
    <w:rsid w:val="005904A2"/>
    <w:rsid w:val="00590C1A"/>
    <w:rsid w:val="005925F3"/>
    <w:rsid w:val="005935C4"/>
    <w:rsid w:val="00593D59"/>
    <w:rsid w:val="00593D78"/>
    <w:rsid w:val="0059403F"/>
    <w:rsid w:val="0059776D"/>
    <w:rsid w:val="00597C99"/>
    <w:rsid w:val="005A1AB7"/>
    <w:rsid w:val="005A46A0"/>
    <w:rsid w:val="005A4ACB"/>
    <w:rsid w:val="005A515D"/>
    <w:rsid w:val="005A5833"/>
    <w:rsid w:val="005A6CC6"/>
    <w:rsid w:val="005B1114"/>
    <w:rsid w:val="005B1BF8"/>
    <w:rsid w:val="005B27C5"/>
    <w:rsid w:val="005B27EF"/>
    <w:rsid w:val="005B2A64"/>
    <w:rsid w:val="005B4479"/>
    <w:rsid w:val="005B5211"/>
    <w:rsid w:val="005B6E3B"/>
    <w:rsid w:val="005B7362"/>
    <w:rsid w:val="005C1765"/>
    <w:rsid w:val="005C2258"/>
    <w:rsid w:val="005C2CA3"/>
    <w:rsid w:val="005C3394"/>
    <w:rsid w:val="005C3D95"/>
    <w:rsid w:val="005C52C7"/>
    <w:rsid w:val="005C67CC"/>
    <w:rsid w:val="005C79BB"/>
    <w:rsid w:val="005D06F4"/>
    <w:rsid w:val="005D1632"/>
    <w:rsid w:val="005D1912"/>
    <w:rsid w:val="005D197F"/>
    <w:rsid w:val="005D2111"/>
    <w:rsid w:val="005D2786"/>
    <w:rsid w:val="005D2C4C"/>
    <w:rsid w:val="005D2D08"/>
    <w:rsid w:val="005D30B4"/>
    <w:rsid w:val="005D31E8"/>
    <w:rsid w:val="005D35B5"/>
    <w:rsid w:val="005D3708"/>
    <w:rsid w:val="005D3E27"/>
    <w:rsid w:val="005D5045"/>
    <w:rsid w:val="005D60DD"/>
    <w:rsid w:val="005D6279"/>
    <w:rsid w:val="005D6473"/>
    <w:rsid w:val="005D6C59"/>
    <w:rsid w:val="005D6E7F"/>
    <w:rsid w:val="005D7AF9"/>
    <w:rsid w:val="005E04F9"/>
    <w:rsid w:val="005E09BB"/>
    <w:rsid w:val="005E15BA"/>
    <w:rsid w:val="005E20D7"/>
    <w:rsid w:val="005E2D5B"/>
    <w:rsid w:val="005E4228"/>
    <w:rsid w:val="005E4C9E"/>
    <w:rsid w:val="005E51D8"/>
    <w:rsid w:val="005E54C2"/>
    <w:rsid w:val="005F149A"/>
    <w:rsid w:val="005F1A1B"/>
    <w:rsid w:val="005F227D"/>
    <w:rsid w:val="005F2E88"/>
    <w:rsid w:val="005F3992"/>
    <w:rsid w:val="005F43DE"/>
    <w:rsid w:val="005F4593"/>
    <w:rsid w:val="005F4A23"/>
    <w:rsid w:val="005F4CC5"/>
    <w:rsid w:val="005F6D46"/>
    <w:rsid w:val="005F710A"/>
    <w:rsid w:val="005F77B1"/>
    <w:rsid w:val="005F7C0D"/>
    <w:rsid w:val="0060170F"/>
    <w:rsid w:val="006018A9"/>
    <w:rsid w:val="00601C3A"/>
    <w:rsid w:val="00601CBA"/>
    <w:rsid w:val="006026C8"/>
    <w:rsid w:val="00602DB9"/>
    <w:rsid w:val="0060471F"/>
    <w:rsid w:val="0060479A"/>
    <w:rsid w:val="0060764A"/>
    <w:rsid w:val="00607D30"/>
    <w:rsid w:val="00610080"/>
    <w:rsid w:val="006103C2"/>
    <w:rsid w:val="00610D31"/>
    <w:rsid w:val="00611B77"/>
    <w:rsid w:val="00612183"/>
    <w:rsid w:val="00612B14"/>
    <w:rsid w:val="006137A6"/>
    <w:rsid w:val="00613F8F"/>
    <w:rsid w:val="00617345"/>
    <w:rsid w:val="0061755B"/>
    <w:rsid w:val="00617D73"/>
    <w:rsid w:val="006203B9"/>
    <w:rsid w:val="00620956"/>
    <w:rsid w:val="00620A25"/>
    <w:rsid w:val="00621191"/>
    <w:rsid w:val="00621E23"/>
    <w:rsid w:val="00621F3E"/>
    <w:rsid w:val="00622EC3"/>
    <w:rsid w:val="00625653"/>
    <w:rsid w:val="006303CD"/>
    <w:rsid w:val="00630634"/>
    <w:rsid w:val="00632888"/>
    <w:rsid w:val="0063413F"/>
    <w:rsid w:val="00634EE3"/>
    <w:rsid w:val="00635FE0"/>
    <w:rsid w:val="0064027A"/>
    <w:rsid w:val="0064087B"/>
    <w:rsid w:val="006435E1"/>
    <w:rsid w:val="00643F94"/>
    <w:rsid w:val="00644CCD"/>
    <w:rsid w:val="0064560A"/>
    <w:rsid w:val="00645B5B"/>
    <w:rsid w:val="00646468"/>
    <w:rsid w:val="00647134"/>
    <w:rsid w:val="006512A8"/>
    <w:rsid w:val="006515E8"/>
    <w:rsid w:val="006529E3"/>
    <w:rsid w:val="006537AB"/>
    <w:rsid w:val="00653E7C"/>
    <w:rsid w:val="00654246"/>
    <w:rsid w:val="006545F0"/>
    <w:rsid w:val="00654E4A"/>
    <w:rsid w:val="00654F42"/>
    <w:rsid w:val="00655051"/>
    <w:rsid w:val="00655E4F"/>
    <w:rsid w:val="00656860"/>
    <w:rsid w:val="00657199"/>
    <w:rsid w:val="00657FC5"/>
    <w:rsid w:val="0066046F"/>
    <w:rsid w:val="00661A3D"/>
    <w:rsid w:val="00661B70"/>
    <w:rsid w:val="00662A53"/>
    <w:rsid w:val="0066657C"/>
    <w:rsid w:val="00667480"/>
    <w:rsid w:val="00670253"/>
    <w:rsid w:val="00672289"/>
    <w:rsid w:val="00680D1C"/>
    <w:rsid w:val="006819A2"/>
    <w:rsid w:val="0068287F"/>
    <w:rsid w:val="00684F37"/>
    <w:rsid w:val="006873CA"/>
    <w:rsid w:val="00690966"/>
    <w:rsid w:val="00691243"/>
    <w:rsid w:val="00691315"/>
    <w:rsid w:val="00692A8A"/>
    <w:rsid w:val="0069382A"/>
    <w:rsid w:val="006951A8"/>
    <w:rsid w:val="006953C2"/>
    <w:rsid w:val="006957BC"/>
    <w:rsid w:val="006A0A26"/>
    <w:rsid w:val="006A1D1A"/>
    <w:rsid w:val="006A319A"/>
    <w:rsid w:val="006A3668"/>
    <w:rsid w:val="006A389F"/>
    <w:rsid w:val="006A4E2A"/>
    <w:rsid w:val="006B045D"/>
    <w:rsid w:val="006B056F"/>
    <w:rsid w:val="006B05DE"/>
    <w:rsid w:val="006B0CBB"/>
    <w:rsid w:val="006B2CB2"/>
    <w:rsid w:val="006B2F55"/>
    <w:rsid w:val="006B5CF4"/>
    <w:rsid w:val="006B6A5A"/>
    <w:rsid w:val="006B741E"/>
    <w:rsid w:val="006B78D7"/>
    <w:rsid w:val="006C01F4"/>
    <w:rsid w:val="006C0683"/>
    <w:rsid w:val="006C0E4A"/>
    <w:rsid w:val="006C1263"/>
    <w:rsid w:val="006C2E5E"/>
    <w:rsid w:val="006C340D"/>
    <w:rsid w:val="006C435C"/>
    <w:rsid w:val="006C4BC7"/>
    <w:rsid w:val="006C564B"/>
    <w:rsid w:val="006C5CA6"/>
    <w:rsid w:val="006C611B"/>
    <w:rsid w:val="006C7305"/>
    <w:rsid w:val="006D0585"/>
    <w:rsid w:val="006D0EA8"/>
    <w:rsid w:val="006D11BA"/>
    <w:rsid w:val="006D27BF"/>
    <w:rsid w:val="006D2B83"/>
    <w:rsid w:val="006D4217"/>
    <w:rsid w:val="006D46CF"/>
    <w:rsid w:val="006D4DF6"/>
    <w:rsid w:val="006D51BB"/>
    <w:rsid w:val="006D577C"/>
    <w:rsid w:val="006D5FDA"/>
    <w:rsid w:val="006D6650"/>
    <w:rsid w:val="006D7630"/>
    <w:rsid w:val="006E0076"/>
    <w:rsid w:val="006E0452"/>
    <w:rsid w:val="006E1955"/>
    <w:rsid w:val="006E1BB1"/>
    <w:rsid w:val="006E1FE6"/>
    <w:rsid w:val="006E2B4E"/>
    <w:rsid w:val="006E3718"/>
    <w:rsid w:val="006E395F"/>
    <w:rsid w:val="006E465E"/>
    <w:rsid w:val="006E4895"/>
    <w:rsid w:val="006E49EF"/>
    <w:rsid w:val="006E61A6"/>
    <w:rsid w:val="006E63B0"/>
    <w:rsid w:val="006F07C5"/>
    <w:rsid w:val="006F07EE"/>
    <w:rsid w:val="006F0FEE"/>
    <w:rsid w:val="006F1602"/>
    <w:rsid w:val="006F2B39"/>
    <w:rsid w:val="006F38B7"/>
    <w:rsid w:val="006F5ECA"/>
    <w:rsid w:val="006F5FCF"/>
    <w:rsid w:val="006F673D"/>
    <w:rsid w:val="006F6BF7"/>
    <w:rsid w:val="00702E4A"/>
    <w:rsid w:val="007031C8"/>
    <w:rsid w:val="007040A6"/>
    <w:rsid w:val="00705985"/>
    <w:rsid w:val="007061FD"/>
    <w:rsid w:val="00707723"/>
    <w:rsid w:val="00707A3C"/>
    <w:rsid w:val="00707E96"/>
    <w:rsid w:val="0071028E"/>
    <w:rsid w:val="0071051F"/>
    <w:rsid w:val="0071067C"/>
    <w:rsid w:val="007115F6"/>
    <w:rsid w:val="007116D2"/>
    <w:rsid w:val="0071187B"/>
    <w:rsid w:val="007124EA"/>
    <w:rsid w:val="00712BED"/>
    <w:rsid w:val="00712D8F"/>
    <w:rsid w:val="00712F9B"/>
    <w:rsid w:val="00713995"/>
    <w:rsid w:val="0071434D"/>
    <w:rsid w:val="007146B5"/>
    <w:rsid w:val="00714E40"/>
    <w:rsid w:val="007151DA"/>
    <w:rsid w:val="00715E94"/>
    <w:rsid w:val="0071649F"/>
    <w:rsid w:val="007167F5"/>
    <w:rsid w:val="00716D61"/>
    <w:rsid w:val="00717469"/>
    <w:rsid w:val="007177ED"/>
    <w:rsid w:val="007205D9"/>
    <w:rsid w:val="007208F8"/>
    <w:rsid w:val="00721488"/>
    <w:rsid w:val="007246B2"/>
    <w:rsid w:val="007248DC"/>
    <w:rsid w:val="00724E5C"/>
    <w:rsid w:val="00725359"/>
    <w:rsid w:val="00726556"/>
    <w:rsid w:val="00727262"/>
    <w:rsid w:val="007272DF"/>
    <w:rsid w:val="00730822"/>
    <w:rsid w:val="00731D77"/>
    <w:rsid w:val="007326CA"/>
    <w:rsid w:val="00732B0E"/>
    <w:rsid w:val="0073367C"/>
    <w:rsid w:val="00734351"/>
    <w:rsid w:val="00734603"/>
    <w:rsid w:val="007359A5"/>
    <w:rsid w:val="00735A40"/>
    <w:rsid w:val="00735B1F"/>
    <w:rsid w:val="00736189"/>
    <w:rsid w:val="007362EA"/>
    <w:rsid w:val="0073699C"/>
    <w:rsid w:val="00736C92"/>
    <w:rsid w:val="0073790C"/>
    <w:rsid w:val="00737FFD"/>
    <w:rsid w:val="00741571"/>
    <w:rsid w:val="0074333E"/>
    <w:rsid w:val="00743591"/>
    <w:rsid w:val="00745662"/>
    <w:rsid w:val="007462C8"/>
    <w:rsid w:val="007465CF"/>
    <w:rsid w:val="00746FD7"/>
    <w:rsid w:val="007477F1"/>
    <w:rsid w:val="0075022A"/>
    <w:rsid w:val="00750916"/>
    <w:rsid w:val="00751675"/>
    <w:rsid w:val="00751E36"/>
    <w:rsid w:val="00751E89"/>
    <w:rsid w:val="00752B0C"/>
    <w:rsid w:val="007569D8"/>
    <w:rsid w:val="007579F1"/>
    <w:rsid w:val="007609F5"/>
    <w:rsid w:val="007611EF"/>
    <w:rsid w:val="00761EA1"/>
    <w:rsid w:val="00761F04"/>
    <w:rsid w:val="007620C2"/>
    <w:rsid w:val="00762FD9"/>
    <w:rsid w:val="007640D4"/>
    <w:rsid w:val="00764ADB"/>
    <w:rsid w:val="007668A4"/>
    <w:rsid w:val="00766E7B"/>
    <w:rsid w:val="00767DB0"/>
    <w:rsid w:val="00767E9B"/>
    <w:rsid w:val="0077050A"/>
    <w:rsid w:val="007727FF"/>
    <w:rsid w:val="007732C0"/>
    <w:rsid w:val="00773984"/>
    <w:rsid w:val="0077419A"/>
    <w:rsid w:val="00776508"/>
    <w:rsid w:val="00776711"/>
    <w:rsid w:val="00776E2D"/>
    <w:rsid w:val="00777555"/>
    <w:rsid w:val="007804B6"/>
    <w:rsid w:val="00780C93"/>
    <w:rsid w:val="00780F0A"/>
    <w:rsid w:val="00782D0D"/>
    <w:rsid w:val="007845AD"/>
    <w:rsid w:val="00784DE1"/>
    <w:rsid w:val="00785E33"/>
    <w:rsid w:val="00786A13"/>
    <w:rsid w:val="00787455"/>
    <w:rsid w:val="007879EC"/>
    <w:rsid w:val="00790070"/>
    <w:rsid w:val="0079235E"/>
    <w:rsid w:val="00792C74"/>
    <w:rsid w:val="00793180"/>
    <w:rsid w:val="007935BE"/>
    <w:rsid w:val="00793AC6"/>
    <w:rsid w:val="00793B54"/>
    <w:rsid w:val="0079454B"/>
    <w:rsid w:val="00794F1A"/>
    <w:rsid w:val="007952BE"/>
    <w:rsid w:val="00795726"/>
    <w:rsid w:val="00796071"/>
    <w:rsid w:val="00796FCB"/>
    <w:rsid w:val="00797591"/>
    <w:rsid w:val="00797783"/>
    <w:rsid w:val="00797A13"/>
    <w:rsid w:val="00797B38"/>
    <w:rsid w:val="00797D19"/>
    <w:rsid w:val="007A0EBF"/>
    <w:rsid w:val="007A1540"/>
    <w:rsid w:val="007A1C3C"/>
    <w:rsid w:val="007A1D7C"/>
    <w:rsid w:val="007A29E9"/>
    <w:rsid w:val="007A2BD4"/>
    <w:rsid w:val="007A3A0C"/>
    <w:rsid w:val="007A567F"/>
    <w:rsid w:val="007A68AD"/>
    <w:rsid w:val="007A6E40"/>
    <w:rsid w:val="007B00AC"/>
    <w:rsid w:val="007B0399"/>
    <w:rsid w:val="007B060A"/>
    <w:rsid w:val="007B16D4"/>
    <w:rsid w:val="007B1A5E"/>
    <w:rsid w:val="007B2BE0"/>
    <w:rsid w:val="007B510B"/>
    <w:rsid w:val="007B66EC"/>
    <w:rsid w:val="007B7766"/>
    <w:rsid w:val="007C0AF6"/>
    <w:rsid w:val="007C104E"/>
    <w:rsid w:val="007C1491"/>
    <w:rsid w:val="007C1F56"/>
    <w:rsid w:val="007C20F1"/>
    <w:rsid w:val="007C38E6"/>
    <w:rsid w:val="007C3C16"/>
    <w:rsid w:val="007C42C8"/>
    <w:rsid w:val="007C4758"/>
    <w:rsid w:val="007C4BD8"/>
    <w:rsid w:val="007C58BE"/>
    <w:rsid w:val="007C61C5"/>
    <w:rsid w:val="007C7909"/>
    <w:rsid w:val="007D1863"/>
    <w:rsid w:val="007D2762"/>
    <w:rsid w:val="007D30DB"/>
    <w:rsid w:val="007D5A62"/>
    <w:rsid w:val="007D6369"/>
    <w:rsid w:val="007D7E98"/>
    <w:rsid w:val="007E0333"/>
    <w:rsid w:val="007E0854"/>
    <w:rsid w:val="007E1246"/>
    <w:rsid w:val="007E1471"/>
    <w:rsid w:val="007E1A49"/>
    <w:rsid w:val="007E2F06"/>
    <w:rsid w:val="007E2F8C"/>
    <w:rsid w:val="007E3596"/>
    <w:rsid w:val="007E3A91"/>
    <w:rsid w:val="007E3CCA"/>
    <w:rsid w:val="007E5FC1"/>
    <w:rsid w:val="007E7B75"/>
    <w:rsid w:val="007E7E9E"/>
    <w:rsid w:val="007F002F"/>
    <w:rsid w:val="007F0B77"/>
    <w:rsid w:val="007F0F60"/>
    <w:rsid w:val="007F1143"/>
    <w:rsid w:val="007F27D0"/>
    <w:rsid w:val="007F30A6"/>
    <w:rsid w:val="007F4378"/>
    <w:rsid w:val="007F4E1E"/>
    <w:rsid w:val="007F505E"/>
    <w:rsid w:val="007F52AC"/>
    <w:rsid w:val="007F7488"/>
    <w:rsid w:val="00800030"/>
    <w:rsid w:val="00800C14"/>
    <w:rsid w:val="00801AA0"/>
    <w:rsid w:val="008027D4"/>
    <w:rsid w:val="00803619"/>
    <w:rsid w:val="008042FA"/>
    <w:rsid w:val="00805B8C"/>
    <w:rsid w:val="0080662C"/>
    <w:rsid w:val="00806BC6"/>
    <w:rsid w:val="00810059"/>
    <w:rsid w:val="008101F9"/>
    <w:rsid w:val="0081026A"/>
    <w:rsid w:val="00810E8B"/>
    <w:rsid w:val="008110C4"/>
    <w:rsid w:val="00811A5D"/>
    <w:rsid w:val="00820BC3"/>
    <w:rsid w:val="0082169C"/>
    <w:rsid w:val="00821DAF"/>
    <w:rsid w:val="00822B8D"/>
    <w:rsid w:val="00822ED1"/>
    <w:rsid w:val="008246CA"/>
    <w:rsid w:val="008254E7"/>
    <w:rsid w:val="00827283"/>
    <w:rsid w:val="00827339"/>
    <w:rsid w:val="0082750F"/>
    <w:rsid w:val="008312FE"/>
    <w:rsid w:val="00832478"/>
    <w:rsid w:val="008341D0"/>
    <w:rsid w:val="00834B0A"/>
    <w:rsid w:val="00835177"/>
    <w:rsid w:val="008361CA"/>
    <w:rsid w:val="00837172"/>
    <w:rsid w:val="00841D23"/>
    <w:rsid w:val="00841E0A"/>
    <w:rsid w:val="00841F9E"/>
    <w:rsid w:val="008427A0"/>
    <w:rsid w:val="00842B48"/>
    <w:rsid w:val="00842C1E"/>
    <w:rsid w:val="00842D5A"/>
    <w:rsid w:val="0084347F"/>
    <w:rsid w:val="00843EA1"/>
    <w:rsid w:val="008469FB"/>
    <w:rsid w:val="008476DF"/>
    <w:rsid w:val="008511DE"/>
    <w:rsid w:val="00852298"/>
    <w:rsid w:val="00855D8F"/>
    <w:rsid w:val="0085640F"/>
    <w:rsid w:val="0085743B"/>
    <w:rsid w:val="00857AAC"/>
    <w:rsid w:val="00860D0A"/>
    <w:rsid w:val="00861101"/>
    <w:rsid w:val="00861BE8"/>
    <w:rsid w:val="00863698"/>
    <w:rsid w:val="00864608"/>
    <w:rsid w:val="0086547D"/>
    <w:rsid w:val="008654F3"/>
    <w:rsid w:val="00867239"/>
    <w:rsid w:val="00867258"/>
    <w:rsid w:val="008678D0"/>
    <w:rsid w:val="00870C91"/>
    <w:rsid w:val="00871E77"/>
    <w:rsid w:val="00873BBD"/>
    <w:rsid w:val="00873F3A"/>
    <w:rsid w:val="00874903"/>
    <w:rsid w:val="00874C18"/>
    <w:rsid w:val="00874CB2"/>
    <w:rsid w:val="008762B6"/>
    <w:rsid w:val="008767E8"/>
    <w:rsid w:val="008802DE"/>
    <w:rsid w:val="00882F78"/>
    <w:rsid w:val="008854D6"/>
    <w:rsid w:val="0088711F"/>
    <w:rsid w:val="00890199"/>
    <w:rsid w:val="00890325"/>
    <w:rsid w:val="00890DE4"/>
    <w:rsid w:val="00890E90"/>
    <w:rsid w:val="00890EF9"/>
    <w:rsid w:val="00891AF5"/>
    <w:rsid w:val="00892CFD"/>
    <w:rsid w:val="00892E8C"/>
    <w:rsid w:val="008955CE"/>
    <w:rsid w:val="00896357"/>
    <w:rsid w:val="00897730"/>
    <w:rsid w:val="008A149C"/>
    <w:rsid w:val="008A341C"/>
    <w:rsid w:val="008A5051"/>
    <w:rsid w:val="008A5F57"/>
    <w:rsid w:val="008A71E8"/>
    <w:rsid w:val="008A7A90"/>
    <w:rsid w:val="008B085B"/>
    <w:rsid w:val="008B0B10"/>
    <w:rsid w:val="008B0DC5"/>
    <w:rsid w:val="008B217D"/>
    <w:rsid w:val="008B3EA8"/>
    <w:rsid w:val="008B41B7"/>
    <w:rsid w:val="008B7BD2"/>
    <w:rsid w:val="008B7F49"/>
    <w:rsid w:val="008B7FAC"/>
    <w:rsid w:val="008C0099"/>
    <w:rsid w:val="008C1C48"/>
    <w:rsid w:val="008C1FE6"/>
    <w:rsid w:val="008C241D"/>
    <w:rsid w:val="008C2736"/>
    <w:rsid w:val="008C42D9"/>
    <w:rsid w:val="008C5292"/>
    <w:rsid w:val="008C63FC"/>
    <w:rsid w:val="008C6513"/>
    <w:rsid w:val="008C7A17"/>
    <w:rsid w:val="008C7E3B"/>
    <w:rsid w:val="008D0302"/>
    <w:rsid w:val="008D0805"/>
    <w:rsid w:val="008D080D"/>
    <w:rsid w:val="008D0811"/>
    <w:rsid w:val="008D21F1"/>
    <w:rsid w:val="008D39B6"/>
    <w:rsid w:val="008D617A"/>
    <w:rsid w:val="008D6719"/>
    <w:rsid w:val="008D763E"/>
    <w:rsid w:val="008D7CB4"/>
    <w:rsid w:val="008E0D64"/>
    <w:rsid w:val="008E1B89"/>
    <w:rsid w:val="008E2DA7"/>
    <w:rsid w:val="008E42C1"/>
    <w:rsid w:val="008E4A22"/>
    <w:rsid w:val="008E5A34"/>
    <w:rsid w:val="008E6DC1"/>
    <w:rsid w:val="008E6FC6"/>
    <w:rsid w:val="008E706E"/>
    <w:rsid w:val="008E7822"/>
    <w:rsid w:val="008E7905"/>
    <w:rsid w:val="008F0F39"/>
    <w:rsid w:val="008F266F"/>
    <w:rsid w:val="008F32E5"/>
    <w:rsid w:val="008F3C47"/>
    <w:rsid w:val="008F4D1F"/>
    <w:rsid w:val="008F5DEB"/>
    <w:rsid w:val="008F6035"/>
    <w:rsid w:val="008F6FD0"/>
    <w:rsid w:val="008F75FE"/>
    <w:rsid w:val="009002E5"/>
    <w:rsid w:val="00900409"/>
    <w:rsid w:val="00900D15"/>
    <w:rsid w:val="009012F1"/>
    <w:rsid w:val="0090172A"/>
    <w:rsid w:val="00903D87"/>
    <w:rsid w:val="00903DC5"/>
    <w:rsid w:val="0090450F"/>
    <w:rsid w:val="00904EF5"/>
    <w:rsid w:val="00905CB6"/>
    <w:rsid w:val="009061EB"/>
    <w:rsid w:val="0090707D"/>
    <w:rsid w:val="0090729B"/>
    <w:rsid w:val="00907A7D"/>
    <w:rsid w:val="00907F9D"/>
    <w:rsid w:val="00910A55"/>
    <w:rsid w:val="009112DC"/>
    <w:rsid w:val="009128EE"/>
    <w:rsid w:val="00912F8F"/>
    <w:rsid w:val="009133AB"/>
    <w:rsid w:val="00913A96"/>
    <w:rsid w:val="00914327"/>
    <w:rsid w:val="009147E1"/>
    <w:rsid w:val="00914C03"/>
    <w:rsid w:val="00916379"/>
    <w:rsid w:val="00916ACA"/>
    <w:rsid w:val="0091778E"/>
    <w:rsid w:val="00917C39"/>
    <w:rsid w:val="00920475"/>
    <w:rsid w:val="0092258E"/>
    <w:rsid w:val="00924CB1"/>
    <w:rsid w:val="009262EB"/>
    <w:rsid w:val="009267D5"/>
    <w:rsid w:val="009278D4"/>
    <w:rsid w:val="0093076A"/>
    <w:rsid w:val="0093388D"/>
    <w:rsid w:val="00935447"/>
    <w:rsid w:val="009354D5"/>
    <w:rsid w:val="00935976"/>
    <w:rsid w:val="00935CD7"/>
    <w:rsid w:val="009377E4"/>
    <w:rsid w:val="00937CF8"/>
    <w:rsid w:val="009402CF"/>
    <w:rsid w:val="00941078"/>
    <w:rsid w:val="0094281C"/>
    <w:rsid w:val="009458BF"/>
    <w:rsid w:val="00945F00"/>
    <w:rsid w:val="00946332"/>
    <w:rsid w:val="009503C0"/>
    <w:rsid w:val="009517F2"/>
    <w:rsid w:val="00953714"/>
    <w:rsid w:val="009538D2"/>
    <w:rsid w:val="009557E8"/>
    <w:rsid w:val="0095585B"/>
    <w:rsid w:val="009569EA"/>
    <w:rsid w:val="00957D00"/>
    <w:rsid w:val="009601F0"/>
    <w:rsid w:val="0096033F"/>
    <w:rsid w:val="009604CE"/>
    <w:rsid w:val="00961047"/>
    <w:rsid w:val="0096204C"/>
    <w:rsid w:val="00962487"/>
    <w:rsid w:val="009627BA"/>
    <w:rsid w:val="009635BB"/>
    <w:rsid w:val="00963E9B"/>
    <w:rsid w:val="00963FFA"/>
    <w:rsid w:val="00965652"/>
    <w:rsid w:val="0096593D"/>
    <w:rsid w:val="009668A7"/>
    <w:rsid w:val="00966B6B"/>
    <w:rsid w:val="009673B5"/>
    <w:rsid w:val="009702D3"/>
    <w:rsid w:val="00972444"/>
    <w:rsid w:val="009736F9"/>
    <w:rsid w:val="0097483C"/>
    <w:rsid w:val="009752DA"/>
    <w:rsid w:val="00975B8A"/>
    <w:rsid w:val="00980104"/>
    <w:rsid w:val="009801A1"/>
    <w:rsid w:val="00980AEB"/>
    <w:rsid w:val="00980D2A"/>
    <w:rsid w:val="00980F69"/>
    <w:rsid w:val="00981F00"/>
    <w:rsid w:val="00981FDB"/>
    <w:rsid w:val="0098265E"/>
    <w:rsid w:val="00982FA4"/>
    <w:rsid w:val="009835F2"/>
    <w:rsid w:val="00983E42"/>
    <w:rsid w:val="00983E45"/>
    <w:rsid w:val="009860AF"/>
    <w:rsid w:val="00986615"/>
    <w:rsid w:val="00987274"/>
    <w:rsid w:val="0099022B"/>
    <w:rsid w:val="00992770"/>
    <w:rsid w:val="00995FB2"/>
    <w:rsid w:val="0099791C"/>
    <w:rsid w:val="009A1C11"/>
    <w:rsid w:val="009A3677"/>
    <w:rsid w:val="009A3A01"/>
    <w:rsid w:val="009A506C"/>
    <w:rsid w:val="009A5DF1"/>
    <w:rsid w:val="009A631E"/>
    <w:rsid w:val="009A64CD"/>
    <w:rsid w:val="009A6FBE"/>
    <w:rsid w:val="009A75C4"/>
    <w:rsid w:val="009B0E3A"/>
    <w:rsid w:val="009B1478"/>
    <w:rsid w:val="009B2047"/>
    <w:rsid w:val="009B2B41"/>
    <w:rsid w:val="009B31AF"/>
    <w:rsid w:val="009B6C68"/>
    <w:rsid w:val="009B769B"/>
    <w:rsid w:val="009C04CF"/>
    <w:rsid w:val="009C1B44"/>
    <w:rsid w:val="009C4209"/>
    <w:rsid w:val="009C4781"/>
    <w:rsid w:val="009C7EE4"/>
    <w:rsid w:val="009C7EF9"/>
    <w:rsid w:val="009D42F0"/>
    <w:rsid w:val="009D51D7"/>
    <w:rsid w:val="009D646C"/>
    <w:rsid w:val="009D646D"/>
    <w:rsid w:val="009D64E2"/>
    <w:rsid w:val="009D6CA0"/>
    <w:rsid w:val="009D7F4C"/>
    <w:rsid w:val="009E0C76"/>
    <w:rsid w:val="009E0D17"/>
    <w:rsid w:val="009E1CBF"/>
    <w:rsid w:val="009E1EA2"/>
    <w:rsid w:val="009E22D2"/>
    <w:rsid w:val="009E3351"/>
    <w:rsid w:val="009E3F88"/>
    <w:rsid w:val="009E3FC6"/>
    <w:rsid w:val="009E5907"/>
    <w:rsid w:val="009E5A06"/>
    <w:rsid w:val="009E6C65"/>
    <w:rsid w:val="009E7088"/>
    <w:rsid w:val="009E76E8"/>
    <w:rsid w:val="009E7718"/>
    <w:rsid w:val="009E7FA8"/>
    <w:rsid w:val="009F0DD6"/>
    <w:rsid w:val="009F1460"/>
    <w:rsid w:val="009F14D0"/>
    <w:rsid w:val="009F193C"/>
    <w:rsid w:val="009F26A9"/>
    <w:rsid w:val="009F3127"/>
    <w:rsid w:val="009F3A71"/>
    <w:rsid w:val="009F54A5"/>
    <w:rsid w:val="009F663B"/>
    <w:rsid w:val="009F6A70"/>
    <w:rsid w:val="00A01E5A"/>
    <w:rsid w:val="00A03733"/>
    <w:rsid w:val="00A0418F"/>
    <w:rsid w:val="00A07110"/>
    <w:rsid w:val="00A106F2"/>
    <w:rsid w:val="00A107D2"/>
    <w:rsid w:val="00A117D7"/>
    <w:rsid w:val="00A122FE"/>
    <w:rsid w:val="00A124FE"/>
    <w:rsid w:val="00A13E7D"/>
    <w:rsid w:val="00A14469"/>
    <w:rsid w:val="00A14BEA"/>
    <w:rsid w:val="00A16546"/>
    <w:rsid w:val="00A168F0"/>
    <w:rsid w:val="00A16F70"/>
    <w:rsid w:val="00A17B3A"/>
    <w:rsid w:val="00A212BD"/>
    <w:rsid w:val="00A21A47"/>
    <w:rsid w:val="00A21AB7"/>
    <w:rsid w:val="00A22546"/>
    <w:rsid w:val="00A2275E"/>
    <w:rsid w:val="00A228E0"/>
    <w:rsid w:val="00A24990"/>
    <w:rsid w:val="00A2535A"/>
    <w:rsid w:val="00A26002"/>
    <w:rsid w:val="00A30DC4"/>
    <w:rsid w:val="00A3113A"/>
    <w:rsid w:val="00A316BC"/>
    <w:rsid w:val="00A31C01"/>
    <w:rsid w:val="00A31D5B"/>
    <w:rsid w:val="00A33C10"/>
    <w:rsid w:val="00A33E72"/>
    <w:rsid w:val="00A34385"/>
    <w:rsid w:val="00A35113"/>
    <w:rsid w:val="00A351CD"/>
    <w:rsid w:val="00A35778"/>
    <w:rsid w:val="00A36F3D"/>
    <w:rsid w:val="00A374B5"/>
    <w:rsid w:val="00A3759A"/>
    <w:rsid w:val="00A37732"/>
    <w:rsid w:val="00A37C74"/>
    <w:rsid w:val="00A37F7C"/>
    <w:rsid w:val="00A40348"/>
    <w:rsid w:val="00A41077"/>
    <w:rsid w:val="00A424B0"/>
    <w:rsid w:val="00A43CBC"/>
    <w:rsid w:val="00A44141"/>
    <w:rsid w:val="00A44B0A"/>
    <w:rsid w:val="00A4719B"/>
    <w:rsid w:val="00A51856"/>
    <w:rsid w:val="00A5282E"/>
    <w:rsid w:val="00A52F89"/>
    <w:rsid w:val="00A53BAE"/>
    <w:rsid w:val="00A5401C"/>
    <w:rsid w:val="00A54599"/>
    <w:rsid w:val="00A5598E"/>
    <w:rsid w:val="00A56C7D"/>
    <w:rsid w:val="00A57987"/>
    <w:rsid w:val="00A57F01"/>
    <w:rsid w:val="00A610DF"/>
    <w:rsid w:val="00A616CE"/>
    <w:rsid w:val="00A61D3C"/>
    <w:rsid w:val="00A62C53"/>
    <w:rsid w:val="00A63B32"/>
    <w:rsid w:val="00A655AC"/>
    <w:rsid w:val="00A65D03"/>
    <w:rsid w:val="00A665CC"/>
    <w:rsid w:val="00A667C2"/>
    <w:rsid w:val="00A670F5"/>
    <w:rsid w:val="00A67ECB"/>
    <w:rsid w:val="00A70BB2"/>
    <w:rsid w:val="00A70E64"/>
    <w:rsid w:val="00A71B1D"/>
    <w:rsid w:val="00A71CEF"/>
    <w:rsid w:val="00A725A5"/>
    <w:rsid w:val="00A73F7F"/>
    <w:rsid w:val="00A74D1D"/>
    <w:rsid w:val="00A75206"/>
    <w:rsid w:val="00A7584E"/>
    <w:rsid w:val="00A75DAA"/>
    <w:rsid w:val="00A769BD"/>
    <w:rsid w:val="00A76BFA"/>
    <w:rsid w:val="00A77FBC"/>
    <w:rsid w:val="00A80FAE"/>
    <w:rsid w:val="00A81CD8"/>
    <w:rsid w:val="00A82BC8"/>
    <w:rsid w:val="00A83BCC"/>
    <w:rsid w:val="00A83E6E"/>
    <w:rsid w:val="00A87E90"/>
    <w:rsid w:val="00A90348"/>
    <w:rsid w:val="00A91FA1"/>
    <w:rsid w:val="00A9209A"/>
    <w:rsid w:val="00A925A5"/>
    <w:rsid w:val="00A9412E"/>
    <w:rsid w:val="00A94FCF"/>
    <w:rsid w:val="00A95016"/>
    <w:rsid w:val="00A9641B"/>
    <w:rsid w:val="00A9743B"/>
    <w:rsid w:val="00AA0808"/>
    <w:rsid w:val="00AA1E2C"/>
    <w:rsid w:val="00AA1E96"/>
    <w:rsid w:val="00AA5CD5"/>
    <w:rsid w:val="00AA5D7A"/>
    <w:rsid w:val="00AA5DC0"/>
    <w:rsid w:val="00AA6AA7"/>
    <w:rsid w:val="00AA71BD"/>
    <w:rsid w:val="00AB0554"/>
    <w:rsid w:val="00AB11C2"/>
    <w:rsid w:val="00AB2C85"/>
    <w:rsid w:val="00AB2FFB"/>
    <w:rsid w:val="00AB3905"/>
    <w:rsid w:val="00AB411C"/>
    <w:rsid w:val="00AB4946"/>
    <w:rsid w:val="00AB4F6C"/>
    <w:rsid w:val="00AB54A3"/>
    <w:rsid w:val="00AB7487"/>
    <w:rsid w:val="00AC2B39"/>
    <w:rsid w:val="00AC3B8D"/>
    <w:rsid w:val="00AC3C31"/>
    <w:rsid w:val="00AC6615"/>
    <w:rsid w:val="00AC67F3"/>
    <w:rsid w:val="00AC73FF"/>
    <w:rsid w:val="00AC7C96"/>
    <w:rsid w:val="00AD462C"/>
    <w:rsid w:val="00AD47E1"/>
    <w:rsid w:val="00AD656F"/>
    <w:rsid w:val="00AE0203"/>
    <w:rsid w:val="00AE03DC"/>
    <w:rsid w:val="00AE0A1A"/>
    <w:rsid w:val="00AE0DAC"/>
    <w:rsid w:val="00AE1065"/>
    <w:rsid w:val="00AE1C7F"/>
    <w:rsid w:val="00AE3098"/>
    <w:rsid w:val="00AE4798"/>
    <w:rsid w:val="00AE5AFA"/>
    <w:rsid w:val="00AE6B78"/>
    <w:rsid w:val="00AE75FD"/>
    <w:rsid w:val="00AF073B"/>
    <w:rsid w:val="00AF0E07"/>
    <w:rsid w:val="00AF12DB"/>
    <w:rsid w:val="00AF1AE9"/>
    <w:rsid w:val="00AF22FE"/>
    <w:rsid w:val="00AF26DF"/>
    <w:rsid w:val="00AF3A68"/>
    <w:rsid w:val="00AF5F41"/>
    <w:rsid w:val="00B0044C"/>
    <w:rsid w:val="00B0277C"/>
    <w:rsid w:val="00B0279B"/>
    <w:rsid w:val="00B03523"/>
    <w:rsid w:val="00B03A8A"/>
    <w:rsid w:val="00B043F5"/>
    <w:rsid w:val="00B06AFB"/>
    <w:rsid w:val="00B06DC8"/>
    <w:rsid w:val="00B07CB8"/>
    <w:rsid w:val="00B110F4"/>
    <w:rsid w:val="00B112B1"/>
    <w:rsid w:val="00B114BB"/>
    <w:rsid w:val="00B11635"/>
    <w:rsid w:val="00B11902"/>
    <w:rsid w:val="00B12CC8"/>
    <w:rsid w:val="00B12DF7"/>
    <w:rsid w:val="00B13300"/>
    <w:rsid w:val="00B13C08"/>
    <w:rsid w:val="00B14052"/>
    <w:rsid w:val="00B14A4B"/>
    <w:rsid w:val="00B16430"/>
    <w:rsid w:val="00B16436"/>
    <w:rsid w:val="00B17BBD"/>
    <w:rsid w:val="00B23854"/>
    <w:rsid w:val="00B23A78"/>
    <w:rsid w:val="00B26C95"/>
    <w:rsid w:val="00B26E43"/>
    <w:rsid w:val="00B27459"/>
    <w:rsid w:val="00B30486"/>
    <w:rsid w:val="00B30EF2"/>
    <w:rsid w:val="00B33896"/>
    <w:rsid w:val="00B33F94"/>
    <w:rsid w:val="00B344B9"/>
    <w:rsid w:val="00B34743"/>
    <w:rsid w:val="00B35976"/>
    <w:rsid w:val="00B366E9"/>
    <w:rsid w:val="00B370F1"/>
    <w:rsid w:val="00B374CB"/>
    <w:rsid w:val="00B375B2"/>
    <w:rsid w:val="00B40635"/>
    <w:rsid w:val="00B419AF"/>
    <w:rsid w:val="00B41A25"/>
    <w:rsid w:val="00B431D1"/>
    <w:rsid w:val="00B45F29"/>
    <w:rsid w:val="00B46370"/>
    <w:rsid w:val="00B4659C"/>
    <w:rsid w:val="00B46D85"/>
    <w:rsid w:val="00B471DD"/>
    <w:rsid w:val="00B476AE"/>
    <w:rsid w:val="00B47CAA"/>
    <w:rsid w:val="00B502FA"/>
    <w:rsid w:val="00B51251"/>
    <w:rsid w:val="00B517DC"/>
    <w:rsid w:val="00B52B75"/>
    <w:rsid w:val="00B53AFA"/>
    <w:rsid w:val="00B57222"/>
    <w:rsid w:val="00B57B78"/>
    <w:rsid w:val="00B6192B"/>
    <w:rsid w:val="00B61CFE"/>
    <w:rsid w:val="00B6230F"/>
    <w:rsid w:val="00B62560"/>
    <w:rsid w:val="00B62AD0"/>
    <w:rsid w:val="00B62B92"/>
    <w:rsid w:val="00B64388"/>
    <w:rsid w:val="00B646C3"/>
    <w:rsid w:val="00B65E11"/>
    <w:rsid w:val="00B70D7A"/>
    <w:rsid w:val="00B72E6F"/>
    <w:rsid w:val="00B73ADE"/>
    <w:rsid w:val="00B73D7D"/>
    <w:rsid w:val="00B7445C"/>
    <w:rsid w:val="00B74D30"/>
    <w:rsid w:val="00B74E51"/>
    <w:rsid w:val="00B75D40"/>
    <w:rsid w:val="00B75EE2"/>
    <w:rsid w:val="00B765B8"/>
    <w:rsid w:val="00B76DA0"/>
    <w:rsid w:val="00B77C36"/>
    <w:rsid w:val="00B80D80"/>
    <w:rsid w:val="00B810A5"/>
    <w:rsid w:val="00B818C3"/>
    <w:rsid w:val="00B83666"/>
    <w:rsid w:val="00B853D3"/>
    <w:rsid w:val="00B86185"/>
    <w:rsid w:val="00B862E4"/>
    <w:rsid w:val="00B86954"/>
    <w:rsid w:val="00B90881"/>
    <w:rsid w:val="00B90F8B"/>
    <w:rsid w:val="00B91347"/>
    <w:rsid w:val="00B91A5D"/>
    <w:rsid w:val="00B92F2F"/>
    <w:rsid w:val="00B93820"/>
    <w:rsid w:val="00B95E91"/>
    <w:rsid w:val="00B967DF"/>
    <w:rsid w:val="00BA0162"/>
    <w:rsid w:val="00BA3318"/>
    <w:rsid w:val="00BA3823"/>
    <w:rsid w:val="00BA3843"/>
    <w:rsid w:val="00BA3A9B"/>
    <w:rsid w:val="00BA580A"/>
    <w:rsid w:val="00BA5D8C"/>
    <w:rsid w:val="00BA61B2"/>
    <w:rsid w:val="00BA7E70"/>
    <w:rsid w:val="00BB065E"/>
    <w:rsid w:val="00BB0F45"/>
    <w:rsid w:val="00BB18F2"/>
    <w:rsid w:val="00BB1A5C"/>
    <w:rsid w:val="00BB3115"/>
    <w:rsid w:val="00BB500F"/>
    <w:rsid w:val="00BB5E38"/>
    <w:rsid w:val="00BB60F4"/>
    <w:rsid w:val="00BB71EA"/>
    <w:rsid w:val="00BC1B39"/>
    <w:rsid w:val="00BC32A3"/>
    <w:rsid w:val="00BC39CD"/>
    <w:rsid w:val="00BC3C73"/>
    <w:rsid w:val="00BC4342"/>
    <w:rsid w:val="00BC485F"/>
    <w:rsid w:val="00BC53C0"/>
    <w:rsid w:val="00BC5823"/>
    <w:rsid w:val="00BC5C69"/>
    <w:rsid w:val="00BC5E04"/>
    <w:rsid w:val="00BC6228"/>
    <w:rsid w:val="00BD3715"/>
    <w:rsid w:val="00BD4000"/>
    <w:rsid w:val="00BD5604"/>
    <w:rsid w:val="00BD5C1C"/>
    <w:rsid w:val="00BD75FF"/>
    <w:rsid w:val="00BE089C"/>
    <w:rsid w:val="00BE2986"/>
    <w:rsid w:val="00BE2C34"/>
    <w:rsid w:val="00BE3BFD"/>
    <w:rsid w:val="00BE42E7"/>
    <w:rsid w:val="00BE689B"/>
    <w:rsid w:val="00BE6E6D"/>
    <w:rsid w:val="00BF2094"/>
    <w:rsid w:val="00BF2DCB"/>
    <w:rsid w:val="00BF2EBE"/>
    <w:rsid w:val="00BF3144"/>
    <w:rsid w:val="00BF5E5A"/>
    <w:rsid w:val="00BF648D"/>
    <w:rsid w:val="00BF64F1"/>
    <w:rsid w:val="00C03690"/>
    <w:rsid w:val="00C03940"/>
    <w:rsid w:val="00C03AB3"/>
    <w:rsid w:val="00C04225"/>
    <w:rsid w:val="00C049D9"/>
    <w:rsid w:val="00C04F7E"/>
    <w:rsid w:val="00C07CAF"/>
    <w:rsid w:val="00C11711"/>
    <w:rsid w:val="00C11908"/>
    <w:rsid w:val="00C1224D"/>
    <w:rsid w:val="00C1255C"/>
    <w:rsid w:val="00C136B9"/>
    <w:rsid w:val="00C144AF"/>
    <w:rsid w:val="00C174B6"/>
    <w:rsid w:val="00C2002B"/>
    <w:rsid w:val="00C20BE9"/>
    <w:rsid w:val="00C2146B"/>
    <w:rsid w:val="00C21487"/>
    <w:rsid w:val="00C239E1"/>
    <w:rsid w:val="00C2419F"/>
    <w:rsid w:val="00C278BD"/>
    <w:rsid w:val="00C27CC7"/>
    <w:rsid w:val="00C3192D"/>
    <w:rsid w:val="00C3193B"/>
    <w:rsid w:val="00C32346"/>
    <w:rsid w:val="00C334A8"/>
    <w:rsid w:val="00C344C4"/>
    <w:rsid w:val="00C36539"/>
    <w:rsid w:val="00C36C22"/>
    <w:rsid w:val="00C36CDD"/>
    <w:rsid w:val="00C36D7E"/>
    <w:rsid w:val="00C36D93"/>
    <w:rsid w:val="00C375DC"/>
    <w:rsid w:val="00C4012B"/>
    <w:rsid w:val="00C40BA5"/>
    <w:rsid w:val="00C40C89"/>
    <w:rsid w:val="00C412E3"/>
    <w:rsid w:val="00C41A7C"/>
    <w:rsid w:val="00C43322"/>
    <w:rsid w:val="00C4494D"/>
    <w:rsid w:val="00C44DA3"/>
    <w:rsid w:val="00C45581"/>
    <w:rsid w:val="00C4612A"/>
    <w:rsid w:val="00C466E4"/>
    <w:rsid w:val="00C47555"/>
    <w:rsid w:val="00C477BC"/>
    <w:rsid w:val="00C47A4F"/>
    <w:rsid w:val="00C47D65"/>
    <w:rsid w:val="00C50920"/>
    <w:rsid w:val="00C512F4"/>
    <w:rsid w:val="00C525C4"/>
    <w:rsid w:val="00C528DF"/>
    <w:rsid w:val="00C528E2"/>
    <w:rsid w:val="00C53AE1"/>
    <w:rsid w:val="00C53E17"/>
    <w:rsid w:val="00C54655"/>
    <w:rsid w:val="00C54F3A"/>
    <w:rsid w:val="00C56BE7"/>
    <w:rsid w:val="00C57058"/>
    <w:rsid w:val="00C57F3F"/>
    <w:rsid w:val="00C61574"/>
    <w:rsid w:val="00C61F61"/>
    <w:rsid w:val="00C624D0"/>
    <w:rsid w:val="00C6326C"/>
    <w:rsid w:val="00C64669"/>
    <w:rsid w:val="00C71671"/>
    <w:rsid w:val="00C71B24"/>
    <w:rsid w:val="00C71F50"/>
    <w:rsid w:val="00C75F0B"/>
    <w:rsid w:val="00C76A6A"/>
    <w:rsid w:val="00C77280"/>
    <w:rsid w:val="00C77DE6"/>
    <w:rsid w:val="00C80500"/>
    <w:rsid w:val="00C8065A"/>
    <w:rsid w:val="00C8098A"/>
    <w:rsid w:val="00C811DA"/>
    <w:rsid w:val="00C82692"/>
    <w:rsid w:val="00C82E48"/>
    <w:rsid w:val="00C82E51"/>
    <w:rsid w:val="00C85BFB"/>
    <w:rsid w:val="00C85C31"/>
    <w:rsid w:val="00C85C39"/>
    <w:rsid w:val="00C87447"/>
    <w:rsid w:val="00C87EFA"/>
    <w:rsid w:val="00C906BB"/>
    <w:rsid w:val="00C915CA"/>
    <w:rsid w:val="00C91C5F"/>
    <w:rsid w:val="00C922B7"/>
    <w:rsid w:val="00C92A22"/>
    <w:rsid w:val="00C93929"/>
    <w:rsid w:val="00C93B47"/>
    <w:rsid w:val="00C941C7"/>
    <w:rsid w:val="00C94A90"/>
    <w:rsid w:val="00C95346"/>
    <w:rsid w:val="00C95AC2"/>
    <w:rsid w:val="00C95F82"/>
    <w:rsid w:val="00C96625"/>
    <w:rsid w:val="00C96783"/>
    <w:rsid w:val="00CA0E0B"/>
    <w:rsid w:val="00CA12E9"/>
    <w:rsid w:val="00CA1B75"/>
    <w:rsid w:val="00CA4E6F"/>
    <w:rsid w:val="00CA5A94"/>
    <w:rsid w:val="00CA5C04"/>
    <w:rsid w:val="00CA6111"/>
    <w:rsid w:val="00CA77F6"/>
    <w:rsid w:val="00CA7F95"/>
    <w:rsid w:val="00CB0EF8"/>
    <w:rsid w:val="00CB1E9D"/>
    <w:rsid w:val="00CB26BD"/>
    <w:rsid w:val="00CB2956"/>
    <w:rsid w:val="00CB324B"/>
    <w:rsid w:val="00CB4AE5"/>
    <w:rsid w:val="00CB6AE2"/>
    <w:rsid w:val="00CB71B1"/>
    <w:rsid w:val="00CC0336"/>
    <w:rsid w:val="00CC03DE"/>
    <w:rsid w:val="00CC06A5"/>
    <w:rsid w:val="00CC0FB2"/>
    <w:rsid w:val="00CC2161"/>
    <w:rsid w:val="00CC257F"/>
    <w:rsid w:val="00CC2597"/>
    <w:rsid w:val="00CC25AF"/>
    <w:rsid w:val="00CC261D"/>
    <w:rsid w:val="00CC2FCF"/>
    <w:rsid w:val="00CC3E17"/>
    <w:rsid w:val="00CC5753"/>
    <w:rsid w:val="00CC6B3A"/>
    <w:rsid w:val="00CC6C35"/>
    <w:rsid w:val="00CC7D11"/>
    <w:rsid w:val="00CD2AA5"/>
    <w:rsid w:val="00CD34E4"/>
    <w:rsid w:val="00CD4224"/>
    <w:rsid w:val="00CD5858"/>
    <w:rsid w:val="00CD5A2A"/>
    <w:rsid w:val="00CD7568"/>
    <w:rsid w:val="00CE034B"/>
    <w:rsid w:val="00CE49BD"/>
    <w:rsid w:val="00CE4D25"/>
    <w:rsid w:val="00CE512B"/>
    <w:rsid w:val="00CE571B"/>
    <w:rsid w:val="00CE5D0E"/>
    <w:rsid w:val="00CF0053"/>
    <w:rsid w:val="00CF049B"/>
    <w:rsid w:val="00CF2396"/>
    <w:rsid w:val="00CF247C"/>
    <w:rsid w:val="00CF3195"/>
    <w:rsid w:val="00CF45A2"/>
    <w:rsid w:val="00CF5F4B"/>
    <w:rsid w:val="00CF61E3"/>
    <w:rsid w:val="00CF6CBD"/>
    <w:rsid w:val="00D00A8D"/>
    <w:rsid w:val="00D01CA6"/>
    <w:rsid w:val="00D03047"/>
    <w:rsid w:val="00D031B5"/>
    <w:rsid w:val="00D04710"/>
    <w:rsid w:val="00D04CDA"/>
    <w:rsid w:val="00D05351"/>
    <w:rsid w:val="00D065EC"/>
    <w:rsid w:val="00D1129F"/>
    <w:rsid w:val="00D11B03"/>
    <w:rsid w:val="00D1255A"/>
    <w:rsid w:val="00D13130"/>
    <w:rsid w:val="00D155D5"/>
    <w:rsid w:val="00D158D9"/>
    <w:rsid w:val="00D173DD"/>
    <w:rsid w:val="00D22BB0"/>
    <w:rsid w:val="00D22F33"/>
    <w:rsid w:val="00D234DF"/>
    <w:rsid w:val="00D23769"/>
    <w:rsid w:val="00D23C5C"/>
    <w:rsid w:val="00D23D8D"/>
    <w:rsid w:val="00D274EB"/>
    <w:rsid w:val="00D31C54"/>
    <w:rsid w:val="00D32A43"/>
    <w:rsid w:val="00D32AE3"/>
    <w:rsid w:val="00D3524E"/>
    <w:rsid w:val="00D3641D"/>
    <w:rsid w:val="00D364EA"/>
    <w:rsid w:val="00D369F9"/>
    <w:rsid w:val="00D36BE9"/>
    <w:rsid w:val="00D36D6F"/>
    <w:rsid w:val="00D40244"/>
    <w:rsid w:val="00D4049C"/>
    <w:rsid w:val="00D42E94"/>
    <w:rsid w:val="00D42EE6"/>
    <w:rsid w:val="00D43063"/>
    <w:rsid w:val="00D43576"/>
    <w:rsid w:val="00D454A2"/>
    <w:rsid w:val="00D455B3"/>
    <w:rsid w:val="00D45E15"/>
    <w:rsid w:val="00D47178"/>
    <w:rsid w:val="00D503C3"/>
    <w:rsid w:val="00D514F4"/>
    <w:rsid w:val="00D526BB"/>
    <w:rsid w:val="00D54708"/>
    <w:rsid w:val="00D54EEF"/>
    <w:rsid w:val="00D55117"/>
    <w:rsid w:val="00D56793"/>
    <w:rsid w:val="00D60A6F"/>
    <w:rsid w:val="00D60BC8"/>
    <w:rsid w:val="00D60D9A"/>
    <w:rsid w:val="00D61284"/>
    <w:rsid w:val="00D62906"/>
    <w:rsid w:val="00D6538D"/>
    <w:rsid w:val="00D65D0C"/>
    <w:rsid w:val="00D65DC3"/>
    <w:rsid w:val="00D666FD"/>
    <w:rsid w:val="00D676C9"/>
    <w:rsid w:val="00D7084D"/>
    <w:rsid w:val="00D719C9"/>
    <w:rsid w:val="00D7223A"/>
    <w:rsid w:val="00D74416"/>
    <w:rsid w:val="00D74E78"/>
    <w:rsid w:val="00D7570F"/>
    <w:rsid w:val="00D76358"/>
    <w:rsid w:val="00D774C1"/>
    <w:rsid w:val="00D77A17"/>
    <w:rsid w:val="00D806B4"/>
    <w:rsid w:val="00D8308A"/>
    <w:rsid w:val="00D84494"/>
    <w:rsid w:val="00D84518"/>
    <w:rsid w:val="00D84591"/>
    <w:rsid w:val="00D85358"/>
    <w:rsid w:val="00D8545A"/>
    <w:rsid w:val="00D854BD"/>
    <w:rsid w:val="00D857F1"/>
    <w:rsid w:val="00D85870"/>
    <w:rsid w:val="00D86519"/>
    <w:rsid w:val="00D86DD8"/>
    <w:rsid w:val="00D87190"/>
    <w:rsid w:val="00D87F19"/>
    <w:rsid w:val="00D92E0D"/>
    <w:rsid w:val="00D9303B"/>
    <w:rsid w:val="00D9399C"/>
    <w:rsid w:val="00D93DE7"/>
    <w:rsid w:val="00D93FFD"/>
    <w:rsid w:val="00D95D3D"/>
    <w:rsid w:val="00D9630E"/>
    <w:rsid w:val="00D9685E"/>
    <w:rsid w:val="00D9717A"/>
    <w:rsid w:val="00D976E4"/>
    <w:rsid w:val="00DA0BA8"/>
    <w:rsid w:val="00DA2D54"/>
    <w:rsid w:val="00DA315B"/>
    <w:rsid w:val="00DA48E4"/>
    <w:rsid w:val="00DA5C86"/>
    <w:rsid w:val="00DA60FB"/>
    <w:rsid w:val="00DA6820"/>
    <w:rsid w:val="00DB055E"/>
    <w:rsid w:val="00DB09DB"/>
    <w:rsid w:val="00DB0B97"/>
    <w:rsid w:val="00DB19A9"/>
    <w:rsid w:val="00DB26D2"/>
    <w:rsid w:val="00DB2838"/>
    <w:rsid w:val="00DB2CF0"/>
    <w:rsid w:val="00DB3A6C"/>
    <w:rsid w:val="00DB3B86"/>
    <w:rsid w:val="00DB44BF"/>
    <w:rsid w:val="00DB5562"/>
    <w:rsid w:val="00DB592A"/>
    <w:rsid w:val="00DB5F32"/>
    <w:rsid w:val="00DC2EC9"/>
    <w:rsid w:val="00DC362E"/>
    <w:rsid w:val="00DC381E"/>
    <w:rsid w:val="00DC4073"/>
    <w:rsid w:val="00DC63EB"/>
    <w:rsid w:val="00DC6F17"/>
    <w:rsid w:val="00DC720D"/>
    <w:rsid w:val="00DD161A"/>
    <w:rsid w:val="00DD1E66"/>
    <w:rsid w:val="00DD2567"/>
    <w:rsid w:val="00DD57B4"/>
    <w:rsid w:val="00DD67A0"/>
    <w:rsid w:val="00DD6D5F"/>
    <w:rsid w:val="00DD73E3"/>
    <w:rsid w:val="00DD7853"/>
    <w:rsid w:val="00DE0474"/>
    <w:rsid w:val="00DE0B4C"/>
    <w:rsid w:val="00DE0D67"/>
    <w:rsid w:val="00DE1515"/>
    <w:rsid w:val="00DE180F"/>
    <w:rsid w:val="00DE1BA8"/>
    <w:rsid w:val="00DE2594"/>
    <w:rsid w:val="00DE4CAC"/>
    <w:rsid w:val="00DE4CE9"/>
    <w:rsid w:val="00DE5768"/>
    <w:rsid w:val="00DE5EE7"/>
    <w:rsid w:val="00DE5FFA"/>
    <w:rsid w:val="00DE676F"/>
    <w:rsid w:val="00DE7137"/>
    <w:rsid w:val="00DE7ABF"/>
    <w:rsid w:val="00DF10D7"/>
    <w:rsid w:val="00DF2E6E"/>
    <w:rsid w:val="00DF42FE"/>
    <w:rsid w:val="00DF5670"/>
    <w:rsid w:val="00DF58E1"/>
    <w:rsid w:val="00DF59E8"/>
    <w:rsid w:val="00DF5BFB"/>
    <w:rsid w:val="00DF6181"/>
    <w:rsid w:val="00DF794B"/>
    <w:rsid w:val="00E01C21"/>
    <w:rsid w:val="00E02508"/>
    <w:rsid w:val="00E02B7B"/>
    <w:rsid w:val="00E0367A"/>
    <w:rsid w:val="00E0440C"/>
    <w:rsid w:val="00E049F2"/>
    <w:rsid w:val="00E054A2"/>
    <w:rsid w:val="00E05B55"/>
    <w:rsid w:val="00E063CB"/>
    <w:rsid w:val="00E06DCA"/>
    <w:rsid w:val="00E07114"/>
    <w:rsid w:val="00E07463"/>
    <w:rsid w:val="00E100A5"/>
    <w:rsid w:val="00E113C5"/>
    <w:rsid w:val="00E14269"/>
    <w:rsid w:val="00E149DF"/>
    <w:rsid w:val="00E168F2"/>
    <w:rsid w:val="00E1698C"/>
    <w:rsid w:val="00E17483"/>
    <w:rsid w:val="00E20844"/>
    <w:rsid w:val="00E21060"/>
    <w:rsid w:val="00E21304"/>
    <w:rsid w:val="00E22280"/>
    <w:rsid w:val="00E2451A"/>
    <w:rsid w:val="00E250D3"/>
    <w:rsid w:val="00E2524E"/>
    <w:rsid w:val="00E25479"/>
    <w:rsid w:val="00E25C44"/>
    <w:rsid w:val="00E34013"/>
    <w:rsid w:val="00E342D1"/>
    <w:rsid w:val="00E34C70"/>
    <w:rsid w:val="00E36359"/>
    <w:rsid w:val="00E3732C"/>
    <w:rsid w:val="00E37B1C"/>
    <w:rsid w:val="00E447FE"/>
    <w:rsid w:val="00E46C57"/>
    <w:rsid w:val="00E46D28"/>
    <w:rsid w:val="00E47440"/>
    <w:rsid w:val="00E47CFD"/>
    <w:rsid w:val="00E505B7"/>
    <w:rsid w:val="00E51706"/>
    <w:rsid w:val="00E5192B"/>
    <w:rsid w:val="00E5195C"/>
    <w:rsid w:val="00E51AAC"/>
    <w:rsid w:val="00E531CA"/>
    <w:rsid w:val="00E53404"/>
    <w:rsid w:val="00E5517E"/>
    <w:rsid w:val="00E559B0"/>
    <w:rsid w:val="00E56108"/>
    <w:rsid w:val="00E561D7"/>
    <w:rsid w:val="00E57CBB"/>
    <w:rsid w:val="00E6090C"/>
    <w:rsid w:val="00E6117B"/>
    <w:rsid w:val="00E61C2D"/>
    <w:rsid w:val="00E61E19"/>
    <w:rsid w:val="00E61F0F"/>
    <w:rsid w:val="00E63C94"/>
    <w:rsid w:val="00E645E4"/>
    <w:rsid w:val="00E647DB"/>
    <w:rsid w:val="00E661FD"/>
    <w:rsid w:val="00E67835"/>
    <w:rsid w:val="00E70F53"/>
    <w:rsid w:val="00E7107E"/>
    <w:rsid w:val="00E72567"/>
    <w:rsid w:val="00E74827"/>
    <w:rsid w:val="00E74F00"/>
    <w:rsid w:val="00E7579F"/>
    <w:rsid w:val="00E75BA7"/>
    <w:rsid w:val="00E77E29"/>
    <w:rsid w:val="00E82163"/>
    <w:rsid w:val="00E82200"/>
    <w:rsid w:val="00E83105"/>
    <w:rsid w:val="00E851A8"/>
    <w:rsid w:val="00E85FE7"/>
    <w:rsid w:val="00E8667C"/>
    <w:rsid w:val="00E86CA2"/>
    <w:rsid w:val="00E87C07"/>
    <w:rsid w:val="00E87F51"/>
    <w:rsid w:val="00E90A96"/>
    <w:rsid w:val="00E91ADF"/>
    <w:rsid w:val="00E91E79"/>
    <w:rsid w:val="00E9218D"/>
    <w:rsid w:val="00E93CD2"/>
    <w:rsid w:val="00E94438"/>
    <w:rsid w:val="00E95B6C"/>
    <w:rsid w:val="00E9700F"/>
    <w:rsid w:val="00E9763A"/>
    <w:rsid w:val="00EA0099"/>
    <w:rsid w:val="00EA2877"/>
    <w:rsid w:val="00EA33F1"/>
    <w:rsid w:val="00EA3F4F"/>
    <w:rsid w:val="00EA434E"/>
    <w:rsid w:val="00EA5AFF"/>
    <w:rsid w:val="00EA6603"/>
    <w:rsid w:val="00EA7032"/>
    <w:rsid w:val="00EB0A87"/>
    <w:rsid w:val="00EB0CCF"/>
    <w:rsid w:val="00EB4101"/>
    <w:rsid w:val="00EB46C8"/>
    <w:rsid w:val="00EB57A3"/>
    <w:rsid w:val="00EB615D"/>
    <w:rsid w:val="00EB6206"/>
    <w:rsid w:val="00EB62E5"/>
    <w:rsid w:val="00EB6DF4"/>
    <w:rsid w:val="00EB716C"/>
    <w:rsid w:val="00EB7804"/>
    <w:rsid w:val="00EB7B43"/>
    <w:rsid w:val="00EB7D7B"/>
    <w:rsid w:val="00EC02CC"/>
    <w:rsid w:val="00EC02FB"/>
    <w:rsid w:val="00EC045D"/>
    <w:rsid w:val="00EC0DA4"/>
    <w:rsid w:val="00EC16DA"/>
    <w:rsid w:val="00EC2995"/>
    <w:rsid w:val="00EC2C03"/>
    <w:rsid w:val="00EC4645"/>
    <w:rsid w:val="00EC51D1"/>
    <w:rsid w:val="00EC5317"/>
    <w:rsid w:val="00EC5443"/>
    <w:rsid w:val="00EC6A4C"/>
    <w:rsid w:val="00EC6E10"/>
    <w:rsid w:val="00EC78F6"/>
    <w:rsid w:val="00EC7C91"/>
    <w:rsid w:val="00ED0BC8"/>
    <w:rsid w:val="00ED1CF0"/>
    <w:rsid w:val="00ED40D8"/>
    <w:rsid w:val="00ED447A"/>
    <w:rsid w:val="00ED5C7A"/>
    <w:rsid w:val="00ED62E9"/>
    <w:rsid w:val="00ED6A1B"/>
    <w:rsid w:val="00EE08FC"/>
    <w:rsid w:val="00EE0C77"/>
    <w:rsid w:val="00EE2D06"/>
    <w:rsid w:val="00EE3625"/>
    <w:rsid w:val="00EE3CC9"/>
    <w:rsid w:val="00EE41C2"/>
    <w:rsid w:val="00EE5602"/>
    <w:rsid w:val="00EE5F6C"/>
    <w:rsid w:val="00EE7DF1"/>
    <w:rsid w:val="00EF0AE2"/>
    <w:rsid w:val="00EF309A"/>
    <w:rsid w:val="00EF3996"/>
    <w:rsid w:val="00EF4F8A"/>
    <w:rsid w:val="00F019C0"/>
    <w:rsid w:val="00F01BB4"/>
    <w:rsid w:val="00F02CEF"/>
    <w:rsid w:val="00F03554"/>
    <w:rsid w:val="00F0364E"/>
    <w:rsid w:val="00F03756"/>
    <w:rsid w:val="00F0438A"/>
    <w:rsid w:val="00F10589"/>
    <w:rsid w:val="00F10F55"/>
    <w:rsid w:val="00F125B1"/>
    <w:rsid w:val="00F1447C"/>
    <w:rsid w:val="00F14840"/>
    <w:rsid w:val="00F14B71"/>
    <w:rsid w:val="00F172FD"/>
    <w:rsid w:val="00F20072"/>
    <w:rsid w:val="00F21D8E"/>
    <w:rsid w:val="00F248CB"/>
    <w:rsid w:val="00F252FA"/>
    <w:rsid w:val="00F261A7"/>
    <w:rsid w:val="00F275CD"/>
    <w:rsid w:val="00F27BD3"/>
    <w:rsid w:val="00F31189"/>
    <w:rsid w:val="00F34023"/>
    <w:rsid w:val="00F36304"/>
    <w:rsid w:val="00F367BE"/>
    <w:rsid w:val="00F36CA6"/>
    <w:rsid w:val="00F36E6E"/>
    <w:rsid w:val="00F37B21"/>
    <w:rsid w:val="00F407F4"/>
    <w:rsid w:val="00F40966"/>
    <w:rsid w:val="00F40F86"/>
    <w:rsid w:val="00F420FC"/>
    <w:rsid w:val="00F42C48"/>
    <w:rsid w:val="00F44BDC"/>
    <w:rsid w:val="00F450A6"/>
    <w:rsid w:val="00F45587"/>
    <w:rsid w:val="00F45A28"/>
    <w:rsid w:val="00F46AA8"/>
    <w:rsid w:val="00F510E8"/>
    <w:rsid w:val="00F51219"/>
    <w:rsid w:val="00F52395"/>
    <w:rsid w:val="00F52B44"/>
    <w:rsid w:val="00F52DD9"/>
    <w:rsid w:val="00F52E5B"/>
    <w:rsid w:val="00F5364E"/>
    <w:rsid w:val="00F540DF"/>
    <w:rsid w:val="00F544E2"/>
    <w:rsid w:val="00F547F7"/>
    <w:rsid w:val="00F54A09"/>
    <w:rsid w:val="00F57EA8"/>
    <w:rsid w:val="00F60BDE"/>
    <w:rsid w:val="00F615AE"/>
    <w:rsid w:val="00F620EF"/>
    <w:rsid w:val="00F623D0"/>
    <w:rsid w:val="00F62B11"/>
    <w:rsid w:val="00F633D2"/>
    <w:rsid w:val="00F63AE8"/>
    <w:rsid w:val="00F646A5"/>
    <w:rsid w:val="00F65E1B"/>
    <w:rsid w:val="00F66ADF"/>
    <w:rsid w:val="00F67DAD"/>
    <w:rsid w:val="00F70748"/>
    <w:rsid w:val="00F71DE2"/>
    <w:rsid w:val="00F73946"/>
    <w:rsid w:val="00F74388"/>
    <w:rsid w:val="00F748E0"/>
    <w:rsid w:val="00F755CA"/>
    <w:rsid w:val="00F804F0"/>
    <w:rsid w:val="00F805FA"/>
    <w:rsid w:val="00F825A5"/>
    <w:rsid w:val="00F83535"/>
    <w:rsid w:val="00F83BE5"/>
    <w:rsid w:val="00F84ED7"/>
    <w:rsid w:val="00F854CA"/>
    <w:rsid w:val="00F86776"/>
    <w:rsid w:val="00F87E84"/>
    <w:rsid w:val="00F915AB"/>
    <w:rsid w:val="00F91F66"/>
    <w:rsid w:val="00F94C01"/>
    <w:rsid w:val="00F96645"/>
    <w:rsid w:val="00FA01F4"/>
    <w:rsid w:val="00FA03C1"/>
    <w:rsid w:val="00FA03EF"/>
    <w:rsid w:val="00FA0861"/>
    <w:rsid w:val="00FA0BFE"/>
    <w:rsid w:val="00FA0EAF"/>
    <w:rsid w:val="00FA1027"/>
    <w:rsid w:val="00FA11B5"/>
    <w:rsid w:val="00FA16AB"/>
    <w:rsid w:val="00FA1CD8"/>
    <w:rsid w:val="00FA2226"/>
    <w:rsid w:val="00FA28A5"/>
    <w:rsid w:val="00FA28BD"/>
    <w:rsid w:val="00FA2AF4"/>
    <w:rsid w:val="00FA2BB7"/>
    <w:rsid w:val="00FA4639"/>
    <w:rsid w:val="00FA5E7B"/>
    <w:rsid w:val="00FA6F48"/>
    <w:rsid w:val="00FB0793"/>
    <w:rsid w:val="00FB2BB3"/>
    <w:rsid w:val="00FB362E"/>
    <w:rsid w:val="00FB3AAC"/>
    <w:rsid w:val="00FB3C1C"/>
    <w:rsid w:val="00FB54EC"/>
    <w:rsid w:val="00FB61E8"/>
    <w:rsid w:val="00FB64F1"/>
    <w:rsid w:val="00FB6573"/>
    <w:rsid w:val="00FB6C2E"/>
    <w:rsid w:val="00FC1CB0"/>
    <w:rsid w:val="00FC2210"/>
    <w:rsid w:val="00FC4F2D"/>
    <w:rsid w:val="00FC5865"/>
    <w:rsid w:val="00FC5AE4"/>
    <w:rsid w:val="00FC7B56"/>
    <w:rsid w:val="00FD033E"/>
    <w:rsid w:val="00FD1D2A"/>
    <w:rsid w:val="00FD2F26"/>
    <w:rsid w:val="00FD36CD"/>
    <w:rsid w:val="00FD4325"/>
    <w:rsid w:val="00FD5F86"/>
    <w:rsid w:val="00FE06EE"/>
    <w:rsid w:val="00FE1699"/>
    <w:rsid w:val="00FE16CC"/>
    <w:rsid w:val="00FE24EC"/>
    <w:rsid w:val="00FE2A33"/>
    <w:rsid w:val="00FE38D6"/>
    <w:rsid w:val="00FE430E"/>
    <w:rsid w:val="00FE5E08"/>
    <w:rsid w:val="00FE5E3A"/>
    <w:rsid w:val="00FE670F"/>
    <w:rsid w:val="00FF0562"/>
    <w:rsid w:val="00FF1DB3"/>
    <w:rsid w:val="00FF3572"/>
    <w:rsid w:val="00FF35AA"/>
    <w:rsid w:val="00FF547B"/>
    <w:rsid w:val="00FF5D70"/>
    <w:rsid w:val="00FF5E53"/>
    <w:rsid w:val="00FF6DE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1125C4"/>
  <w15:docId w15:val="{E5C0D613-6433-42BC-B1EB-0B28C0249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s-AR" w:eastAsia="es-A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2B11"/>
    <w:pPr>
      <w:spacing w:before="120" w:after="120"/>
      <w:jc w:val="both"/>
    </w:pPr>
    <w:rPr>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7C4BD8"/>
    <w:pPr>
      <w:tabs>
        <w:tab w:val="center" w:pos="4252"/>
        <w:tab w:val="right" w:pos="8504"/>
      </w:tabs>
    </w:pPr>
  </w:style>
  <w:style w:type="character" w:customStyle="1" w:styleId="EncabezadoCar">
    <w:name w:val="Encabezado Car"/>
    <w:basedOn w:val="Fuentedeprrafopredeter"/>
    <w:link w:val="Encabezado"/>
    <w:uiPriority w:val="99"/>
    <w:rsid w:val="002311CD"/>
    <w:rPr>
      <w:szCs w:val="20"/>
      <w:lang w:eastAsia="es-ES"/>
    </w:rPr>
  </w:style>
  <w:style w:type="paragraph" w:styleId="Piedepgina">
    <w:name w:val="footer"/>
    <w:basedOn w:val="Normal"/>
    <w:link w:val="PiedepginaCar"/>
    <w:uiPriority w:val="99"/>
    <w:rsid w:val="007C4BD8"/>
    <w:pPr>
      <w:tabs>
        <w:tab w:val="center" w:pos="4252"/>
        <w:tab w:val="right" w:pos="8504"/>
      </w:tabs>
      <w:spacing w:before="0" w:after="0"/>
      <w:ind w:right="360"/>
      <w:jc w:val="left"/>
    </w:pPr>
    <w:rPr>
      <w:sz w:val="18"/>
    </w:rPr>
  </w:style>
  <w:style w:type="character" w:customStyle="1" w:styleId="PiedepginaCar">
    <w:name w:val="Pie de página Car"/>
    <w:basedOn w:val="Fuentedeprrafopredeter"/>
    <w:link w:val="Piedepgina"/>
    <w:uiPriority w:val="99"/>
    <w:semiHidden/>
    <w:rsid w:val="002311CD"/>
    <w:rPr>
      <w:szCs w:val="20"/>
      <w:lang w:eastAsia="es-ES"/>
    </w:rPr>
  </w:style>
  <w:style w:type="character" w:styleId="Nmerodepgina">
    <w:name w:val="page number"/>
    <w:basedOn w:val="Fuentedeprrafopredeter"/>
    <w:uiPriority w:val="99"/>
    <w:rsid w:val="007C4BD8"/>
    <w:rPr>
      <w:rFonts w:ascii="Arial" w:hAnsi="Arial" w:cs="Times New Roman"/>
      <w:color w:val="auto"/>
      <w:sz w:val="18"/>
      <w:shd w:val="clear" w:color="auto" w:fill="auto"/>
    </w:rPr>
  </w:style>
  <w:style w:type="character" w:styleId="Hipervnculo">
    <w:name w:val="Hyperlink"/>
    <w:basedOn w:val="Fuentedeprrafopredeter"/>
    <w:uiPriority w:val="99"/>
    <w:rsid w:val="007C4BD8"/>
    <w:rPr>
      <w:rFonts w:cs="Times New Roman"/>
      <w:color w:val="0000FF"/>
      <w:u w:val="single"/>
    </w:rPr>
  </w:style>
  <w:style w:type="paragraph" w:customStyle="1" w:styleId="Car5">
    <w:name w:val="Car5"/>
    <w:basedOn w:val="Normal"/>
    <w:uiPriority w:val="99"/>
    <w:rsid w:val="007C4BD8"/>
    <w:pPr>
      <w:spacing w:before="0" w:after="160" w:line="240" w:lineRule="exact"/>
      <w:jc w:val="left"/>
    </w:pPr>
    <w:rPr>
      <w:rFonts w:ascii="Verdana" w:hAnsi="Verdana" w:cs="Verdana"/>
      <w:sz w:val="20"/>
      <w:lang w:val="en-US" w:eastAsia="en-US"/>
    </w:rPr>
  </w:style>
  <w:style w:type="paragraph" w:styleId="Textodeglobo">
    <w:name w:val="Balloon Text"/>
    <w:basedOn w:val="Normal"/>
    <w:link w:val="TextodegloboCar"/>
    <w:uiPriority w:val="99"/>
    <w:semiHidden/>
    <w:rsid w:val="000F6812"/>
    <w:rPr>
      <w:rFonts w:ascii="Tahoma" w:hAnsi="Tahoma" w:cs="Tahoma"/>
      <w:sz w:val="16"/>
      <w:szCs w:val="16"/>
    </w:rPr>
  </w:style>
  <w:style w:type="character" w:customStyle="1" w:styleId="TextodegloboCar">
    <w:name w:val="Texto de globo Car"/>
    <w:basedOn w:val="Fuentedeprrafopredeter"/>
    <w:link w:val="Textodeglobo"/>
    <w:uiPriority w:val="99"/>
    <w:semiHidden/>
    <w:rsid w:val="002311CD"/>
    <w:rPr>
      <w:sz w:val="0"/>
      <w:szCs w:val="0"/>
      <w:lang w:eastAsia="es-ES"/>
    </w:rPr>
  </w:style>
  <w:style w:type="character" w:customStyle="1" w:styleId="apple-converted-space">
    <w:name w:val="apple-converted-space"/>
    <w:basedOn w:val="Fuentedeprrafopredeter"/>
    <w:uiPriority w:val="99"/>
    <w:rsid w:val="005D3E27"/>
    <w:rPr>
      <w:rFonts w:cs="Times New Roman"/>
    </w:rPr>
  </w:style>
  <w:style w:type="character" w:styleId="Textoennegrita">
    <w:name w:val="Strong"/>
    <w:basedOn w:val="Fuentedeprrafopredeter"/>
    <w:uiPriority w:val="99"/>
    <w:qFormat/>
    <w:rsid w:val="005D3E27"/>
    <w:rPr>
      <w:rFonts w:cs="Times New Roman"/>
      <w:b/>
    </w:rPr>
  </w:style>
  <w:style w:type="paragraph" w:styleId="NormalWeb">
    <w:name w:val="Normal (Web)"/>
    <w:basedOn w:val="Normal"/>
    <w:uiPriority w:val="99"/>
    <w:rsid w:val="005D3E27"/>
    <w:pPr>
      <w:spacing w:before="100" w:beforeAutospacing="1" w:after="100" w:afterAutospacing="1"/>
      <w:jc w:val="left"/>
    </w:pPr>
    <w:rPr>
      <w:sz w:val="24"/>
      <w:szCs w:val="24"/>
      <w:lang w:val="es-ES"/>
    </w:rPr>
  </w:style>
  <w:style w:type="paragraph" w:customStyle="1" w:styleId="Default">
    <w:name w:val="Default"/>
    <w:uiPriority w:val="99"/>
    <w:rsid w:val="00D526BB"/>
    <w:pPr>
      <w:autoSpaceDE w:val="0"/>
      <w:autoSpaceDN w:val="0"/>
      <w:adjustRightInd w:val="0"/>
    </w:pPr>
    <w:rPr>
      <w:rFonts w:ascii="Verdana" w:hAnsi="Verdana" w:cs="Verdana"/>
      <w:color w:val="000000"/>
      <w:sz w:val="24"/>
      <w:szCs w:val="24"/>
      <w:lang w:val="es-ES" w:eastAsia="es-ES"/>
    </w:rPr>
  </w:style>
  <w:style w:type="character" w:styleId="Hipervnculovisitado">
    <w:name w:val="FollowedHyperlink"/>
    <w:basedOn w:val="Fuentedeprrafopredeter"/>
    <w:uiPriority w:val="99"/>
    <w:rsid w:val="00822ED1"/>
    <w:rPr>
      <w:rFonts w:cs="Times New Roman"/>
      <w:color w:val="800080"/>
      <w:u w:val="single"/>
    </w:rPr>
  </w:style>
  <w:style w:type="table" w:styleId="Tablaconcuadrcula">
    <w:name w:val="Table Grid"/>
    <w:basedOn w:val="Tablanormal"/>
    <w:uiPriority w:val="99"/>
    <w:rsid w:val="0066046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es">
    <w:name w:val="Dates"/>
    <w:basedOn w:val="Normal"/>
    <w:rsid w:val="00FF3572"/>
    <w:pPr>
      <w:spacing w:before="0" w:after="0"/>
      <w:jc w:val="left"/>
    </w:pPr>
    <w:rPr>
      <w:rFonts w:ascii="Perpetua" w:hAnsi="Perpetua" w:cs="Arial"/>
      <w:sz w:val="20"/>
      <w:lang w:val="es-ES" w:eastAsia="en-US"/>
    </w:rPr>
  </w:style>
  <w:style w:type="paragraph" w:customStyle="1" w:styleId="Weekdays">
    <w:name w:val="Weekdays"/>
    <w:basedOn w:val="Normal"/>
    <w:rsid w:val="00FF3572"/>
    <w:pPr>
      <w:spacing w:before="0" w:after="0"/>
      <w:jc w:val="center"/>
    </w:pPr>
    <w:rPr>
      <w:rFonts w:ascii="Franklin Gothic Book" w:hAnsi="Franklin Gothic Book"/>
      <w:b/>
      <w:spacing w:val="1"/>
      <w:sz w:val="20"/>
      <w:szCs w:val="16"/>
      <w:lang w:val="es-ES" w:eastAsia="en-US"/>
    </w:rPr>
  </w:style>
  <w:style w:type="paragraph" w:styleId="Prrafodelista">
    <w:name w:val="List Paragraph"/>
    <w:basedOn w:val="Normal"/>
    <w:uiPriority w:val="34"/>
    <w:qFormat/>
    <w:rsid w:val="00331159"/>
    <w:pPr>
      <w:ind w:left="720"/>
      <w:contextualSpacing/>
    </w:pPr>
  </w:style>
  <w:style w:type="paragraph" w:styleId="Textonotapie">
    <w:name w:val="footnote text"/>
    <w:basedOn w:val="Normal"/>
    <w:link w:val="TextonotapieCar"/>
    <w:uiPriority w:val="99"/>
    <w:semiHidden/>
    <w:unhideWhenUsed/>
    <w:rsid w:val="006026C8"/>
    <w:pPr>
      <w:spacing w:before="0" w:after="0"/>
    </w:pPr>
    <w:rPr>
      <w:sz w:val="20"/>
    </w:rPr>
  </w:style>
  <w:style w:type="character" w:customStyle="1" w:styleId="TextonotapieCar">
    <w:name w:val="Texto nota pie Car"/>
    <w:basedOn w:val="Fuentedeprrafopredeter"/>
    <w:link w:val="Textonotapie"/>
    <w:uiPriority w:val="99"/>
    <w:semiHidden/>
    <w:rsid w:val="006026C8"/>
    <w:rPr>
      <w:sz w:val="20"/>
      <w:szCs w:val="20"/>
      <w:lang w:eastAsia="es-ES"/>
    </w:rPr>
  </w:style>
  <w:style w:type="character" w:styleId="Refdenotaalpie">
    <w:name w:val="footnote reference"/>
    <w:basedOn w:val="Fuentedeprrafopredeter"/>
    <w:uiPriority w:val="99"/>
    <w:semiHidden/>
    <w:unhideWhenUsed/>
    <w:rsid w:val="006026C8"/>
    <w:rPr>
      <w:vertAlign w:val="superscript"/>
    </w:rPr>
  </w:style>
  <w:style w:type="character" w:customStyle="1" w:styleId="Mencinsinresolver1">
    <w:name w:val="Mención sin resolver1"/>
    <w:basedOn w:val="Fuentedeprrafopredeter"/>
    <w:uiPriority w:val="99"/>
    <w:semiHidden/>
    <w:unhideWhenUsed/>
    <w:rsid w:val="00602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698833">
      <w:bodyDiv w:val="1"/>
      <w:marLeft w:val="0"/>
      <w:marRight w:val="0"/>
      <w:marTop w:val="0"/>
      <w:marBottom w:val="0"/>
      <w:divBdr>
        <w:top w:val="none" w:sz="0" w:space="0" w:color="auto"/>
        <w:left w:val="none" w:sz="0" w:space="0" w:color="auto"/>
        <w:bottom w:val="none" w:sz="0" w:space="0" w:color="auto"/>
        <w:right w:val="none" w:sz="0" w:space="0" w:color="auto"/>
      </w:divBdr>
    </w:div>
    <w:div w:id="1960644311">
      <w:marLeft w:val="0"/>
      <w:marRight w:val="0"/>
      <w:marTop w:val="0"/>
      <w:marBottom w:val="0"/>
      <w:divBdr>
        <w:top w:val="none" w:sz="0" w:space="0" w:color="auto"/>
        <w:left w:val="none" w:sz="0" w:space="0" w:color="auto"/>
        <w:bottom w:val="none" w:sz="0" w:space="0" w:color="auto"/>
        <w:right w:val="none" w:sz="0" w:space="0" w:color="auto"/>
      </w:divBdr>
    </w:div>
    <w:div w:id="1960644312">
      <w:marLeft w:val="0"/>
      <w:marRight w:val="0"/>
      <w:marTop w:val="0"/>
      <w:marBottom w:val="0"/>
      <w:divBdr>
        <w:top w:val="none" w:sz="0" w:space="0" w:color="auto"/>
        <w:left w:val="none" w:sz="0" w:space="0" w:color="auto"/>
        <w:bottom w:val="none" w:sz="0" w:space="0" w:color="auto"/>
        <w:right w:val="none" w:sz="0" w:space="0" w:color="auto"/>
      </w:divBdr>
    </w:div>
    <w:div w:id="1960644313">
      <w:marLeft w:val="0"/>
      <w:marRight w:val="0"/>
      <w:marTop w:val="0"/>
      <w:marBottom w:val="0"/>
      <w:divBdr>
        <w:top w:val="none" w:sz="0" w:space="0" w:color="auto"/>
        <w:left w:val="none" w:sz="0" w:space="0" w:color="auto"/>
        <w:bottom w:val="none" w:sz="0" w:space="0" w:color="auto"/>
        <w:right w:val="none" w:sz="0" w:space="0" w:color="auto"/>
      </w:divBdr>
    </w:div>
    <w:div w:id="1960644314">
      <w:marLeft w:val="0"/>
      <w:marRight w:val="0"/>
      <w:marTop w:val="0"/>
      <w:marBottom w:val="0"/>
      <w:divBdr>
        <w:top w:val="none" w:sz="0" w:space="0" w:color="auto"/>
        <w:left w:val="none" w:sz="0" w:space="0" w:color="auto"/>
        <w:bottom w:val="none" w:sz="0" w:space="0" w:color="auto"/>
        <w:right w:val="none" w:sz="0" w:space="0" w:color="auto"/>
      </w:divBdr>
    </w:div>
    <w:div w:id="1960644316">
      <w:marLeft w:val="0"/>
      <w:marRight w:val="0"/>
      <w:marTop w:val="0"/>
      <w:marBottom w:val="0"/>
      <w:divBdr>
        <w:top w:val="none" w:sz="0" w:space="0" w:color="auto"/>
        <w:left w:val="none" w:sz="0" w:space="0" w:color="auto"/>
        <w:bottom w:val="none" w:sz="0" w:space="0" w:color="auto"/>
        <w:right w:val="none" w:sz="0" w:space="0" w:color="auto"/>
      </w:divBdr>
    </w:div>
    <w:div w:id="1960644319">
      <w:marLeft w:val="0"/>
      <w:marRight w:val="0"/>
      <w:marTop w:val="0"/>
      <w:marBottom w:val="0"/>
      <w:divBdr>
        <w:top w:val="none" w:sz="0" w:space="0" w:color="auto"/>
        <w:left w:val="none" w:sz="0" w:space="0" w:color="auto"/>
        <w:bottom w:val="none" w:sz="0" w:space="0" w:color="auto"/>
        <w:right w:val="none" w:sz="0" w:space="0" w:color="auto"/>
      </w:divBdr>
    </w:div>
    <w:div w:id="1960644320">
      <w:marLeft w:val="0"/>
      <w:marRight w:val="0"/>
      <w:marTop w:val="0"/>
      <w:marBottom w:val="0"/>
      <w:divBdr>
        <w:top w:val="none" w:sz="0" w:space="0" w:color="auto"/>
        <w:left w:val="none" w:sz="0" w:space="0" w:color="auto"/>
        <w:bottom w:val="none" w:sz="0" w:space="0" w:color="auto"/>
        <w:right w:val="none" w:sz="0" w:space="0" w:color="auto"/>
      </w:divBdr>
    </w:div>
    <w:div w:id="1960644321">
      <w:marLeft w:val="0"/>
      <w:marRight w:val="0"/>
      <w:marTop w:val="0"/>
      <w:marBottom w:val="0"/>
      <w:divBdr>
        <w:top w:val="none" w:sz="0" w:space="0" w:color="auto"/>
        <w:left w:val="none" w:sz="0" w:space="0" w:color="auto"/>
        <w:bottom w:val="none" w:sz="0" w:space="0" w:color="auto"/>
        <w:right w:val="none" w:sz="0" w:space="0" w:color="auto"/>
      </w:divBdr>
    </w:div>
    <w:div w:id="1960644322">
      <w:marLeft w:val="0"/>
      <w:marRight w:val="0"/>
      <w:marTop w:val="0"/>
      <w:marBottom w:val="0"/>
      <w:divBdr>
        <w:top w:val="none" w:sz="0" w:space="0" w:color="auto"/>
        <w:left w:val="none" w:sz="0" w:space="0" w:color="auto"/>
        <w:bottom w:val="none" w:sz="0" w:space="0" w:color="auto"/>
        <w:right w:val="none" w:sz="0" w:space="0" w:color="auto"/>
      </w:divBdr>
    </w:div>
    <w:div w:id="1960644323">
      <w:marLeft w:val="0"/>
      <w:marRight w:val="0"/>
      <w:marTop w:val="0"/>
      <w:marBottom w:val="0"/>
      <w:divBdr>
        <w:top w:val="none" w:sz="0" w:space="0" w:color="auto"/>
        <w:left w:val="none" w:sz="0" w:space="0" w:color="auto"/>
        <w:bottom w:val="none" w:sz="0" w:space="0" w:color="auto"/>
        <w:right w:val="none" w:sz="0" w:space="0" w:color="auto"/>
      </w:divBdr>
    </w:div>
    <w:div w:id="1960644324">
      <w:marLeft w:val="0"/>
      <w:marRight w:val="0"/>
      <w:marTop w:val="0"/>
      <w:marBottom w:val="0"/>
      <w:divBdr>
        <w:top w:val="none" w:sz="0" w:space="0" w:color="auto"/>
        <w:left w:val="none" w:sz="0" w:space="0" w:color="auto"/>
        <w:bottom w:val="none" w:sz="0" w:space="0" w:color="auto"/>
        <w:right w:val="none" w:sz="0" w:space="0" w:color="auto"/>
      </w:divBdr>
    </w:div>
    <w:div w:id="1960644325">
      <w:marLeft w:val="0"/>
      <w:marRight w:val="0"/>
      <w:marTop w:val="0"/>
      <w:marBottom w:val="0"/>
      <w:divBdr>
        <w:top w:val="none" w:sz="0" w:space="0" w:color="auto"/>
        <w:left w:val="none" w:sz="0" w:space="0" w:color="auto"/>
        <w:bottom w:val="none" w:sz="0" w:space="0" w:color="auto"/>
        <w:right w:val="none" w:sz="0" w:space="0" w:color="auto"/>
      </w:divBdr>
    </w:div>
    <w:div w:id="1960644326">
      <w:marLeft w:val="0"/>
      <w:marRight w:val="0"/>
      <w:marTop w:val="0"/>
      <w:marBottom w:val="0"/>
      <w:divBdr>
        <w:top w:val="none" w:sz="0" w:space="0" w:color="auto"/>
        <w:left w:val="none" w:sz="0" w:space="0" w:color="auto"/>
        <w:bottom w:val="none" w:sz="0" w:space="0" w:color="auto"/>
        <w:right w:val="none" w:sz="0" w:space="0" w:color="auto"/>
      </w:divBdr>
      <w:divsChild>
        <w:div w:id="1960644315">
          <w:marLeft w:val="0"/>
          <w:marRight w:val="0"/>
          <w:marTop w:val="0"/>
          <w:marBottom w:val="0"/>
          <w:divBdr>
            <w:top w:val="none" w:sz="0" w:space="0" w:color="auto"/>
            <w:left w:val="none" w:sz="0" w:space="0" w:color="auto"/>
            <w:bottom w:val="none" w:sz="0" w:space="0" w:color="auto"/>
            <w:right w:val="none" w:sz="0" w:space="0" w:color="auto"/>
          </w:divBdr>
        </w:div>
        <w:div w:id="1960644317">
          <w:marLeft w:val="0"/>
          <w:marRight w:val="0"/>
          <w:marTop w:val="0"/>
          <w:marBottom w:val="0"/>
          <w:divBdr>
            <w:top w:val="none" w:sz="0" w:space="0" w:color="auto"/>
            <w:left w:val="none" w:sz="0" w:space="0" w:color="auto"/>
            <w:bottom w:val="none" w:sz="0" w:space="0" w:color="auto"/>
            <w:right w:val="none" w:sz="0" w:space="0" w:color="auto"/>
          </w:divBdr>
        </w:div>
        <w:div w:id="1960644318">
          <w:marLeft w:val="0"/>
          <w:marRight w:val="0"/>
          <w:marTop w:val="0"/>
          <w:marBottom w:val="0"/>
          <w:divBdr>
            <w:top w:val="none" w:sz="0" w:space="0" w:color="auto"/>
            <w:left w:val="none" w:sz="0" w:space="0" w:color="auto"/>
            <w:bottom w:val="none" w:sz="0" w:space="0" w:color="auto"/>
            <w:right w:val="none" w:sz="0" w:space="0" w:color="auto"/>
          </w:divBdr>
        </w:div>
        <w:div w:id="1960644329">
          <w:marLeft w:val="0"/>
          <w:marRight w:val="0"/>
          <w:marTop w:val="0"/>
          <w:marBottom w:val="0"/>
          <w:divBdr>
            <w:top w:val="none" w:sz="0" w:space="0" w:color="auto"/>
            <w:left w:val="none" w:sz="0" w:space="0" w:color="auto"/>
            <w:bottom w:val="none" w:sz="0" w:space="0" w:color="auto"/>
            <w:right w:val="none" w:sz="0" w:space="0" w:color="auto"/>
          </w:divBdr>
        </w:div>
      </w:divsChild>
    </w:div>
    <w:div w:id="1960644327">
      <w:marLeft w:val="0"/>
      <w:marRight w:val="0"/>
      <w:marTop w:val="0"/>
      <w:marBottom w:val="0"/>
      <w:divBdr>
        <w:top w:val="none" w:sz="0" w:space="0" w:color="auto"/>
        <w:left w:val="none" w:sz="0" w:space="0" w:color="auto"/>
        <w:bottom w:val="none" w:sz="0" w:space="0" w:color="auto"/>
        <w:right w:val="none" w:sz="0" w:space="0" w:color="auto"/>
      </w:divBdr>
    </w:div>
    <w:div w:id="1960644328">
      <w:marLeft w:val="0"/>
      <w:marRight w:val="0"/>
      <w:marTop w:val="0"/>
      <w:marBottom w:val="0"/>
      <w:divBdr>
        <w:top w:val="none" w:sz="0" w:space="0" w:color="auto"/>
        <w:left w:val="none" w:sz="0" w:space="0" w:color="auto"/>
        <w:bottom w:val="none" w:sz="0" w:space="0" w:color="auto"/>
        <w:right w:val="none" w:sz="0" w:space="0" w:color="auto"/>
      </w:divBdr>
    </w:div>
    <w:div w:id="1960644330">
      <w:marLeft w:val="0"/>
      <w:marRight w:val="0"/>
      <w:marTop w:val="0"/>
      <w:marBottom w:val="0"/>
      <w:divBdr>
        <w:top w:val="none" w:sz="0" w:space="0" w:color="auto"/>
        <w:left w:val="none" w:sz="0" w:space="0" w:color="auto"/>
        <w:bottom w:val="none" w:sz="0" w:space="0" w:color="auto"/>
        <w:right w:val="none" w:sz="0" w:space="0" w:color="auto"/>
      </w:divBdr>
    </w:div>
    <w:div w:id="1960644331">
      <w:marLeft w:val="0"/>
      <w:marRight w:val="0"/>
      <w:marTop w:val="0"/>
      <w:marBottom w:val="0"/>
      <w:divBdr>
        <w:top w:val="none" w:sz="0" w:space="0" w:color="auto"/>
        <w:left w:val="none" w:sz="0" w:space="0" w:color="auto"/>
        <w:bottom w:val="none" w:sz="0" w:space="0" w:color="auto"/>
        <w:right w:val="none" w:sz="0" w:space="0" w:color="auto"/>
      </w:divBdr>
    </w:div>
    <w:div w:id="1960644332">
      <w:marLeft w:val="0"/>
      <w:marRight w:val="0"/>
      <w:marTop w:val="0"/>
      <w:marBottom w:val="0"/>
      <w:divBdr>
        <w:top w:val="none" w:sz="0" w:space="0" w:color="auto"/>
        <w:left w:val="none" w:sz="0" w:space="0" w:color="auto"/>
        <w:bottom w:val="none" w:sz="0" w:space="0" w:color="auto"/>
        <w:right w:val="none" w:sz="0" w:space="0" w:color="auto"/>
      </w:divBdr>
    </w:div>
    <w:div w:id="1960644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ww.delphosinv.com" TargetMode="External"/><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yperlink" Target="mailto:delphosinv@delphosinv.com" TargetMode="External"/><Relationship Id="rId14" Type="http://schemas.openxmlformats.org/officeDocument/2006/relationships/header" Target="head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5C9871-83A5-477E-A442-F8F5402E3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8</Pages>
  <Words>1672</Words>
  <Characters>9197</Characters>
  <Application>Microsoft Office Word</Application>
  <DocSecurity>2</DocSecurity>
  <Lines>76</Lines>
  <Paragraphs>21</Paragraphs>
  <ScaleCrop>false</ScaleCrop>
  <HeadingPairs>
    <vt:vector size="2" baseType="variant">
      <vt:variant>
        <vt:lpstr>Título</vt:lpstr>
      </vt:variant>
      <vt:variant>
        <vt:i4>1</vt:i4>
      </vt:variant>
    </vt:vector>
  </HeadingPairs>
  <TitlesOfParts>
    <vt:vector size="1" baseType="lpstr">
      <vt:lpstr>El crecimiento en la mira</vt:lpstr>
    </vt:vector>
  </TitlesOfParts>
  <Company>http://www.centor.mx.gd</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crecimiento en la mira</dc:title>
  <dc:creator>ggrasso</dc:creator>
  <cp:lastModifiedBy>Admin</cp:lastModifiedBy>
  <cp:revision>41</cp:revision>
  <cp:lastPrinted>2022-02-25T16:21:00Z</cp:lastPrinted>
  <dcterms:created xsi:type="dcterms:W3CDTF">2022-08-11T13:47:00Z</dcterms:created>
  <dcterms:modified xsi:type="dcterms:W3CDTF">2022-08-12T18:32:00Z</dcterms:modified>
</cp:coreProperties>
</file>