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4" w:type="dxa"/>
        <w:tblLayout w:type="fixed"/>
        <w:tblLook w:val="00A0" w:firstRow="1" w:lastRow="0" w:firstColumn="1" w:lastColumn="0" w:noHBand="0" w:noVBand="0"/>
      </w:tblPr>
      <w:tblGrid>
        <w:gridCol w:w="7143"/>
        <w:gridCol w:w="2891"/>
      </w:tblGrid>
      <w:tr w:rsidR="0010440B" w:rsidRPr="0073367C" w14:paraId="78760A8C" w14:textId="77777777" w:rsidTr="0010440B">
        <w:trPr>
          <w:trHeight w:val="148"/>
        </w:trPr>
        <w:tc>
          <w:tcPr>
            <w:tcW w:w="7143" w:type="dxa"/>
            <w:vMerge w:val="restart"/>
            <w:shd w:val="clear" w:color="auto" w:fill="1F497D"/>
            <w:vAlign w:val="center"/>
          </w:tcPr>
          <w:p w14:paraId="29ED801A" w14:textId="6165FF98" w:rsidR="0010440B" w:rsidRPr="0001493D" w:rsidRDefault="001B5120" w:rsidP="0073367C">
            <w:pPr>
              <w:shd w:val="clear" w:color="auto" w:fill="1F497D"/>
              <w:spacing w:before="0"/>
              <w:jc w:val="left"/>
              <w:rPr>
                <w:rFonts w:ascii="Garamond" w:hAnsi="Garamond" w:cs="Tahoma"/>
                <w:b/>
                <w:color w:val="FFFFFF"/>
                <w:sz w:val="36"/>
                <w:szCs w:val="36"/>
              </w:rPr>
            </w:pPr>
            <w:r>
              <w:rPr>
                <w:rFonts w:ascii="Garamond" w:hAnsi="Garamond" w:cs="Tahoma"/>
                <w:b/>
                <w:color w:val="FFFFFF"/>
                <w:sz w:val="36"/>
                <w:szCs w:val="36"/>
              </w:rPr>
              <w:t>INFORME SEMANAL Nº 1.356</w:t>
            </w:r>
          </w:p>
          <w:p w14:paraId="17583D44" w14:textId="77777777" w:rsidR="0010440B" w:rsidRPr="00B366E9" w:rsidRDefault="0010440B" w:rsidP="0073367C">
            <w:pPr>
              <w:shd w:val="clear" w:color="auto" w:fill="1F497D"/>
              <w:jc w:val="left"/>
              <w:rPr>
                <w:rFonts w:ascii="Garamond" w:hAnsi="Garamond" w:cs="Tahoma"/>
                <w:b/>
                <w:color w:val="FFFFFF"/>
                <w:sz w:val="24"/>
                <w:szCs w:val="24"/>
              </w:rPr>
            </w:pPr>
            <w:r w:rsidRPr="00B366E9">
              <w:rPr>
                <w:rFonts w:ascii="Garamond" w:hAnsi="Garamond" w:cs="Tahoma"/>
                <w:b/>
                <w:color w:val="FFFFFF"/>
                <w:sz w:val="24"/>
                <w:szCs w:val="24"/>
              </w:rPr>
              <w:t>Estrategia Global y Local</w:t>
            </w:r>
          </w:p>
          <w:p w14:paraId="2F3308AF" w14:textId="77777777" w:rsidR="0010440B" w:rsidRPr="00B366E9" w:rsidRDefault="0010440B" w:rsidP="005E2D5B">
            <w:pPr>
              <w:shd w:val="clear" w:color="auto" w:fill="1F497D"/>
              <w:spacing w:before="1200" w:after="0"/>
              <w:jc w:val="left"/>
              <w:rPr>
                <w:rFonts w:ascii="Tahoma" w:hAnsi="Tahoma" w:cs="Tahoma"/>
                <w:b/>
                <w:color w:val="FFFFFF"/>
                <w:sz w:val="44"/>
                <w:szCs w:val="44"/>
              </w:rPr>
            </w:pPr>
          </w:p>
        </w:tc>
        <w:tc>
          <w:tcPr>
            <w:tcW w:w="2891" w:type="dxa"/>
            <w:vAlign w:val="center"/>
          </w:tcPr>
          <w:p w14:paraId="53E0F724" w14:textId="25B00FD5" w:rsidR="0010440B" w:rsidRPr="00371698" w:rsidRDefault="0090172A" w:rsidP="006D51BB">
            <w:pPr>
              <w:spacing w:before="0"/>
              <w:jc w:val="right"/>
              <w:rPr>
                <w:color w:val="1F497D"/>
                <w:sz w:val="20"/>
                <w:shd w:val="clear" w:color="auto" w:fill="FFFFFF"/>
              </w:rPr>
            </w:pPr>
            <w:r w:rsidRPr="004D6F2B">
              <w:rPr>
                <w:color w:val="1F497D"/>
                <w:shd w:val="clear" w:color="auto" w:fill="FFFFFF"/>
              </w:rPr>
              <w:fldChar w:fldCharType="begin"/>
            </w:r>
            <w:r w:rsidR="004D6F2B" w:rsidRPr="004D6F2B">
              <w:rPr>
                <w:color w:val="1F497D"/>
                <w:shd w:val="clear" w:color="auto" w:fill="FFFFFF"/>
              </w:rPr>
              <w:instrText xml:space="preserve"> TIME \@ "dd' de 'MMMM' de 'yyyy" </w:instrText>
            </w:r>
            <w:r w:rsidRPr="004D6F2B">
              <w:rPr>
                <w:color w:val="1F497D"/>
                <w:shd w:val="clear" w:color="auto" w:fill="FFFFFF"/>
              </w:rPr>
              <w:fldChar w:fldCharType="separate"/>
            </w:r>
            <w:r w:rsidR="002E5F64">
              <w:rPr>
                <w:noProof/>
                <w:color w:val="1F497D"/>
                <w:shd w:val="clear" w:color="auto" w:fill="FFFFFF"/>
              </w:rPr>
              <w:t>11 de agosto de 2022</w:t>
            </w:r>
            <w:r w:rsidRPr="004D6F2B">
              <w:rPr>
                <w:color w:val="1F497D"/>
                <w:shd w:val="clear" w:color="auto" w:fill="FFFFFF"/>
              </w:rPr>
              <w:fldChar w:fldCharType="end"/>
            </w:r>
          </w:p>
        </w:tc>
      </w:tr>
      <w:tr w:rsidR="0010440B" w:rsidRPr="0073367C" w14:paraId="38994234" w14:textId="77777777" w:rsidTr="0010440B">
        <w:trPr>
          <w:trHeight w:val="479"/>
        </w:trPr>
        <w:tc>
          <w:tcPr>
            <w:tcW w:w="7143" w:type="dxa"/>
            <w:vMerge/>
            <w:shd w:val="clear" w:color="auto" w:fill="1F497D"/>
          </w:tcPr>
          <w:p w14:paraId="637FA155" w14:textId="77777777" w:rsidR="0010440B" w:rsidRPr="0073367C" w:rsidRDefault="0010440B" w:rsidP="0073367C">
            <w:pPr>
              <w:shd w:val="clear" w:color="auto" w:fill="1F497D"/>
              <w:spacing w:before="0" w:after="0"/>
              <w:rPr>
                <w:rFonts w:ascii="Tahoma" w:hAnsi="Tahoma" w:cs="Tahoma"/>
                <w:b/>
                <w:color w:val="FFFFFF"/>
                <w:sz w:val="16"/>
                <w:szCs w:val="16"/>
              </w:rPr>
            </w:pPr>
          </w:p>
        </w:tc>
        <w:tc>
          <w:tcPr>
            <w:tcW w:w="2891" w:type="dxa"/>
            <w:vAlign w:val="center"/>
          </w:tcPr>
          <w:p w14:paraId="325D191D" w14:textId="77777777" w:rsidR="0010440B" w:rsidRPr="0073367C" w:rsidRDefault="0010440B" w:rsidP="0010440B">
            <w:pPr>
              <w:rPr>
                <w:color w:val="1F497D"/>
              </w:rPr>
            </w:pPr>
            <w:r>
              <w:rPr>
                <w:noProof/>
                <w:color w:val="1F497D"/>
                <w:lang w:eastAsia="es-AR"/>
              </w:rPr>
              <w:drawing>
                <wp:inline distT="0" distB="0" distL="0" distR="0" wp14:anchorId="347D9B93" wp14:editId="51C624ED">
                  <wp:extent cx="1703425" cy="407143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048" cy="41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40B" w:rsidRPr="0073367C" w14:paraId="251135F7" w14:textId="77777777" w:rsidTr="0010440B">
        <w:trPr>
          <w:trHeight w:val="1288"/>
        </w:trPr>
        <w:tc>
          <w:tcPr>
            <w:tcW w:w="7143" w:type="dxa"/>
            <w:vMerge/>
            <w:shd w:val="clear" w:color="auto" w:fill="1F497D"/>
          </w:tcPr>
          <w:p w14:paraId="6A8DA878" w14:textId="77777777" w:rsidR="0010440B" w:rsidRPr="0073367C" w:rsidRDefault="0010440B" w:rsidP="0073367C">
            <w:pPr>
              <w:shd w:val="clear" w:color="auto" w:fill="1F497D"/>
              <w:spacing w:before="0" w:after="0"/>
              <w:rPr>
                <w:rFonts w:ascii="Tahoma" w:hAnsi="Tahoma" w:cs="Tahoma"/>
                <w:b/>
                <w:color w:val="FFFFFF"/>
                <w:sz w:val="16"/>
                <w:szCs w:val="16"/>
              </w:rPr>
            </w:pPr>
          </w:p>
        </w:tc>
        <w:tc>
          <w:tcPr>
            <w:tcW w:w="2891" w:type="dxa"/>
            <w:vAlign w:val="center"/>
          </w:tcPr>
          <w:p w14:paraId="5784ECCB" w14:textId="6544BDAE" w:rsidR="0010440B" w:rsidRPr="0073367C" w:rsidRDefault="000C7E45" w:rsidP="002F3435">
            <w:pPr>
              <w:spacing w:after="0"/>
              <w:jc w:val="right"/>
              <w:rPr>
                <w:color w:val="1F497D"/>
                <w:sz w:val="20"/>
                <w:shd w:val="clear" w:color="auto" w:fill="FFFFFF"/>
              </w:rPr>
            </w:pPr>
            <w:r>
              <w:rPr>
                <w:color w:val="1F497D"/>
                <w:sz w:val="20"/>
                <w:shd w:val="clear" w:color="auto" w:fill="FFFFFF"/>
              </w:rPr>
              <w:t>Reconquista 575</w:t>
            </w:r>
            <w:r w:rsidR="0010440B" w:rsidRPr="0073367C">
              <w:rPr>
                <w:color w:val="1F497D"/>
                <w:sz w:val="20"/>
                <w:shd w:val="clear" w:color="auto" w:fill="FFFFFF"/>
              </w:rPr>
              <w:t xml:space="preserve"> </w:t>
            </w:r>
            <w:r>
              <w:rPr>
                <w:color w:val="1F497D"/>
                <w:sz w:val="20"/>
                <w:shd w:val="clear" w:color="auto" w:fill="FFFFFF"/>
              </w:rPr>
              <w:t>3</w:t>
            </w:r>
            <w:r w:rsidR="0010440B">
              <w:rPr>
                <w:color w:val="1F497D"/>
                <w:sz w:val="20"/>
                <w:shd w:val="clear" w:color="auto" w:fill="FFFFFF"/>
              </w:rPr>
              <w:t>º</w:t>
            </w:r>
            <w:r w:rsidR="0010440B" w:rsidRPr="0073367C">
              <w:rPr>
                <w:color w:val="1F497D"/>
                <w:sz w:val="20"/>
                <w:shd w:val="clear" w:color="auto" w:fill="FFFFFF"/>
              </w:rPr>
              <w:t>, CABA, Argentina</w:t>
            </w:r>
          </w:p>
          <w:p w14:paraId="217D027D" w14:textId="77777777" w:rsidR="0010440B" w:rsidRPr="000F7742" w:rsidRDefault="0010440B" w:rsidP="002F3435">
            <w:pPr>
              <w:spacing w:after="0"/>
              <w:jc w:val="right"/>
              <w:rPr>
                <w:color w:val="1F497D"/>
                <w:sz w:val="20"/>
                <w:shd w:val="clear" w:color="auto" w:fill="FFFFFF"/>
              </w:rPr>
            </w:pPr>
            <w:r>
              <w:rPr>
                <w:color w:val="1F497D"/>
                <w:sz w:val="20"/>
                <w:shd w:val="clear" w:color="auto" w:fill="FFFFFF"/>
              </w:rPr>
              <w:t>+</w:t>
            </w:r>
            <w:r w:rsidRPr="000F7742">
              <w:rPr>
                <w:color w:val="1F497D"/>
                <w:sz w:val="20"/>
                <w:shd w:val="clear" w:color="auto" w:fill="FFFFFF"/>
              </w:rPr>
              <w:t>54 (11) 5032-0033</w:t>
            </w:r>
          </w:p>
          <w:p w14:paraId="53D5279C" w14:textId="77777777" w:rsidR="0010440B" w:rsidRPr="000F7742" w:rsidRDefault="002A6141" w:rsidP="002F3435">
            <w:pPr>
              <w:spacing w:after="0"/>
              <w:jc w:val="right"/>
              <w:rPr>
                <w:color w:val="1F497D"/>
                <w:sz w:val="20"/>
                <w:shd w:val="clear" w:color="auto" w:fill="FFFFFF"/>
              </w:rPr>
            </w:pPr>
            <w:hyperlink r:id="rId9" w:history="1">
              <w:r w:rsidR="0010440B" w:rsidRPr="000F7742">
                <w:rPr>
                  <w:rStyle w:val="Hipervnculo"/>
                  <w:color w:val="1F497D"/>
                  <w:sz w:val="20"/>
                  <w:shd w:val="clear" w:color="auto" w:fill="FFFFFF"/>
                </w:rPr>
                <w:t>delphosinv@delphosinv.com</w:t>
              </w:r>
            </w:hyperlink>
          </w:p>
          <w:p w14:paraId="335D8056" w14:textId="77777777" w:rsidR="0010440B" w:rsidRPr="0073367C" w:rsidRDefault="002A6141" w:rsidP="002F3435">
            <w:pPr>
              <w:spacing w:after="0"/>
              <w:jc w:val="right"/>
              <w:rPr>
                <w:color w:val="1F497D"/>
                <w:sz w:val="20"/>
                <w:shd w:val="clear" w:color="auto" w:fill="FFFFFF"/>
              </w:rPr>
            </w:pPr>
            <w:hyperlink r:id="rId10" w:history="1">
              <w:r w:rsidR="0010440B" w:rsidRPr="000F7742">
                <w:rPr>
                  <w:rStyle w:val="Hipervnculo"/>
                  <w:color w:val="1F497D"/>
                  <w:sz w:val="20"/>
                  <w:shd w:val="clear" w:color="auto" w:fill="FFFFFF"/>
                </w:rPr>
                <w:t>www.delphosinv.com</w:t>
              </w:r>
            </w:hyperlink>
          </w:p>
        </w:tc>
      </w:tr>
    </w:tbl>
    <w:p w14:paraId="20500C97" w14:textId="77777777" w:rsidR="00E91E79" w:rsidRPr="00AF1AE9" w:rsidRDefault="00E91E79" w:rsidP="00AF1AE9">
      <w:pPr>
        <w:spacing w:before="0" w:after="0"/>
        <w:rPr>
          <w:sz w:val="20"/>
          <w:shd w:val="clear" w:color="auto" w:fill="FFFFFF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07"/>
        <w:gridCol w:w="3308"/>
        <w:gridCol w:w="3308"/>
      </w:tblGrid>
      <w:tr w:rsidR="00ED1CF0" w:rsidRPr="0073367C" w14:paraId="223911C0" w14:textId="77777777" w:rsidTr="00A14BEA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vAlign w:val="center"/>
          </w:tcPr>
          <w:p w14:paraId="39FFB7C0" w14:textId="77777777" w:rsidR="00ED1CF0" w:rsidRPr="000F7742" w:rsidRDefault="00ED1CF0" w:rsidP="00ED1CF0">
            <w:pPr>
              <w:shd w:val="clear" w:color="auto" w:fill="1F497D"/>
              <w:spacing w:before="0" w:after="0"/>
              <w:jc w:val="left"/>
              <w:rPr>
                <w:rFonts w:ascii="Garamond" w:hAnsi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/>
                <w:sz w:val="24"/>
                <w:szCs w:val="24"/>
              </w:rPr>
              <w:t>S&amp;P 500 – CUADRO DE CONTROL</w:t>
            </w:r>
          </w:p>
        </w:tc>
      </w:tr>
      <w:tr w:rsidR="00ED1CF0" w:rsidRPr="0073367C" w14:paraId="42E29670" w14:textId="77777777" w:rsidTr="002F74A5">
        <w:trPr>
          <w:trHeight w:val="285"/>
        </w:trPr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AB3CB" w14:textId="77777777" w:rsidR="00ED1CF0" w:rsidRPr="0073367C" w:rsidRDefault="00ED1CF0" w:rsidP="00ED1CF0">
            <w:pPr>
              <w:spacing w:before="240" w:after="0"/>
              <w:jc w:val="center"/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t>Valuaciones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01955" w14:textId="77777777" w:rsidR="00ED1CF0" w:rsidRPr="0073367C" w:rsidRDefault="00AB2FFB" w:rsidP="00ED1CF0">
            <w:pPr>
              <w:spacing w:before="240" w:after="0"/>
              <w:jc w:val="center"/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t>Ganancias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8C0A1" w14:textId="77777777" w:rsidR="00ED1CF0" w:rsidRPr="0073367C" w:rsidRDefault="00AB2FFB" w:rsidP="00ED1CF0">
            <w:pPr>
              <w:spacing w:before="240" w:after="0"/>
              <w:jc w:val="center"/>
              <w:rPr>
                <w:sz w:val="20"/>
                <w:shd w:val="clear" w:color="auto" w:fill="FFFFFF"/>
              </w:rPr>
            </w:pPr>
            <w:r>
              <w:rPr>
                <w:sz w:val="20"/>
                <w:shd w:val="clear" w:color="auto" w:fill="FFFFFF"/>
              </w:rPr>
              <w:t>Tendencia</w:t>
            </w:r>
          </w:p>
        </w:tc>
      </w:tr>
      <w:tr w:rsidR="00ED1CF0" w:rsidRPr="0073367C" w14:paraId="61F33F86" w14:textId="77777777" w:rsidTr="00526CDF">
        <w:tblPrEx>
          <w:tblCellMar>
            <w:left w:w="70" w:type="dxa"/>
            <w:right w:w="70" w:type="dxa"/>
          </w:tblCellMar>
        </w:tblPrEx>
        <w:trPr>
          <w:trHeight w:val="170"/>
        </w:trPr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21823" w14:textId="029D9389" w:rsidR="00ED1CF0" w:rsidRPr="00DF6181" w:rsidRDefault="00EB0CCF" w:rsidP="00ED1CF0">
            <w:pPr>
              <w:spacing w:before="0" w:after="60"/>
              <w:jc w:val="center"/>
              <w:rPr>
                <w:sz w:val="20"/>
                <w:shd w:val="clear" w:color="auto" w:fill="FFFFFF"/>
                <w:lang w:val="es-ES"/>
              </w:rPr>
            </w:pPr>
            <w:r w:rsidRPr="00EB0CCF">
              <w:rPr>
                <w:noProof/>
                <w:sz w:val="20"/>
                <w:shd w:val="clear" w:color="auto" w:fill="FFFFFF"/>
                <w:lang w:eastAsia="es-AR"/>
              </w:rPr>
              <w:drawing>
                <wp:inline distT="0" distB="0" distL="0" distR="0" wp14:anchorId="22CA2F6C" wp14:editId="50C3CD08">
                  <wp:extent cx="1280795" cy="184785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4BB34" w14:textId="25756A2E" w:rsidR="00ED1CF0" w:rsidRPr="00DF6181" w:rsidRDefault="00EB0CCF" w:rsidP="00ED1CF0">
            <w:pPr>
              <w:spacing w:before="0" w:after="60"/>
              <w:jc w:val="center"/>
              <w:rPr>
                <w:sz w:val="20"/>
                <w:shd w:val="clear" w:color="auto" w:fill="FFFFFF"/>
                <w:lang w:val="es-ES"/>
              </w:rPr>
            </w:pPr>
            <w:r w:rsidRPr="00EB0CCF">
              <w:rPr>
                <w:noProof/>
                <w:sz w:val="20"/>
                <w:shd w:val="clear" w:color="auto" w:fill="FFFFFF"/>
                <w:lang w:eastAsia="es-AR"/>
              </w:rPr>
              <w:drawing>
                <wp:inline distT="0" distB="0" distL="0" distR="0" wp14:anchorId="2EB1C2DC" wp14:editId="5319F268">
                  <wp:extent cx="1280795" cy="1917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9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E6E1E" w14:textId="2BE3650E" w:rsidR="00ED1CF0" w:rsidRPr="00DF6181" w:rsidRDefault="00EB0CCF" w:rsidP="00ED1CF0">
            <w:pPr>
              <w:spacing w:before="0" w:after="60"/>
              <w:jc w:val="center"/>
              <w:rPr>
                <w:sz w:val="20"/>
                <w:shd w:val="clear" w:color="auto" w:fill="FFFFFF"/>
                <w:lang w:val="es-ES"/>
              </w:rPr>
            </w:pPr>
            <w:r w:rsidRPr="00EB0CCF">
              <w:rPr>
                <w:noProof/>
                <w:sz w:val="20"/>
                <w:shd w:val="clear" w:color="auto" w:fill="FFFFFF"/>
                <w:lang w:eastAsia="es-AR"/>
              </w:rPr>
              <w:drawing>
                <wp:inline distT="0" distB="0" distL="0" distR="0" wp14:anchorId="15E87CAE" wp14:editId="66783057">
                  <wp:extent cx="1280795" cy="19875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9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CF0" w:rsidRPr="00EA2877" w14:paraId="5D2BF076" w14:textId="77777777" w:rsidTr="00A14BEA">
        <w:trPr>
          <w:trHeight w:val="179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8F496" w14:textId="074F88A7" w:rsidR="00ED1CF0" w:rsidRPr="00EA2877" w:rsidRDefault="00ED1CF0" w:rsidP="00A77FBC">
            <w:pPr>
              <w:spacing w:before="0"/>
              <w:jc w:val="left"/>
              <w:rPr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  <w:shd w:val="clear" w:color="auto" w:fill="FFFFFF"/>
              </w:rPr>
              <w:t>Nota</w:t>
            </w:r>
            <w:r w:rsidR="008B0DC5">
              <w:rPr>
                <w:sz w:val="16"/>
                <w:szCs w:val="16"/>
                <w:shd w:val="clear" w:color="auto" w:fill="FFFFFF"/>
              </w:rPr>
              <w:t>s</w:t>
            </w:r>
            <w:r>
              <w:rPr>
                <w:sz w:val="16"/>
                <w:szCs w:val="16"/>
                <w:shd w:val="clear" w:color="auto" w:fill="FFFFFF"/>
              </w:rPr>
              <w:t xml:space="preserve">: </w:t>
            </w:r>
            <w:r w:rsidR="008B0DC5">
              <w:rPr>
                <w:sz w:val="16"/>
                <w:szCs w:val="16"/>
                <w:shd w:val="clear" w:color="auto" w:fill="FFFFFF"/>
              </w:rPr>
              <w:t>l</w:t>
            </w:r>
            <w:r>
              <w:rPr>
                <w:sz w:val="16"/>
                <w:szCs w:val="16"/>
                <w:shd w:val="clear" w:color="auto" w:fill="FFFFFF"/>
              </w:rPr>
              <w:t>a línea discontinua señala la posición del indicador la semana anterior, si difiere de la actual</w:t>
            </w:r>
            <w:r w:rsidR="008B0DC5">
              <w:rPr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ED1CF0" w:rsidRPr="0073367C" w14:paraId="51CD97F8" w14:textId="77777777" w:rsidTr="00A14BEA">
        <w:trPr>
          <w:trHeight w:val="1800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A9701" w14:textId="58286CA0" w:rsidR="00E8667C" w:rsidRPr="00DB2CF0" w:rsidRDefault="00E8667C" w:rsidP="004769D1">
            <w:pPr>
              <w:numPr>
                <w:ilvl w:val="0"/>
                <w:numId w:val="4"/>
              </w:numPr>
              <w:ind w:left="460" w:hanging="460"/>
              <w:rPr>
                <w:sz w:val="26"/>
                <w:szCs w:val="26"/>
              </w:rPr>
            </w:pPr>
          </w:p>
          <w:p w14:paraId="292F3DFE" w14:textId="3766B8C3" w:rsidR="004118FB" w:rsidRDefault="004118FB" w:rsidP="003B1D54">
            <w:pPr>
              <w:numPr>
                <w:ilvl w:val="0"/>
                <w:numId w:val="4"/>
              </w:numPr>
              <w:ind w:left="460" w:hanging="460"/>
              <w:rPr>
                <w:sz w:val="26"/>
                <w:szCs w:val="26"/>
              </w:rPr>
            </w:pPr>
          </w:p>
          <w:p w14:paraId="293ADA18" w14:textId="6DC723C7" w:rsidR="004118FB" w:rsidRPr="00E645E4" w:rsidRDefault="004118FB" w:rsidP="003B1D54">
            <w:pPr>
              <w:numPr>
                <w:ilvl w:val="0"/>
                <w:numId w:val="4"/>
              </w:numPr>
              <w:ind w:left="460" w:hanging="460"/>
              <w:rPr>
                <w:sz w:val="26"/>
                <w:szCs w:val="26"/>
              </w:rPr>
            </w:pPr>
          </w:p>
        </w:tc>
      </w:tr>
      <w:tr w:rsidR="00A14BEA" w:rsidRPr="0073367C" w14:paraId="1643D686" w14:textId="77777777" w:rsidTr="00A14BEA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vAlign w:val="center"/>
          </w:tcPr>
          <w:p w14:paraId="574BE959" w14:textId="77777777" w:rsidR="00A14BEA" w:rsidRPr="000F7742" w:rsidRDefault="002F74A5" w:rsidP="0073367C">
            <w:pPr>
              <w:shd w:val="clear" w:color="auto" w:fill="1F497D"/>
              <w:spacing w:before="0" w:after="0"/>
              <w:jc w:val="left"/>
              <w:rPr>
                <w:rFonts w:ascii="Garamond" w:hAnsi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/>
                <w:sz w:val="24"/>
                <w:szCs w:val="24"/>
              </w:rPr>
              <w:t>RESUMEN EJECUTIVO</w:t>
            </w:r>
          </w:p>
        </w:tc>
      </w:tr>
      <w:tr w:rsidR="00A14BEA" w:rsidRPr="0073367C" w14:paraId="0E3FDA75" w14:textId="77777777" w:rsidTr="00A14BEA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98854" w14:textId="4A3EDF63" w:rsidR="002F01D7" w:rsidRPr="00440860" w:rsidRDefault="002F01D7" w:rsidP="007A1D7C">
            <w:pPr>
              <w:spacing w:before="240" w:after="240"/>
              <w:rPr>
                <w:sz w:val="28"/>
                <w:lang w:val="es-ES"/>
              </w:rPr>
            </w:pPr>
          </w:p>
        </w:tc>
      </w:tr>
    </w:tbl>
    <w:p w14:paraId="7261A322" w14:textId="26BC45E4" w:rsidR="00D854BD" w:rsidRDefault="00D854BD" w:rsidP="00D854BD"/>
    <w:p w14:paraId="1FD1FD18" w14:textId="55E73D36" w:rsidR="00D854BD" w:rsidRDefault="00D854BD" w:rsidP="00D854BD"/>
    <w:p w14:paraId="23242300" w14:textId="77777777" w:rsidR="003742AE" w:rsidRPr="00D854BD" w:rsidRDefault="003742AE" w:rsidP="00D854BD">
      <w:pPr>
        <w:sectPr w:rsidR="003742AE" w:rsidRPr="00D854BD" w:rsidSect="0059776D">
          <w:headerReference w:type="default" r:id="rId14"/>
          <w:type w:val="continuous"/>
          <w:pgSz w:w="12240" w:h="15840" w:code="1"/>
          <w:pgMar w:top="1559" w:right="1134" w:bottom="1134" w:left="1418" w:header="624" w:footer="522" w:gutter="0"/>
          <w:cols w:space="709"/>
          <w:titlePg/>
          <w:docGrid w:linePitch="299"/>
        </w:sectPr>
      </w:pPr>
    </w:p>
    <w:tbl>
      <w:tblPr>
        <w:tblW w:w="10481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600"/>
        <w:gridCol w:w="6431"/>
      </w:tblGrid>
      <w:tr w:rsidR="00655E4F" w:rsidRPr="00657687" w14:paraId="6CF81C52" w14:textId="77777777" w:rsidTr="00D854BD">
        <w:trPr>
          <w:gridBefore w:val="1"/>
          <w:wBefore w:w="450" w:type="dxa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493042" w14:textId="77777777" w:rsidR="00655E4F" w:rsidRPr="00657687" w:rsidRDefault="00655E4F" w:rsidP="0079235E">
            <w:pPr>
              <w:spacing w:before="0"/>
              <w:rPr>
                <w:sz w:val="20"/>
              </w:rPr>
            </w:pPr>
          </w:p>
        </w:tc>
        <w:tc>
          <w:tcPr>
            <w:tcW w:w="6431" w:type="dxa"/>
            <w:tcBorders>
              <w:top w:val="nil"/>
              <w:left w:val="nil"/>
              <w:bottom w:val="nil"/>
              <w:right w:val="nil"/>
            </w:tcBorders>
          </w:tcPr>
          <w:p w14:paraId="71CD530D" w14:textId="5B8EAC1C" w:rsidR="00655E4F" w:rsidRPr="00DB2CF0" w:rsidRDefault="002E5F64" w:rsidP="00B374CB">
            <w:pPr>
              <w:spacing w:before="0"/>
              <w:rPr>
                <w:b/>
                <w:sz w:val="30"/>
                <w:szCs w:val="30"/>
                <w:lang w:val="en-CA"/>
              </w:rPr>
            </w:pPr>
            <w:r>
              <w:rPr>
                <w:b/>
                <w:sz w:val="30"/>
                <w:szCs w:val="30"/>
              </w:rPr>
              <w:t>RESULTADOS DE LA SEMANA</w:t>
            </w:r>
          </w:p>
        </w:tc>
      </w:tr>
      <w:tr w:rsidR="002349B9" w:rsidRPr="00657687" w14:paraId="59DB12F9" w14:textId="77777777" w:rsidTr="00D854BD">
        <w:tc>
          <w:tcPr>
            <w:tcW w:w="4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4FAAA" w14:textId="21122C10" w:rsidR="002349B9" w:rsidRDefault="002349B9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4FC3AA81" w14:textId="3F35C277" w:rsidR="00FC1CB0" w:rsidRPr="00FC1CB0" w:rsidRDefault="00FC1CB0" w:rsidP="00FC1CB0">
            <w:pPr>
              <w:spacing w:before="0" w:after="0"/>
              <w:jc w:val="center"/>
              <w:rPr>
                <w:b/>
                <w:sz w:val="23"/>
                <w:szCs w:val="23"/>
              </w:rPr>
            </w:pPr>
            <w:r w:rsidRPr="00FC1CB0">
              <w:rPr>
                <w:b/>
                <w:sz w:val="23"/>
                <w:szCs w:val="23"/>
              </w:rPr>
              <w:t xml:space="preserve">Consumo de cobre por sector en 2019 </w:t>
            </w:r>
          </w:p>
          <w:p w14:paraId="7D7D568F" w14:textId="6576624C" w:rsidR="00FC1CB0" w:rsidRDefault="00FC1CB0" w:rsidP="00FC1CB0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FC1CB0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ectores</w:t>
            </w:r>
            <w:r w:rsidRPr="00FC1CB0">
              <w:rPr>
                <w:sz w:val="16"/>
                <w:szCs w:val="16"/>
              </w:rPr>
              <w:t xml:space="preserve"> fuera del sector de descarbonización resaltados en rojo</w:t>
            </w:r>
          </w:p>
          <w:p w14:paraId="09A5E96F" w14:textId="77777777" w:rsidR="00FC1CB0" w:rsidRPr="00FC1CB0" w:rsidRDefault="00FC1CB0" w:rsidP="00FC1CB0">
            <w:pPr>
              <w:spacing w:before="0" w:after="0"/>
              <w:jc w:val="center"/>
              <w:rPr>
                <w:sz w:val="16"/>
                <w:szCs w:val="16"/>
              </w:rPr>
            </w:pPr>
          </w:p>
          <w:p w14:paraId="4C6E94B3" w14:textId="7AC274F2" w:rsidR="00FC1CB0" w:rsidRDefault="00FC1CB0" w:rsidP="00FC1CB0">
            <w:pPr>
              <w:spacing w:before="0" w:after="0"/>
              <w:jc w:val="center"/>
              <w:rPr>
                <w:b/>
                <w:sz w:val="20"/>
              </w:rPr>
            </w:pPr>
            <w:r w:rsidRPr="00FC1CB0">
              <w:rPr>
                <w:b/>
                <w:noProof/>
                <w:sz w:val="20"/>
                <w:lang w:eastAsia="es-AR"/>
              </w:rPr>
              <w:drawing>
                <wp:inline distT="0" distB="0" distL="0" distR="0" wp14:anchorId="110D68F2" wp14:editId="4A7FB74C">
                  <wp:extent cx="2434590" cy="2018030"/>
                  <wp:effectExtent l="0" t="0" r="3810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B6E78" w14:textId="3573E065" w:rsidR="00FC1CB0" w:rsidRDefault="00FC1CB0" w:rsidP="00FC1CB0">
            <w:pPr>
              <w:spacing w:before="0"/>
              <w:jc w:val="center"/>
              <w:rPr>
                <w:i/>
                <w:sz w:val="18"/>
                <w:szCs w:val="18"/>
                <w:lang w:val="es-US"/>
              </w:rPr>
            </w:pPr>
            <w:r w:rsidRPr="00963F16">
              <w:rPr>
                <w:i/>
                <w:sz w:val="18"/>
                <w:szCs w:val="18"/>
              </w:rPr>
              <w:t>Fuente:</w:t>
            </w:r>
            <w:r w:rsidRPr="00963F16">
              <w:rPr>
                <w:rFonts w:asciiTheme="minorHAnsi" w:eastAsiaTheme="minorHAnsi" w:hAnsiTheme="minorHAnsi" w:cstheme="minorBidi"/>
                <w:sz w:val="18"/>
                <w:szCs w:val="18"/>
                <w:lang w:val="es-US" w:eastAsia="en-US"/>
              </w:rPr>
              <w:t xml:space="preserve"> </w:t>
            </w:r>
            <w:r w:rsidRPr="00FC1CB0">
              <w:rPr>
                <w:i/>
                <w:sz w:val="18"/>
                <w:szCs w:val="18"/>
              </w:rPr>
              <w:t xml:space="preserve">CITI </w:t>
            </w:r>
            <w:proofErr w:type="spellStart"/>
            <w:r w:rsidRPr="00FC1CB0">
              <w:rPr>
                <w:i/>
                <w:sz w:val="18"/>
                <w:szCs w:val="18"/>
              </w:rPr>
              <w:t>Research</w:t>
            </w:r>
            <w:proofErr w:type="spellEnd"/>
            <w:r w:rsidRPr="00FC1CB0">
              <w:rPr>
                <w:i/>
                <w:sz w:val="18"/>
                <w:szCs w:val="18"/>
              </w:rPr>
              <w:t xml:space="preserve"> en base a ICA</w:t>
            </w:r>
          </w:p>
          <w:p w14:paraId="1B8A2159" w14:textId="172AA9DA" w:rsidR="00FC1CB0" w:rsidRDefault="00FC1CB0" w:rsidP="00FC1CB0">
            <w:pPr>
              <w:spacing w:before="0"/>
              <w:jc w:val="center"/>
              <w:rPr>
                <w:i/>
                <w:sz w:val="18"/>
                <w:szCs w:val="18"/>
                <w:lang w:val="es-US"/>
              </w:rPr>
            </w:pPr>
          </w:p>
          <w:p w14:paraId="27647349" w14:textId="6E1B09F9" w:rsidR="00FC1CB0" w:rsidRDefault="00FC1CB0" w:rsidP="00FC1CB0">
            <w:pPr>
              <w:spacing w:before="0"/>
              <w:jc w:val="center"/>
              <w:rPr>
                <w:i/>
                <w:sz w:val="18"/>
                <w:szCs w:val="18"/>
              </w:rPr>
            </w:pPr>
          </w:p>
          <w:p w14:paraId="1E5A82DB" w14:textId="4D265102" w:rsidR="00FC1CB0" w:rsidRDefault="00FC1CB0" w:rsidP="00FC1CB0">
            <w:pPr>
              <w:spacing w:before="0"/>
              <w:jc w:val="center"/>
              <w:rPr>
                <w:i/>
                <w:sz w:val="18"/>
                <w:szCs w:val="18"/>
              </w:rPr>
            </w:pPr>
          </w:p>
          <w:p w14:paraId="51FE8ACD" w14:textId="2B6E0651" w:rsidR="00FC1CB0" w:rsidRDefault="00FC1CB0" w:rsidP="00FC1CB0">
            <w:pPr>
              <w:spacing w:before="0"/>
              <w:jc w:val="center"/>
              <w:rPr>
                <w:i/>
                <w:sz w:val="18"/>
                <w:szCs w:val="18"/>
              </w:rPr>
            </w:pPr>
          </w:p>
          <w:p w14:paraId="36F51709" w14:textId="77777777" w:rsidR="00FC1CB0" w:rsidRPr="00FC1CB0" w:rsidRDefault="00FC1CB0" w:rsidP="00FC1CB0">
            <w:pPr>
              <w:spacing w:before="0"/>
              <w:jc w:val="center"/>
              <w:rPr>
                <w:i/>
                <w:sz w:val="18"/>
                <w:szCs w:val="18"/>
              </w:rPr>
            </w:pPr>
          </w:p>
          <w:p w14:paraId="74F2D3C2" w14:textId="6C106E14" w:rsidR="00FC1CB0" w:rsidRDefault="00FC1CB0" w:rsidP="00FC1CB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18"/>
                <w:szCs w:val="18"/>
                <w:lang w:val="es-ES"/>
              </w:rPr>
              <w:t>Titulo</w:t>
            </w:r>
          </w:p>
          <w:p w14:paraId="22B2A1DB" w14:textId="7FE40C81" w:rsidR="00FC1CB0" w:rsidRPr="00FC1CB0" w:rsidRDefault="00FC1CB0" w:rsidP="00FC1CB0">
            <w:pPr>
              <w:spacing w:before="0" w:after="0"/>
              <w:jc w:val="center"/>
              <w:rPr>
                <w:b/>
                <w:sz w:val="20"/>
              </w:rPr>
            </w:pPr>
            <w:r w:rsidRPr="00FC1CB0">
              <w:rPr>
                <w:rFonts w:asciiTheme="minorHAnsi" w:eastAsiaTheme="minorHAnsi" w:hAnsiTheme="minorHAnsi" w:cstheme="minorBidi"/>
                <w:noProof/>
                <w:sz w:val="18"/>
                <w:szCs w:val="18"/>
                <w:lang w:eastAsia="es-AR"/>
              </w:rPr>
              <w:drawing>
                <wp:inline distT="0" distB="0" distL="0" distR="0" wp14:anchorId="6AC0B6FC" wp14:editId="7E38C0C7">
                  <wp:extent cx="2434590" cy="1368425"/>
                  <wp:effectExtent l="0" t="0" r="3810" b="317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63F16">
              <w:rPr>
                <w:rFonts w:asciiTheme="minorHAnsi" w:eastAsiaTheme="minorHAnsi" w:hAnsiTheme="minorHAnsi" w:cstheme="minorBidi"/>
                <w:sz w:val="18"/>
                <w:szCs w:val="18"/>
                <w:lang w:val="es-US" w:eastAsia="en-US"/>
              </w:rPr>
              <w:t xml:space="preserve"> </w:t>
            </w:r>
          </w:p>
          <w:p w14:paraId="14AEDFDE" w14:textId="7D3E98EE" w:rsidR="00FC1CB0" w:rsidRPr="00FC1CB0" w:rsidRDefault="00FC1CB0" w:rsidP="00B374CB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FC1CB0">
              <w:rPr>
                <w:i/>
                <w:sz w:val="18"/>
                <w:szCs w:val="18"/>
              </w:rPr>
              <w:t xml:space="preserve">Fuente: </w:t>
            </w:r>
            <w:proofErr w:type="spellStart"/>
            <w:r w:rsidRPr="00FC1CB0">
              <w:rPr>
                <w:i/>
                <w:sz w:val="18"/>
                <w:szCs w:val="18"/>
              </w:rPr>
              <w:t>Delphos</w:t>
            </w:r>
            <w:proofErr w:type="spellEnd"/>
            <w:r w:rsidRPr="00FC1CB0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FC1CB0">
              <w:rPr>
                <w:i/>
                <w:sz w:val="18"/>
                <w:szCs w:val="18"/>
              </w:rPr>
              <w:t>Investment</w:t>
            </w:r>
            <w:proofErr w:type="spellEnd"/>
            <w:r w:rsidRPr="00FC1CB0">
              <w:rPr>
                <w:i/>
                <w:sz w:val="18"/>
                <w:szCs w:val="18"/>
              </w:rPr>
              <w:t xml:space="preserve"> en base a </w:t>
            </w:r>
            <w:proofErr w:type="spellStart"/>
            <w:r w:rsidRPr="00FC1CB0">
              <w:rPr>
                <w:i/>
                <w:sz w:val="18"/>
                <w:szCs w:val="18"/>
              </w:rPr>
              <w:t>Yahoo</w:t>
            </w:r>
            <w:proofErr w:type="spellEnd"/>
            <w:r w:rsidRPr="00FC1CB0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FC1CB0">
              <w:rPr>
                <w:i/>
                <w:sz w:val="18"/>
                <w:szCs w:val="18"/>
              </w:rPr>
              <w:t>Finance</w:t>
            </w:r>
            <w:proofErr w:type="spellEnd"/>
            <w:r w:rsidRPr="00FC1CB0">
              <w:rPr>
                <w:i/>
                <w:sz w:val="18"/>
                <w:szCs w:val="18"/>
              </w:rPr>
              <w:t xml:space="preserve"> y FRED</w:t>
            </w:r>
            <w:r>
              <w:rPr>
                <w:i/>
                <w:sz w:val="18"/>
                <w:szCs w:val="18"/>
              </w:rPr>
              <w:t>.</w:t>
            </w:r>
          </w:p>
          <w:p w14:paraId="170EF31C" w14:textId="0BB7814B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19E7C9AE" w14:textId="5D191BD0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274CE2FA" w14:textId="19E51396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042D1D5D" w14:textId="0EA53AF3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73D34208" w14:textId="57AF294D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75D05CAA" w14:textId="04CE7D6D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00AE8110" w14:textId="0DB34C14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327A4BD2" w14:textId="52C0E94E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4DC34953" w14:textId="40B10116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618384DA" w14:textId="01BFFFD4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3DC6102D" w14:textId="0C4AD3B2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2DA7FC47" w14:textId="22A91DD2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4CE9C699" w14:textId="0EE785AA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62FF7CD8" w14:textId="69D229B2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3E967325" w14:textId="3ECF1872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29E9A42F" w14:textId="2814001A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2254A776" w14:textId="78B12C50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3FFDF884" w14:textId="73D8490F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4B77B883" w14:textId="0C8F3D6C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6E33FF1F" w14:textId="67DD1CC6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28A5D73C" w14:textId="3E6F94A9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59A6DD9A" w14:textId="73F6B907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5B2529C4" w14:textId="72CE39B7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6C890FA0" w14:textId="32472F7D" w:rsidR="001B5120" w:rsidRDefault="001B5120" w:rsidP="00B374CB">
            <w:pPr>
              <w:spacing w:before="0" w:after="0"/>
              <w:jc w:val="center"/>
              <w:rPr>
                <w:b/>
                <w:sz w:val="26"/>
                <w:szCs w:val="26"/>
                <w:lang w:val="es-ES"/>
              </w:rPr>
            </w:pPr>
          </w:p>
          <w:p w14:paraId="536E641E" w14:textId="14F2D0A5" w:rsidR="001B5120" w:rsidRPr="00FC1CB0" w:rsidRDefault="001B5120" w:rsidP="00FC1CB0">
            <w:pPr>
              <w:spacing w:before="0"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31" w:type="dxa"/>
            <w:tcBorders>
              <w:top w:val="nil"/>
              <w:left w:val="nil"/>
              <w:bottom w:val="nil"/>
              <w:right w:val="nil"/>
            </w:tcBorders>
          </w:tcPr>
          <w:p w14:paraId="09B0AC9F" w14:textId="6DB831B6" w:rsidR="002349B9" w:rsidRPr="00B374CB" w:rsidRDefault="002349B9" w:rsidP="00FC1CB0">
            <w:pPr>
              <w:spacing w:before="240" w:after="240"/>
              <w:rPr>
                <w:bCs/>
                <w:sz w:val="28"/>
                <w:szCs w:val="28"/>
                <w:lang w:val="es-ES"/>
              </w:rPr>
            </w:pPr>
            <w:bookmarkStart w:id="0" w:name="_GoBack"/>
            <w:bookmarkEnd w:id="0"/>
          </w:p>
        </w:tc>
      </w:tr>
      <w:tr w:rsidR="002349B9" w:rsidRPr="008C2736" w14:paraId="5E28C87F" w14:textId="77777777" w:rsidTr="001B5120">
        <w:trPr>
          <w:gridBefore w:val="1"/>
          <w:wBefore w:w="450" w:type="dxa"/>
        </w:trPr>
        <w:tc>
          <w:tcPr>
            <w:tcW w:w="100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93C4A" w14:textId="65892851" w:rsidR="002349B9" w:rsidRDefault="002349B9" w:rsidP="006A319A">
            <w:pPr>
              <w:spacing w:before="0"/>
              <w:jc w:val="center"/>
              <w:rPr>
                <w:bCs/>
                <w:sz w:val="28"/>
                <w:szCs w:val="28"/>
              </w:rPr>
            </w:pPr>
          </w:p>
          <w:p w14:paraId="50C403E4" w14:textId="08CFD671" w:rsidR="002349B9" w:rsidRPr="00962487" w:rsidRDefault="002349B9" w:rsidP="009E7FA8">
            <w:pPr>
              <w:jc w:val="center"/>
              <w:rPr>
                <w:bCs/>
                <w:sz w:val="28"/>
                <w:szCs w:val="28"/>
              </w:rPr>
            </w:pPr>
          </w:p>
          <w:p w14:paraId="15905C12" w14:textId="50CB2CB4" w:rsidR="002349B9" w:rsidRPr="008C2736" w:rsidRDefault="002349B9" w:rsidP="009E7FA8">
            <w:pPr>
              <w:spacing w:after="0"/>
              <w:jc w:val="center"/>
              <w:rPr>
                <w:bCs/>
                <w:i/>
                <w:sz w:val="28"/>
                <w:szCs w:val="28"/>
                <w:lang w:val="es-ES"/>
              </w:rPr>
            </w:pPr>
          </w:p>
        </w:tc>
      </w:tr>
    </w:tbl>
    <w:p w14:paraId="43E264C3" w14:textId="46EAD72F" w:rsidR="00FF3572" w:rsidRDefault="00FF3572"/>
    <w:tbl>
      <w:tblPr>
        <w:tblW w:w="9918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22"/>
        <w:gridCol w:w="1876"/>
        <w:gridCol w:w="1877"/>
        <w:gridCol w:w="1877"/>
        <w:gridCol w:w="1733"/>
        <w:gridCol w:w="1733"/>
      </w:tblGrid>
      <w:tr w:rsidR="00FF3572" w:rsidRPr="00D90C82" w14:paraId="46A6FC40" w14:textId="77777777" w:rsidTr="00FF3572">
        <w:trPr>
          <w:cantSplit/>
          <w:trHeight w:hRule="exact" w:val="504"/>
        </w:trPr>
        <w:tc>
          <w:tcPr>
            <w:tcW w:w="9918" w:type="dxa"/>
            <w:gridSpan w:val="6"/>
            <w:shd w:val="clear" w:color="auto" w:fill="002060"/>
            <w:noWrap/>
            <w:tcMar>
              <w:bottom w:w="58" w:type="dxa"/>
            </w:tcMar>
            <w:vAlign w:val="bottom"/>
          </w:tcPr>
          <w:tbl>
            <w:tblPr>
              <w:tblW w:w="9918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822"/>
              <w:gridCol w:w="1876"/>
              <w:gridCol w:w="1877"/>
              <w:gridCol w:w="1877"/>
              <w:gridCol w:w="1733"/>
              <w:gridCol w:w="1733"/>
            </w:tblGrid>
            <w:tr w:rsidR="000C7E45" w:rsidRPr="00D90C82" w14:paraId="36D31F0A" w14:textId="77777777" w:rsidTr="009569EA">
              <w:trPr>
                <w:cantSplit/>
                <w:trHeight w:hRule="exact" w:val="504"/>
              </w:trPr>
              <w:tc>
                <w:tcPr>
                  <w:tcW w:w="9918" w:type="dxa"/>
                  <w:gridSpan w:val="6"/>
                  <w:shd w:val="clear" w:color="auto" w:fill="002060"/>
                  <w:noWrap/>
                  <w:tcMar>
                    <w:bottom w:w="58" w:type="dxa"/>
                  </w:tcMar>
                  <w:vAlign w:val="bottom"/>
                </w:tcPr>
                <w:p w14:paraId="02CE139D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  <w:color w:val="FFFFFF" w:themeColor="background1"/>
                    </w:rPr>
                  </w:pPr>
                  <w:r w:rsidRPr="00D90C82">
                    <w:rPr>
                      <w:rFonts w:ascii="Times New Roman" w:hAnsi="Times New Roman"/>
                      <w:color w:val="FFFFFF" w:themeColor="background1"/>
                      <w:sz w:val="32"/>
                    </w:rPr>
                    <w:t>Calendario Económico</w:t>
                  </w:r>
                </w:p>
              </w:tc>
            </w:tr>
            <w:tr w:rsidR="000C7E45" w:rsidRPr="00D90C82" w14:paraId="71793D15" w14:textId="77777777" w:rsidTr="009569EA">
              <w:trPr>
                <w:cantSplit/>
                <w:trHeight w:hRule="exact" w:val="259"/>
              </w:trPr>
              <w:tc>
                <w:tcPr>
                  <w:tcW w:w="822" w:type="dxa"/>
                  <w:shd w:val="clear" w:color="auto" w:fill="002060"/>
                  <w:noWrap/>
                  <w:tcMar>
                    <w:bottom w:w="58" w:type="dxa"/>
                  </w:tcMar>
                  <w:vAlign w:val="bottom"/>
                </w:tcPr>
                <w:p w14:paraId="5C5A9488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</w:rPr>
                  </w:pPr>
                  <w:r w:rsidRPr="00D90C82">
                    <w:rPr>
                      <w:rFonts w:ascii="Times New Roman" w:hAnsi="Times New Roman"/>
                    </w:rPr>
                    <w:br w:type="page"/>
                  </w:r>
                  <w:r w:rsidRPr="00D90C82">
                    <w:rPr>
                      <w:rFonts w:ascii="Times New Roman" w:hAnsi="Times New Roman"/>
                    </w:rPr>
                    <w:br w:type="page"/>
                    <w:t>Países</w:t>
                  </w:r>
                </w:p>
                <w:p w14:paraId="1A010458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</w:rPr>
                  </w:pPr>
                </w:p>
                <w:p w14:paraId="34105CC4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76" w:type="dxa"/>
                  <w:shd w:val="clear" w:color="auto" w:fill="002060"/>
                  <w:noWrap/>
                  <w:tcMar>
                    <w:bottom w:w="58" w:type="dxa"/>
                  </w:tcMar>
                  <w:vAlign w:val="bottom"/>
                </w:tcPr>
                <w:p w14:paraId="72C398E7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  <w:color w:val="FFFFFF" w:themeColor="background1"/>
                    </w:rPr>
                  </w:pPr>
                  <w:r w:rsidRPr="00D90C82">
                    <w:rPr>
                      <w:rFonts w:ascii="Times New Roman" w:hAnsi="Times New Roman"/>
                      <w:color w:val="FFFFFF" w:themeColor="background1"/>
                    </w:rPr>
                    <w:t>Lunes</w:t>
                  </w:r>
                </w:p>
              </w:tc>
              <w:tc>
                <w:tcPr>
                  <w:tcW w:w="1877" w:type="dxa"/>
                  <w:shd w:val="clear" w:color="auto" w:fill="002060"/>
                  <w:noWrap/>
                  <w:tcMar>
                    <w:bottom w:w="58" w:type="dxa"/>
                  </w:tcMar>
                  <w:vAlign w:val="bottom"/>
                </w:tcPr>
                <w:p w14:paraId="54CDBD9E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  <w:color w:val="FFFFFF" w:themeColor="background1"/>
                    </w:rPr>
                  </w:pPr>
                  <w:r w:rsidRPr="00D90C82">
                    <w:rPr>
                      <w:rFonts w:ascii="Times New Roman" w:hAnsi="Times New Roman"/>
                      <w:color w:val="FFFFFF" w:themeColor="background1"/>
                    </w:rPr>
                    <w:t>Martes</w:t>
                  </w:r>
                </w:p>
              </w:tc>
              <w:tc>
                <w:tcPr>
                  <w:tcW w:w="1877" w:type="dxa"/>
                  <w:shd w:val="clear" w:color="auto" w:fill="002060"/>
                  <w:noWrap/>
                  <w:tcMar>
                    <w:bottom w:w="58" w:type="dxa"/>
                  </w:tcMar>
                  <w:vAlign w:val="bottom"/>
                </w:tcPr>
                <w:p w14:paraId="73F03F38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  <w:color w:val="FFFFFF" w:themeColor="background1"/>
                    </w:rPr>
                  </w:pPr>
                  <w:r w:rsidRPr="00D90C82">
                    <w:rPr>
                      <w:rFonts w:ascii="Times New Roman" w:hAnsi="Times New Roman"/>
                      <w:color w:val="FFFFFF" w:themeColor="background1"/>
                    </w:rPr>
                    <w:t>Miércoles</w:t>
                  </w:r>
                </w:p>
              </w:tc>
              <w:tc>
                <w:tcPr>
                  <w:tcW w:w="1733" w:type="dxa"/>
                  <w:shd w:val="clear" w:color="auto" w:fill="002060"/>
                  <w:noWrap/>
                  <w:tcMar>
                    <w:bottom w:w="58" w:type="dxa"/>
                  </w:tcMar>
                  <w:vAlign w:val="bottom"/>
                </w:tcPr>
                <w:p w14:paraId="62B64BF7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  <w:color w:val="FFFFFF" w:themeColor="background1"/>
                    </w:rPr>
                  </w:pPr>
                  <w:r w:rsidRPr="00D90C82">
                    <w:rPr>
                      <w:rFonts w:ascii="Times New Roman" w:hAnsi="Times New Roman"/>
                      <w:color w:val="FFFFFF" w:themeColor="background1"/>
                    </w:rPr>
                    <w:t>Jueves</w:t>
                  </w:r>
                </w:p>
              </w:tc>
              <w:tc>
                <w:tcPr>
                  <w:tcW w:w="1733" w:type="dxa"/>
                  <w:shd w:val="clear" w:color="auto" w:fill="002060"/>
                  <w:noWrap/>
                  <w:tcMar>
                    <w:bottom w:w="58" w:type="dxa"/>
                  </w:tcMar>
                  <w:vAlign w:val="bottom"/>
                </w:tcPr>
                <w:p w14:paraId="068D300E" w14:textId="77777777" w:rsidR="000C7E45" w:rsidRPr="00D90C82" w:rsidRDefault="000C7E45" w:rsidP="000C7E45">
                  <w:pPr>
                    <w:pStyle w:val="Weekdays"/>
                    <w:rPr>
                      <w:rFonts w:ascii="Times New Roman" w:hAnsi="Times New Roman"/>
                      <w:color w:val="FFFFFF" w:themeColor="background1"/>
                    </w:rPr>
                  </w:pPr>
                  <w:r w:rsidRPr="00D90C82">
                    <w:rPr>
                      <w:rFonts w:ascii="Times New Roman" w:hAnsi="Times New Roman"/>
                      <w:color w:val="FFFFFF" w:themeColor="background1"/>
                    </w:rPr>
                    <w:t>Viernes</w:t>
                  </w:r>
                </w:p>
              </w:tc>
            </w:tr>
            <w:tr w:rsidR="000C7E45" w:rsidRPr="00D90C82" w14:paraId="0A4653F1" w14:textId="77777777" w:rsidTr="009569EA">
              <w:trPr>
                <w:cantSplit/>
                <w:trHeight w:hRule="exact" w:val="1584"/>
              </w:trPr>
              <w:tc>
                <w:tcPr>
                  <w:tcW w:w="822" w:type="dxa"/>
                  <w:shd w:val="clear" w:color="auto" w:fill="auto"/>
                </w:tcPr>
                <w:p w14:paraId="53295114" w14:textId="77777777" w:rsidR="000C7E45" w:rsidRPr="00D90C82" w:rsidRDefault="000C7E45" w:rsidP="000C7E45">
                  <w:pPr>
                    <w:pStyle w:val="Dates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14:paraId="73184F3E" w14:textId="77777777" w:rsidR="000C7E45" w:rsidRPr="00D90C82" w:rsidRDefault="000C7E45" w:rsidP="000C7E45">
                  <w:pPr>
                    <w:pStyle w:val="Date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0C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USA</w:t>
                  </w:r>
                </w:p>
              </w:tc>
              <w:tc>
                <w:tcPr>
                  <w:tcW w:w="1876" w:type="dxa"/>
                  <w:shd w:val="clear" w:color="auto" w:fill="auto"/>
                </w:tcPr>
                <w:p w14:paraId="06A4FBB5" w14:textId="77777777" w:rsidR="000C7E45" w:rsidRPr="00D90C82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77" w:type="dxa"/>
                  <w:shd w:val="clear" w:color="auto" w:fill="auto"/>
                </w:tcPr>
                <w:p w14:paraId="0258FDBD" w14:textId="77777777" w:rsid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ISM PMI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Manuf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  <w:p w14:paraId="2B0AEADE" w14:textId="77777777" w:rsidR="000C7E45" w:rsidRPr="00D90C82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3794F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Est</w:t>
                  </w:r>
                  <w:proofErr w:type="spellEnd"/>
                  <w:r w:rsidRPr="0023794F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 xml:space="preserve"> 57.9</w:t>
                  </w:r>
                </w:p>
              </w:tc>
              <w:tc>
                <w:tcPr>
                  <w:tcW w:w="1877" w:type="dxa"/>
                  <w:shd w:val="clear" w:color="auto" w:fill="auto"/>
                </w:tcPr>
                <w:p w14:paraId="5CE10AC2" w14:textId="77777777" w:rsidR="000C7E45" w:rsidRPr="00A870D7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s-MX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Var. Empleos no Agrícolas ADP (feb)</w:t>
                  </w:r>
                </w:p>
              </w:tc>
              <w:tc>
                <w:tcPr>
                  <w:tcW w:w="1733" w:type="dxa"/>
                  <w:shd w:val="clear" w:color="auto" w:fill="auto"/>
                </w:tcPr>
                <w:p w14:paraId="4066A997" w14:textId="77777777" w:rsidR="000C7E45" w:rsidRP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0C7E45">
                    <w:rPr>
                      <w:rFonts w:ascii="Times New Roman" w:hAnsi="Times New Roman" w:cs="Times New Roman"/>
                      <w:b/>
                      <w:lang w:val="en-US"/>
                    </w:rPr>
                    <w:t>ISM PMI no Manuf.</w:t>
                  </w:r>
                </w:p>
                <w:p w14:paraId="3D84DC06" w14:textId="77777777" w:rsidR="000C7E45" w:rsidRP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C7E45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 xml:space="preserve">Est. 60.5 </w:t>
                  </w:r>
                </w:p>
              </w:tc>
              <w:tc>
                <w:tcPr>
                  <w:tcW w:w="1733" w:type="dxa"/>
                  <w:shd w:val="clear" w:color="auto" w:fill="auto"/>
                </w:tcPr>
                <w:p w14:paraId="2CF9A7AD" w14:textId="77777777" w:rsid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Informe de Empleo (feb)</w:t>
                  </w:r>
                </w:p>
                <w:p w14:paraId="00A254FE" w14:textId="77777777" w:rsid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NFP:</w:t>
                  </w:r>
                </w:p>
                <w:p w14:paraId="6EA35023" w14:textId="77777777" w:rsidR="000C7E45" w:rsidRPr="008F0EB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23794F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Est</w:t>
                  </w:r>
                  <w:proofErr w:type="spellEnd"/>
                  <w:r w:rsidRPr="0023794F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 xml:space="preserve"> 438K</w:t>
                  </w:r>
                </w:p>
              </w:tc>
            </w:tr>
            <w:tr w:rsidR="000C7E45" w:rsidRPr="00D90C82" w14:paraId="12A9AF52" w14:textId="77777777" w:rsidTr="009569EA">
              <w:trPr>
                <w:cantSplit/>
                <w:trHeight w:hRule="exact" w:val="1584"/>
              </w:trPr>
              <w:tc>
                <w:tcPr>
                  <w:tcW w:w="822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470F01EB" w14:textId="77777777" w:rsidR="000C7E45" w:rsidRPr="00D90C82" w:rsidRDefault="000C7E45" w:rsidP="000C7E45">
                  <w:pPr>
                    <w:pStyle w:val="Date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25C96525" w14:textId="77777777" w:rsidR="000C7E45" w:rsidRPr="00D90C82" w:rsidRDefault="000C7E45" w:rsidP="000C7E45">
                  <w:pPr>
                    <w:pStyle w:val="Date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14:paraId="3A3A0EF0" w14:textId="77777777" w:rsidR="000C7E45" w:rsidRPr="00D90C82" w:rsidRDefault="000C7E45" w:rsidP="000C7E45">
                  <w:pPr>
                    <w:pStyle w:val="Dates"/>
                    <w:jc w:val="center"/>
                    <w:rPr>
                      <w:rFonts w:ascii="Times New Roman" w:hAnsi="Times New Roman" w:cs="Times New Roman"/>
                    </w:rPr>
                  </w:pPr>
                  <w:r w:rsidRPr="00D90C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EU</w:t>
                  </w:r>
                </w:p>
              </w:tc>
              <w:tc>
                <w:tcPr>
                  <w:tcW w:w="1876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605BE680" w14:textId="77777777" w:rsidR="000C7E45" w:rsidRPr="00D90C82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77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40A6AA1F" w14:textId="77777777" w:rsid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Markit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PMI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Manuf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>. (feb)</w:t>
                  </w:r>
                </w:p>
                <w:p w14:paraId="54D93722" w14:textId="77777777" w:rsidR="000C7E45" w:rsidRPr="00D90C82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877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2C250552" w14:textId="77777777" w:rsid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s-MX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s-MX"/>
                    </w:rPr>
                    <w:t>IPC (feb)</w:t>
                  </w:r>
                </w:p>
                <w:p w14:paraId="2349D8D5" w14:textId="77777777" w:rsidR="000C7E45" w:rsidRPr="00967E61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s-MX"/>
                    </w:rPr>
                  </w:pPr>
                  <w:r>
                    <w:rPr>
                      <w:rFonts w:ascii="Times New Roman" w:hAnsi="Times New Roman" w:cs="Times New Roman"/>
                      <w:b/>
                      <w:lang w:val="es-MX"/>
                    </w:rPr>
                    <w:t xml:space="preserve">Índice de Inflación </w:t>
                  </w:r>
                </w:p>
                <w:p w14:paraId="63102623" w14:textId="77777777" w:rsidR="000C7E45" w:rsidRPr="0023794F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</w:pPr>
                  <w:proofErr w:type="spellStart"/>
                  <w:r w:rsidRPr="0023794F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Est</w:t>
                  </w:r>
                  <w:proofErr w:type="spellEnd"/>
                  <w:r w:rsidRPr="0023794F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 xml:space="preserve"> 5.3%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YoY</w:t>
                  </w:r>
                  <w:proofErr w:type="spellEnd"/>
                </w:p>
              </w:tc>
              <w:tc>
                <w:tcPr>
                  <w:tcW w:w="1733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7D9406D8" w14:textId="77777777" w:rsidR="000C7E45" w:rsidRPr="00D90C82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Tasa de Desempleo (ene)</w:t>
                  </w:r>
                </w:p>
              </w:tc>
              <w:tc>
                <w:tcPr>
                  <w:tcW w:w="1733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32D78F85" w14:textId="77777777" w:rsidR="000C7E45" w:rsidRPr="00A2275E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0C7E45" w:rsidRPr="00BA75E8" w14:paraId="6B070318" w14:textId="77777777" w:rsidTr="009569EA">
              <w:trPr>
                <w:cantSplit/>
                <w:trHeight w:hRule="exact" w:val="1584"/>
              </w:trPr>
              <w:tc>
                <w:tcPr>
                  <w:tcW w:w="822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12B793A4" w14:textId="77777777" w:rsidR="000C7E45" w:rsidRPr="00D90C82" w:rsidRDefault="000C7E45" w:rsidP="000C7E45">
                  <w:pPr>
                    <w:pStyle w:val="Dates"/>
                    <w:rPr>
                      <w:rFonts w:ascii="Times New Roman" w:hAnsi="Times New Roman" w:cs="Times New Roman"/>
                    </w:rPr>
                  </w:pPr>
                </w:p>
                <w:p w14:paraId="27A7AC8F" w14:textId="77777777" w:rsidR="000C7E45" w:rsidRPr="00D90C82" w:rsidRDefault="000C7E45" w:rsidP="000C7E45">
                  <w:pPr>
                    <w:pStyle w:val="Dates"/>
                    <w:rPr>
                      <w:rFonts w:ascii="Times New Roman" w:hAnsi="Times New Roman" w:cs="Times New Roman"/>
                    </w:rPr>
                  </w:pPr>
                </w:p>
                <w:p w14:paraId="6693A358" w14:textId="77777777" w:rsidR="000C7E45" w:rsidRPr="00D90C82" w:rsidRDefault="000C7E45" w:rsidP="000C7E45">
                  <w:pPr>
                    <w:pStyle w:val="Dates"/>
                    <w:jc w:val="center"/>
                    <w:rPr>
                      <w:rFonts w:ascii="Times New Roman" w:hAnsi="Times New Roman" w:cs="Times New Roman"/>
                    </w:rPr>
                  </w:pPr>
                  <w:r w:rsidRPr="00D90C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EM</w:t>
                  </w:r>
                </w:p>
              </w:tc>
              <w:tc>
                <w:tcPr>
                  <w:tcW w:w="1876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48EE460D" w14:textId="77777777" w:rsidR="000C7E45" w:rsidRPr="000C7E45" w:rsidRDefault="000C7E45" w:rsidP="000C7E45">
                  <w:pPr>
                    <w:pStyle w:val="Dates"/>
                    <w:spacing w:before="120"/>
                    <w:rPr>
                      <w:lang w:val="en-US"/>
                    </w:rPr>
                  </w:pPr>
                  <w:r w:rsidRPr="000C7E45">
                    <w:rPr>
                      <w:rFonts w:ascii="Times New Roman" w:hAnsi="Times New Roman" w:cs="Times New Roman"/>
                      <w:b/>
                      <w:lang w:val="en-US"/>
                    </w:rPr>
                    <w:t>(Ch) NBS PMI Manuf. (</w:t>
                  </w:r>
                  <w:proofErr w:type="spellStart"/>
                  <w:r w:rsidRPr="000C7E45">
                    <w:rPr>
                      <w:rFonts w:ascii="Times New Roman" w:hAnsi="Times New Roman" w:cs="Times New Roman"/>
                      <w:b/>
                      <w:lang w:val="en-US"/>
                    </w:rPr>
                    <w:t>feb</w:t>
                  </w:r>
                  <w:proofErr w:type="spellEnd"/>
                  <w:r w:rsidRPr="000C7E45">
                    <w:rPr>
                      <w:rFonts w:ascii="Times New Roman" w:hAnsi="Times New Roman" w:cs="Times New Roman"/>
                      <w:b/>
                      <w:lang w:val="en-US"/>
                    </w:rPr>
                    <w:t>)</w:t>
                  </w:r>
                  <w:r w:rsidRPr="000C7E45">
                    <w:rPr>
                      <w:lang w:val="en-US"/>
                    </w:rPr>
                    <w:t xml:space="preserve"> </w:t>
                  </w:r>
                </w:p>
                <w:p w14:paraId="78024DD1" w14:textId="77777777" w:rsidR="000C7E45" w:rsidRPr="00F806BC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s-MX"/>
                    </w:rPr>
                  </w:pPr>
                  <w:proofErr w:type="spellStart"/>
                  <w:r w:rsidRPr="00F806BC">
                    <w:rPr>
                      <w:rFonts w:ascii="Times New Roman" w:hAnsi="Times New Roman" w:cs="Times New Roman"/>
                      <w:b/>
                      <w:lang w:val="es-MX"/>
                    </w:rPr>
                    <w:t>Caixin</w:t>
                  </w:r>
                  <w:proofErr w:type="spellEnd"/>
                  <w:r w:rsidRPr="00F806BC">
                    <w:rPr>
                      <w:rFonts w:ascii="Times New Roman" w:hAnsi="Times New Roman" w:cs="Times New Roman"/>
                      <w:b/>
                      <w:lang w:val="es-MX"/>
                    </w:rPr>
                    <w:t xml:space="preserve"> PMI </w:t>
                  </w:r>
                  <w:proofErr w:type="spellStart"/>
                  <w:r w:rsidRPr="00F806BC">
                    <w:rPr>
                      <w:rFonts w:ascii="Times New Roman" w:hAnsi="Times New Roman" w:cs="Times New Roman"/>
                      <w:b/>
                      <w:lang w:val="es-MX"/>
                    </w:rPr>
                    <w:t>Manuf</w:t>
                  </w:r>
                  <w:proofErr w:type="spellEnd"/>
                  <w:r w:rsidRPr="00F806BC">
                    <w:rPr>
                      <w:rFonts w:ascii="Times New Roman" w:hAnsi="Times New Roman" w:cs="Times New Roman"/>
                      <w:b/>
                      <w:lang w:val="es-MX"/>
                    </w:rPr>
                    <w:t>. (feb)</w:t>
                  </w:r>
                </w:p>
                <w:p w14:paraId="0B7036C0" w14:textId="77777777" w:rsidR="000C7E45" w:rsidRPr="00F806BC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s-MX"/>
                    </w:rPr>
                  </w:pPr>
                </w:p>
                <w:p w14:paraId="6AF125E9" w14:textId="77777777" w:rsidR="000C7E45" w:rsidRPr="00F806BC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lang w:val="es-MX"/>
                    </w:rPr>
                  </w:pPr>
                </w:p>
              </w:tc>
              <w:tc>
                <w:tcPr>
                  <w:tcW w:w="1877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40484465" w14:textId="77777777" w:rsid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s-MX"/>
                    </w:rPr>
                  </w:pPr>
                  <w:r w:rsidRPr="000C7E45">
                    <w:rPr>
                      <w:rFonts w:ascii="Times New Roman" w:hAnsi="Times New Roman" w:cs="Times New Roman"/>
                      <w:b/>
                      <w:lang w:val="es-MX"/>
                    </w:rPr>
                    <w:t xml:space="preserve">(Br) </w:t>
                  </w:r>
                  <w:r w:rsidRPr="00967E61">
                    <w:rPr>
                      <w:rFonts w:ascii="Times New Roman" w:hAnsi="Times New Roman" w:cs="Times New Roman"/>
                      <w:b/>
                      <w:lang w:val="es-MX"/>
                    </w:rPr>
                    <w:t xml:space="preserve">Balanza Comercial </w:t>
                  </w:r>
                  <w:r>
                    <w:rPr>
                      <w:rFonts w:ascii="Times New Roman" w:hAnsi="Times New Roman" w:cs="Times New Roman"/>
                      <w:b/>
                      <w:lang w:val="es-MX"/>
                    </w:rPr>
                    <w:t>(feb</w:t>
                  </w:r>
                  <w:r w:rsidRPr="00967E61">
                    <w:rPr>
                      <w:rFonts w:ascii="Times New Roman" w:hAnsi="Times New Roman" w:cs="Times New Roman"/>
                      <w:b/>
                      <w:lang w:val="es-MX"/>
                    </w:rPr>
                    <w:t>)</w:t>
                  </w:r>
                </w:p>
                <w:p w14:paraId="2F74AE22" w14:textId="77777777" w:rsidR="000C7E45" w:rsidRPr="00967E61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</w:pPr>
                  <w:proofErr w:type="spellStart"/>
                  <w:r w:rsidRPr="0023794F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Est</w:t>
                  </w:r>
                  <w:proofErr w:type="spellEnd"/>
                  <w:r w:rsidRPr="0023794F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  <w:t xml:space="preserve"> -0.2B</w:t>
                  </w:r>
                </w:p>
                <w:p w14:paraId="2A492738" w14:textId="77777777" w:rsidR="000C7E45" w:rsidRP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s-MX"/>
                    </w:rPr>
                  </w:pPr>
                </w:p>
                <w:p w14:paraId="53725327" w14:textId="77777777" w:rsidR="000C7E45" w:rsidRP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  <w:lang w:val="es-MX"/>
                    </w:rPr>
                  </w:pPr>
                </w:p>
                <w:p w14:paraId="63ECE7C4" w14:textId="77777777" w:rsidR="000C7E45" w:rsidRP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lang w:val="es-MX"/>
                    </w:rPr>
                  </w:pPr>
                </w:p>
              </w:tc>
              <w:tc>
                <w:tcPr>
                  <w:tcW w:w="1877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128439ED" w14:textId="77777777" w:rsidR="000C7E45" w:rsidRP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33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75AEE5E7" w14:textId="77777777" w:rsidR="000C7E45" w:rsidRP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</w:pPr>
                  <w:r w:rsidRPr="000C7E45">
                    <w:rPr>
                      <w:rFonts w:ascii="Times New Roman" w:hAnsi="Times New Roman" w:cs="Times New Roman"/>
                      <w:b/>
                      <w:lang w:val="en-US"/>
                    </w:rPr>
                    <w:t>(Br) Markit PMI Manuf. (</w:t>
                  </w:r>
                  <w:proofErr w:type="spellStart"/>
                  <w:r w:rsidRPr="000C7E45">
                    <w:rPr>
                      <w:rFonts w:ascii="Times New Roman" w:hAnsi="Times New Roman" w:cs="Times New Roman"/>
                      <w:b/>
                      <w:lang w:val="en-US"/>
                    </w:rPr>
                    <w:t>feb</w:t>
                  </w:r>
                  <w:proofErr w:type="spellEnd"/>
                  <w:r w:rsidRPr="000C7E45">
                    <w:rPr>
                      <w:rFonts w:ascii="Times New Roman" w:hAnsi="Times New Roman" w:cs="Times New Roman"/>
                      <w:b/>
                      <w:lang w:val="en-US"/>
                    </w:rPr>
                    <w:t>)</w:t>
                  </w:r>
                </w:p>
              </w:tc>
              <w:tc>
                <w:tcPr>
                  <w:tcW w:w="1733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51B6C095" w14:textId="77777777" w:rsidR="000C7E45" w:rsidRPr="00BA75E8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</w:rPr>
                  </w:pPr>
                  <w:r w:rsidRPr="00F806BC">
                    <w:rPr>
                      <w:rFonts w:ascii="Times New Roman" w:hAnsi="Times New Roman" w:cs="Times New Roman"/>
                      <w:b/>
                      <w:lang w:val="es-MX"/>
                    </w:rPr>
                    <w:t xml:space="preserve">(Br) </w:t>
                  </w:r>
                  <w:r>
                    <w:rPr>
                      <w:rFonts w:ascii="Times New Roman" w:hAnsi="Times New Roman" w:cs="Times New Roman"/>
                      <w:b/>
                    </w:rPr>
                    <w:t>PBI Anual (4T)</w:t>
                  </w:r>
                </w:p>
              </w:tc>
            </w:tr>
            <w:tr w:rsidR="000C7E45" w:rsidRPr="00D90C82" w14:paraId="59094AE6" w14:textId="77777777" w:rsidTr="009569EA">
              <w:trPr>
                <w:cantSplit/>
                <w:trHeight w:hRule="exact" w:val="1584"/>
              </w:trPr>
              <w:tc>
                <w:tcPr>
                  <w:tcW w:w="822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070EB04D" w14:textId="77777777" w:rsidR="000C7E45" w:rsidRPr="00BA75E8" w:rsidRDefault="000C7E45" w:rsidP="000C7E45">
                  <w:pPr>
                    <w:pStyle w:val="Date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MX"/>
                    </w:rPr>
                  </w:pPr>
                </w:p>
                <w:p w14:paraId="598E21C2" w14:textId="77777777" w:rsidR="000C7E45" w:rsidRPr="00D90C82" w:rsidRDefault="000C7E45" w:rsidP="000C7E45">
                  <w:pPr>
                    <w:pStyle w:val="Dates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0C82">
                    <w:rPr>
                      <w:rFonts w:ascii="Times New Roman" w:hAnsi="Times New Roman" w:cs="Times New Roman"/>
                      <w:sz w:val="28"/>
                      <w:szCs w:val="28"/>
                    </w:rPr>
                    <w:t>ARG</w:t>
                  </w:r>
                </w:p>
                <w:p w14:paraId="3CB1FAA0" w14:textId="77777777" w:rsidR="000C7E45" w:rsidRPr="00D90C82" w:rsidRDefault="000C7E45" w:rsidP="000C7E45">
                  <w:pPr>
                    <w:pStyle w:val="Dates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76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12E89C3A" w14:textId="77777777" w:rsidR="000C7E45" w:rsidRPr="00D90C82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77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00BE1738" w14:textId="77777777" w:rsid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178D7106" w14:textId="77777777" w:rsidR="000C7E45" w:rsidRPr="00D90C82" w:rsidRDefault="000C7E45" w:rsidP="000C7E45">
                  <w:pPr>
                    <w:pStyle w:val="Dates"/>
                    <w:spacing w:before="120"/>
                    <w:ind w:left="720" w:hanging="7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77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2835B711" w14:textId="77777777" w:rsidR="000C7E45" w:rsidRPr="00D90C82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733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2FBCDBE2" w14:textId="77777777" w:rsidR="000C7E45" w:rsidRPr="004421F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Complejos Exportadores</w:t>
                  </w:r>
                </w:p>
              </w:tc>
              <w:tc>
                <w:tcPr>
                  <w:tcW w:w="1733" w:type="dxa"/>
                  <w:shd w:val="clear" w:color="auto" w:fill="auto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</w:tcPr>
                <w:p w14:paraId="7B4C40FB" w14:textId="77777777" w:rsidR="000C7E45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3765D781" w14:textId="77777777" w:rsidR="000C7E45" w:rsidRPr="00D90C82" w:rsidRDefault="000C7E45" w:rsidP="000C7E45">
                  <w:pPr>
                    <w:pStyle w:val="Dates"/>
                    <w:spacing w:before="12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F4073CA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  <w:color w:val="FFFFFF" w:themeColor="background1"/>
              </w:rPr>
            </w:pPr>
            <w:r w:rsidRPr="00D90C82">
              <w:rPr>
                <w:rFonts w:ascii="Times New Roman" w:hAnsi="Times New Roman"/>
                <w:color w:val="FFFFFF" w:themeColor="background1"/>
                <w:sz w:val="32"/>
              </w:rPr>
              <w:t>Calendario Económico</w:t>
            </w:r>
          </w:p>
        </w:tc>
      </w:tr>
      <w:tr w:rsidR="00FF3572" w:rsidRPr="00D90C82" w14:paraId="2334D42C" w14:textId="77777777" w:rsidTr="00FF3572">
        <w:trPr>
          <w:cantSplit/>
          <w:trHeight w:hRule="exact" w:val="259"/>
        </w:trPr>
        <w:tc>
          <w:tcPr>
            <w:tcW w:w="822" w:type="dxa"/>
            <w:shd w:val="clear" w:color="auto" w:fill="002060"/>
            <w:noWrap/>
            <w:tcMar>
              <w:bottom w:w="58" w:type="dxa"/>
            </w:tcMar>
            <w:vAlign w:val="bottom"/>
          </w:tcPr>
          <w:p w14:paraId="0F28045C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</w:rPr>
            </w:pPr>
            <w:r w:rsidRPr="00D90C82">
              <w:rPr>
                <w:rFonts w:ascii="Times New Roman" w:hAnsi="Times New Roman"/>
              </w:rPr>
              <w:br w:type="page"/>
            </w:r>
            <w:r w:rsidRPr="00D90C82">
              <w:rPr>
                <w:rFonts w:ascii="Times New Roman" w:hAnsi="Times New Roman"/>
              </w:rPr>
              <w:br w:type="page"/>
              <w:t>Países</w:t>
            </w:r>
          </w:p>
          <w:p w14:paraId="0D3C007C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</w:rPr>
            </w:pPr>
          </w:p>
          <w:p w14:paraId="51EB5E53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</w:rPr>
            </w:pPr>
          </w:p>
        </w:tc>
        <w:tc>
          <w:tcPr>
            <w:tcW w:w="1876" w:type="dxa"/>
            <w:shd w:val="clear" w:color="auto" w:fill="002060"/>
            <w:noWrap/>
            <w:tcMar>
              <w:bottom w:w="58" w:type="dxa"/>
            </w:tcMar>
            <w:vAlign w:val="bottom"/>
          </w:tcPr>
          <w:p w14:paraId="4D8E88B8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  <w:color w:val="FFFFFF" w:themeColor="background1"/>
              </w:rPr>
            </w:pPr>
            <w:r w:rsidRPr="00D90C82">
              <w:rPr>
                <w:rFonts w:ascii="Times New Roman" w:hAnsi="Times New Roman"/>
                <w:color w:val="FFFFFF" w:themeColor="background1"/>
              </w:rPr>
              <w:t>Lunes</w:t>
            </w:r>
          </w:p>
        </w:tc>
        <w:tc>
          <w:tcPr>
            <w:tcW w:w="1877" w:type="dxa"/>
            <w:shd w:val="clear" w:color="auto" w:fill="002060"/>
            <w:noWrap/>
            <w:tcMar>
              <w:bottom w:w="58" w:type="dxa"/>
            </w:tcMar>
            <w:vAlign w:val="bottom"/>
          </w:tcPr>
          <w:p w14:paraId="701FCA44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  <w:color w:val="FFFFFF" w:themeColor="background1"/>
              </w:rPr>
            </w:pPr>
            <w:r w:rsidRPr="00D90C82">
              <w:rPr>
                <w:rFonts w:ascii="Times New Roman" w:hAnsi="Times New Roman"/>
                <w:color w:val="FFFFFF" w:themeColor="background1"/>
              </w:rPr>
              <w:t>Martes</w:t>
            </w:r>
          </w:p>
        </w:tc>
        <w:tc>
          <w:tcPr>
            <w:tcW w:w="1877" w:type="dxa"/>
            <w:shd w:val="clear" w:color="auto" w:fill="002060"/>
            <w:noWrap/>
            <w:tcMar>
              <w:bottom w:w="58" w:type="dxa"/>
            </w:tcMar>
            <w:vAlign w:val="bottom"/>
          </w:tcPr>
          <w:p w14:paraId="0E9F813A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  <w:color w:val="FFFFFF" w:themeColor="background1"/>
              </w:rPr>
            </w:pPr>
            <w:r w:rsidRPr="00D90C82">
              <w:rPr>
                <w:rFonts w:ascii="Times New Roman" w:hAnsi="Times New Roman"/>
                <w:color w:val="FFFFFF" w:themeColor="background1"/>
              </w:rPr>
              <w:t>Miércoles</w:t>
            </w:r>
          </w:p>
        </w:tc>
        <w:tc>
          <w:tcPr>
            <w:tcW w:w="1733" w:type="dxa"/>
            <w:shd w:val="clear" w:color="auto" w:fill="002060"/>
            <w:noWrap/>
            <w:tcMar>
              <w:bottom w:w="58" w:type="dxa"/>
            </w:tcMar>
            <w:vAlign w:val="bottom"/>
          </w:tcPr>
          <w:p w14:paraId="182D3E8D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  <w:color w:val="FFFFFF" w:themeColor="background1"/>
              </w:rPr>
            </w:pPr>
            <w:r w:rsidRPr="00D90C82">
              <w:rPr>
                <w:rFonts w:ascii="Times New Roman" w:hAnsi="Times New Roman"/>
                <w:color w:val="FFFFFF" w:themeColor="background1"/>
              </w:rPr>
              <w:t>Jueves</w:t>
            </w:r>
          </w:p>
        </w:tc>
        <w:tc>
          <w:tcPr>
            <w:tcW w:w="1733" w:type="dxa"/>
            <w:shd w:val="clear" w:color="auto" w:fill="002060"/>
            <w:noWrap/>
            <w:tcMar>
              <w:bottom w:w="58" w:type="dxa"/>
            </w:tcMar>
            <w:vAlign w:val="bottom"/>
          </w:tcPr>
          <w:p w14:paraId="1AC56EB5" w14:textId="77777777" w:rsidR="00FF3572" w:rsidRPr="00D90C82" w:rsidRDefault="00FF3572" w:rsidP="0013346B">
            <w:pPr>
              <w:pStyle w:val="Weekdays"/>
              <w:rPr>
                <w:rFonts w:ascii="Times New Roman" w:hAnsi="Times New Roman"/>
                <w:color w:val="FFFFFF" w:themeColor="background1"/>
              </w:rPr>
            </w:pPr>
            <w:r w:rsidRPr="00D90C82">
              <w:rPr>
                <w:rFonts w:ascii="Times New Roman" w:hAnsi="Times New Roman"/>
                <w:color w:val="FFFFFF" w:themeColor="background1"/>
              </w:rPr>
              <w:t>Viernes</w:t>
            </w:r>
          </w:p>
        </w:tc>
      </w:tr>
      <w:tr w:rsidR="000C7E45" w:rsidRPr="00D90C82" w14:paraId="63F44731" w14:textId="77777777" w:rsidTr="00FF3572">
        <w:trPr>
          <w:cantSplit/>
          <w:trHeight w:hRule="exact" w:val="1584"/>
        </w:trPr>
        <w:tc>
          <w:tcPr>
            <w:tcW w:w="822" w:type="dxa"/>
            <w:shd w:val="clear" w:color="auto" w:fill="auto"/>
          </w:tcPr>
          <w:p w14:paraId="3CBC5B39" w14:textId="77777777" w:rsidR="000C7E45" w:rsidRPr="00D90C82" w:rsidRDefault="000C7E45" w:rsidP="000C7E45">
            <w:pPr>
              <w:pStyle w:val="Dates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21047F3D" w14:textId="77777777" w:rsidR="000C7E45" w:rsidRPr="00D90C82" w:rsidRDefault="000C7E45" w:rsidP="000C7E45">
            <w:pPr>
              <w:pStyle w:val="Date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82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</w:p>
        </w:tc>
        <w:tc>
          <w:tcPr>
            <w:tcW w:w="1876" w:type="dxa"/>
            <w:shd w:val="clear" w:color="auto" w:fill="auto"/>
          </w:tcPr>
          <w:p w14:paraId="446DBCF7" w14:textId="77777777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auto"/>
          </w:tcPr>
          <w:p w14:paraId="1B852904" w14:textId="4F7452CC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auto"/>
          </w:tcPr>
          <w:p w14:paraId="5E833BE5" w14:textId="73E5BC43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</w:tcPr>
          <w:p w14:paraId="0CED8CAF" w14:textId="5B085059" w:rsidR="000C7E45" w:rsidRPr="000C7E45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0C7E45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33" w:type="dxa"/>
            <w:shd w:val="clear" w:color="auto" w:fill="auto"/>
          </w:tcPr>
          <w:p w14:paraId="66E7C16C" w14:textId="3C992AB6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0C7E45" w:rsidRPr="00D90C82" w14:paraId="3E03FA24" w14:textId="77777777" w:rsidTr="00FF3572">
        <w:trPr>
          <w:cantSplit/>
          <w:trHeight w:hRule="exact" w:val="1584"/>
        </w:trPr>
        <w:tc>
          <w:tcPr>
            <w:tcW w:w="82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5BFF6A" w14:textId="77777777" w:rsidR="000C7E45" w:rsidRPr="00D90C82" w:rsidRDefault="000C7E45" w:rsidP="000C7E45">
            <w:pPr>
              <w:pStyle w:val="Date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24C77" w14:textId="77777777" w:rsidR="000C7E45" w:rsidRPr="00D90C82" w:rsidRDefault="000C7E45" w:rsidP="000C7E45">
            <w:pPr>
              <w:pStyle w:val="Date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1C4B97" w14:textId="77777777" w:rsidR="000C7E45" w:rsidRPr="00D90C82" w:rsidRDefault="000C7E45" w:rsidP="000C7E45">
            <w:pPr>
              <w:pStyle w:val="Dates"/>
              <w:jc w:val="center"/>
              <w:rPr>
                <w:rFonts w:ascii="Times New Roman" w:hAnsi="Times New Roman" w:cs="Times New Roman"/>
              </w:rPr>
            </w:pPr>
            <w:r w:rsidRPr="00D90C82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</w:p>
        </w:tc>
        <w:tc>
          <w:tcPr>
            <w:tcW w:w="18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8CE24D" w14:textId="77777777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D2AD50" w14:textId="77777777" w:rsidR="000C7E45" w:rsidRPr="00D90C82" w:rsidRDefault="000C7E45" w:rsidP="00DB2CF0">
            <w:pPr>
              <w:pStyle w:val="Dates"/>
              <w:spacing w:before="1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9103BE" w14:textId="36805265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493B1B" w14:textId="1ACC9BC3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2C429A" w14:textId="6EC66458" w:rsidR="000C7E45" w:rsidRPr="00A2275E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b/>
              </w:rPr>
            </w:pPr>
          </w:p>
        </w:tc>
      </w:tr>
      <w:tr w:rsidR="000C7E45" w:rsidRPr="00D90C82" w14:paraId="2200F4BF" w14:textId="77777777" w:rsidTr="00FF3572">
        <w:trPr>
          <w:cantSplit/>
          <w:trHeight w:hRule="exact" w:val="1584"/>
        </w:trPr>
        <w:tc>
          <w:tcPr>
            <w:tcW w:w="82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A01C02" w14:textId="77777777" w:rsidR="000C7E45" w:rsidRPr="00D90C82" w:rsidRDefault="000C7E45" w:rsidP="000C7E45">
            <w:pPr>
              <w:pStyle w:val="Dates"/>
              <w:rPr>
                <w:rFonts w:ascii="Times New Roman" w:hAnsi="Times New Roman" w:cs="Times New Roman"/>
              </w:rPr>
            </w:pPr>
          </w:p>
          <w:p w14:paraId="4E5F45E7" w14:textId="77777777" w:rsidR="000C7E45" w:rsidRPr="00D90C82" w:rsidRDefault="000C7E45" w:rsidP="000C7E45">
            <w:pPr>
              <w:pStyle w:val="Dates"/>
              <w:rPr>
                <w:rFonts w:ascii="Times New Roman" w:hAnsi="Times New Roman" w:cs="Times New Roman"/>
              </w:rPr>
            </w:pPr>
          </w:p>
          <w:p w14:paraId="38098C34" w14:textId="77777777" w:rsidR="000C7E45" w:rsidRPr="00D90C82" w:rsidRDefault="000C7E45" w:rsidP="000C7E45">
            <w:pPr>
              <w:pStyle w:val="Dates"/>
              <w:jc w:val="center"/>
              <w:rPr>
                <w:rFonts w:ascii="Times New Roman" w:hAnsi="Times New Roman" w:cs="Times New Roman"/>
              </w:rPr>
            </w:pPr>
            <w:r w:rsidRPr="00D90C82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</w:p>
        </w:tc>
        <w:tc>
          <w:tcPr>
            <w:tcW w:w="18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3DE454" w14:textId="77777777" w:rsidR="000C7E45" w:rsidRPr="00F806BC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61548633" w14:textId="77777777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7037B4" w14:textId="77777777" w:rsidR="000C7E45" w:rsidRPr="000C7E45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6A15B234" w14:textId="77777777" w:rsidR="000C7E45" w:rsidRPr="000C7E45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b/>
                <w:lang w:val="es-MX"/>
              </w:rPr>
            </w:pPr>
          </w:p>
          <w:p w14:paraId="48D0E0B7" w14:textId="77777777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2E525F" w14:textId="77777777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7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BD2356" w14:textId="63311EBC" w:rsidR="000C7E45" w:rsidRPr="000C7E45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7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4E1823" w14:textId="7E96330B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0C7E45" w:rsidRPr="00D90C82" w14:paraId="17216FC3" w14:textId="77777777" w:rsidTr="00FF3572">
        <w:trPr>
          <w:cantSplit/>
          <w:trHeight w:hRule="exact" w:val="1584"/>
        </w:trPr>
        <w:tc>
          <w:tcPr>
            <w:tcW w:w="82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BA0AF2" w14:textId="77777777" w:rsidR="000C7E45" w:rsidRPr="00D90C82" w:rsidRDefault="000C7E45" w:rsidP="000C7E45">
            <w:pPr>
              <w:pStyle w:val="Date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2AB4D" w14:textId="77777777" w:rsidR="000C7E45" w:rsidRPr="00D90C82" w:rsidRDefault="000C7E45" w:rsidP="000C7E45">
            <w:pPr>
              <w:pStyle w:val="Date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0C82">
              <w:rPr>
                <w:rFonts w:ascii="Times New Roman" w:hAnsi="Times New Roman" w:cs="Times New Roman"/>
                <w:sz w:val="28"/>
                <w:szCs w:val="28"/>
              </w:rPr>
              <w:t>ARG</w:t>
            </w:r>
          </w:p>
          <w:p w14:paraId="45B26417" w14:textId="77777777" w:rsidR="000C7E45" w:rsidRPr="00D90C82" w:rsidRDefault="000C7E45" w:rsidP="000C7E45">
            <w:pPr>
              <w:pStyle w:val="Dates"/>
              <w:rPr>
                <w:rFonts w:ascii="Times New Roman" w:hAnsi="Times New Roman" w:cs="Times New Roman"/>
              </w:rPr>
            </w:pPr>
          </w:p>
        </w:tc>
        <w:tc>
          <w:tcPr>
            <w:tcW w:w="18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B6AC41" w14:textId="77777777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DC2EEB" w14:textId="77777777" w:rsidR="000C7E45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b/>
              </w:rPr>
            </w:pPr>
          </w:p>
          <w:p w14:paraId="65FB3B03" w14:textId="77777777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19DD38" w14:textId="77777777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48A800" w14:textId="6E75084E" w:rsidR="000C7E45" w:rsidRPr="004421F5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B3769D" w14:textId="77777777" w:rsidR="000C7E45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  <w:b/>
              </w:rPr>
            </w:pPr>
          </w:p>
          <w:p w14:paraId="1B61EF2E" w14:textId="4FFDE72A" w:rsidR="000C7E45" w:rsidRPr="00D90C82" w:rsidRDefault="000C7E45" w:rsidP="000C7E45">
            <w:pPr>
              <w:pStyle w:val="Dates"/>
              <w:spacing w:before="120"/>
              <w:rPr>
                <w:rFonts w:ascii="Times New Roman" w:hAnsi="Times New Roman" w:cs="Times New Roman"/>
              </w:rPr>
            </w:pPr>
          </w:p>
        </w:tc>
      </w:tr>
    </w:tbl>
    <w:p w14:paraId="78C93A38" w14:textId="77777777" w:rsidR="001B6E94" w:rsidRDefault="001B6E94">
      <w:pPr>
        <w:spacing w:before="0" w:after="0"/>
        <w:jc w:val="left"/>
      </w:pPr>
    </w:p>
    <w:p w14:paraId="4750F00E" w14:textId="7260E433" w:rsidR="00920475" w:rsidRDefault="001B6E94">
      <w:pPr>
        <w:spacing w:before="0" w:after="0"/>
        <w:jc w:val="left"/>
      </w:pPr>
      <w:r>
        <w:br w:type="page"/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3458"/>
        <w:gridCol w:w="6573"/>
      </w:tblGrid>
      <w:tr w:rsidR="00A316BC" w:rsidRPr="00657687" w14:paraId="5FA7E9C2" w14:textId="77777777" w:rsidTr="00A316BC">
        <w:tc>
          <w:tcPr>
            <w:tcW w:w="3458" w:type="dxa"/>
          </w:tcPr>
          <w:p w14:paraId="07163224" w14:textId="77777777" w:rsidR="00A316BC" w:rsidRPr="00657687" w:rsidRDefault="00A316BC" w:rsidP="003C2045">
            <w:pPr>
              <w:spacing w:before="0"/>
              <w:rPr>
                <w:sz w:val="20"/>
              </w:rPr>
            </w:pPr>
          </w:p>
        </w:tc>
        <w:tc>
          <w:tcPr>
            <w:tcW w:w="6573" w:type="dxa"/>
          </w:tcPr>
          <w:p w14:paraId="798E3583" w14:textId="77777777" w:rsidR="00A316BC" w:rsidRPr="00657687" w:rsidRDefault="00A316BC" w:rsidP="003C2045">
            <w:pPr>
              <w:spacing w:before="0"/>
              <w:rPr>
                <w:b/>
                <w:sz w:val="72"/>
                <w:szCs w:val="72"/>
              </w:rPr>
            </w:pPr>
            <w:r w:rsidRPr="00E462FF">
              <w:rPr>
                <w:b/>
                <w:sz w:val="52"/>
                <w:szCs w:val="72"/>
              </w:rPr>
              <w:t>Anexo I</w:t>
            </w:r>
          </w:p>
        </w:tc>
      </w:tr>
      <w:tr w:rsidR="00A316BC" w:rsidRPr="00657687" w14:paraId="01AD646D" w14:textId="77777777" w:rsidTr="00593D78">
        <w:trPr>
          <w:trHeight w:val="366"/>
        </w:trPr>
        <w:tc>
          <w:tcPr>
            <w:tcW w:w="3458" w:type="dxa"/>
          </w:tcPr>
          <w:p w14:paraId="47BFAB64" w14:textId="77777777" w:rsidR="00A316BC" w:rsidRPr="00657687" w:rsidRDefault="00A316BC" w:rsidP="003C2045">
            <w:pPr>
              <w:spacing w:before="0" w:after="0"/>
              <w:jc w:val="left"/>
              <w:rPr>
                <w:sz w:val="20"/>
              </w:rPr>
            </w:pPr>
          </w:p>
        </w:tc>
        <w:tc>
          <w:tcPr>
            <w:tcW w:w="6573" w:type="dxa"/>
          </w:tcPr>
          <w:p w14:paraId="1F1EF518" w14:textId="77777777" w:rsidR="00A316BC" w:rsidRPr="00657687" w:rsidRDefault="00A316BC" w:rsidP="003C2045">
            <w:pPr>
              <w:spacing w:before="0"/>
              <w:rPr>
                <w:b/>
                <w:sz w:val="32"/>
                <w:szCs w:val="32"/>
              </w:rPr>
            </w:pPr>
            <w:r w:rsidRPr="00E462FF">
              <w:rPr>
                <w:b/>
                <w:sz w:val="24"/>
                <w:szCs w:val="32"/>
              </w:rPr>
              <w:t>Cuadro de Control</w:t>
            </w:r>
          </w:p>
        </w:tc>
      </w:tr>
      <w:tr w:rsidR="00A316BC" w:rsidRPr="00657687" w14:paraId="397E0370" w14:textId="77777777" w:rsidTr="00A316BC">
        <w:tc>
          <w:tcPr>
            <w:tcW w:w="3458" w:type="dxa"/>
          </w:tcPr>
          <w:p w14:paraId="73F260BE" w14:textId="77777777" w:rsidR="00A316BC" w:rsidRPr="00657687" w:rsidRDefault="00A316BC" w:rsidP="003C2045">
            <w:pPr>
              <w:spacing w:before="0" w:after="0"/>
              <w:rPr>
                <w:sz w:val="20"/>
              </w:rPr>
            </w:pPr>
          </w:p>
        </w:tc>
        <w:tc>
          <w:tcPr>
            <w:tcW w:w="6573" w:type="dxa"/>
          </w:tcPr>
          <w:p w14:paraId="34764D3E" w14:textId="77777777" w:rsidR="00A316BC" w:rsidRPr="00657687" w:rsidRDefault="00A316BC" w:rsidP="003C2045">
            <w:pPr>
              <w:spacing w:before="0" w:after="60"/>
              <w:rPr>
                <w:b/>
                <w:szCs w:val="22"/>
              </w:rPr>
            </w:pPr>
            <w:r w:rsidRPr="00E462FF">
              <w:rPr>
                <w:b/>
                <w:sz w:val="20"/>
                <w:szCs w:val="22"/>
              </w:rPr>
              <w:t>Lectura de los “termómetros”</w:t>
            </w:r>
          </w:p>
        </w:tc>
      </w:tr>
      <w:tr w:rsidR="00A316BC" w:rsidRPr="00657687" w14:paraId="195AA110" w14:textId="77777777" w:rsidTr="00A316BC">
        <w:tc>
          <w:tcPr>
            <w:tcW w:w="3458" w:type="dxa"/>
          </w:tcPr>
          <w:p w14:paraId="3256B734" w14:textId="77777777" w:rsidR="00A316BC" w:rsidRPr="00FC4434" w:rsidRDefault="00A316BC" w:rsidP="003C2045">
            <w:pPr>
              <w:spacing w:before="60" w:after="60"/>
              <w:jc w:val="center"/>
              <w:rPr>
                <w:b/>
                <w:sz w:val="20"/>
                <w:u w:val="single"/>
              </w:rPr>
            </w:pPr>
            <w:r w:rsidRPr="00FC4434">
              <w:rPr>
                <w:b/>
                <w:sz w:val="20"/>
                <w:u w:val="single"/>
              </w:rPr>
              <w:t>“Termómetro” de referencia</w:t>
            </w:r>
          </w:p>
          <w:p w14:paraId="43BF25B9" w14:textId="77777777" w:rsidR="00A316BC" w:rsidRPr="004F0ABD" w:rsidRDefault="00A316BC" w:rsidP="003C2045">
            <w:pPr>
              <w:spacing w:before="0" w:after="0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s-AR"/>
              </w:rPr>
              <w:drawing>
                <wp:inline distT="0" distB="0" distL="0" distR="0" wp14:anchorId="55E68622" wp14:editId="07B4A909">
                  <wp:extent cx="1283970" cy="593725"/>
                  <wp:effectExtent l="19050" t="0" r="0" b="0"/>
                  <wp:docPr id="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97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</w:tcPr>
          <w:p w14:paraId="17171043" w14:textId="77777777" w:rsidR="00A316BC" w:rsidRPr="00E462FF" w:rsidRDefault="00A316BC" w:rsidP="003C2045">
            <w:pPr>
              <w:spacing w:before="0" w:after="60"/>
              <w:rPr>
                <w:sz w:val="16"/>
              </w:rPr>
            </w:pPr>
            <w:r>
              <w:rPr>
                <w:sz w:val="16"/>
              </w:rPr>
              <w:t>L</w:t>
            </w:r>
            <w:r w:rsidRPr="00E462FF">
              <w:rPr>
                <w:sz w:val="16"/>
              </w:rPr>
              <w:t xml:space="preserve">os “termómetros” </w:t>
            </w:r>
            <w:r>
              <w:rPr>
                <w:sz w:val="16"/>
              </w:rPr>
              <w:t xml:space="preserve">permiten </w:t>
            </w:r>
            <w:r w:rsidRPr="00E462FF">
              <w:rPr>
                <w:sz w:val="16"/>
              </w:rPr>
              <w:t>una lectura simple, rápida e integral de la coyuntura y perspectivas del mercado bursátil de referencia (S&amp;P 500</w:t>
            </w:r>
            <w:r>
              <w:rPr>
                <w:sz w:val="16"/>
              </w:rPr>
              <w:t>, “SPX”</w:t>
            </w:r>
            <w:r w:rsidRPr="00E462FF">
              <w:rPr>
                <w:sz w:val="16"/>
              </w:rPr>
              <w:t xml:space="preserve">). Las conclusiones que extraemos </w:t>
            </w:r>
            <w:r>
              <w:rPr>
                <w:sz w:val="16"/>
              </w:rPr>
              <w:t>buscan orientar</w:t>
            </w:r>
            <w:r w:rsidRPr="00E462FF">
              <w:rPr>
                <w:sz w:val="16"/>
              </w:rPr>
              <w:t xml:space="preserve"> la asignación estructural de activos y las posiciones técnicas, siempre en relación con el horizonte de planificación y otras particularidades de cada inversor, y </w:t>
            </w:r>
            <w:r w:rsidR="00113746">
              <w:rPr>
                <w:sz w:val="16"/>
              </w:rPr>
              <w:t>junto a</w:t>
            </w:r>
            <w:r w:rsidRPr="00E462FF">
              <w:rPr>
                <w:sz w:val="16"/>
              </w:rPr>
              <w:t xml:space="preserve"> otras circunstancias del mercado.</w:t>
            </w:r>
          </w:p>
          <w:p w14:paraId="6AD79CF3" w14:textId="77777777" w:rsidR="00A316BC" w:rsidRPr="00E462FF" w:rsidRDefault="00A316BC" w:rsidP="003C2045">
            <w:pPr>
              <w:spacing w:before="0" w:after="60"/>
              <w:rPr>
                <w:sz w:val="16"/>
              </w:rPr>
            </w:pPr>
            <w:r w:rsidRPr="00E462FF">
              <w:rPr>
                <w:sz w:val="16"/>
              </w:rPr>
              <w:t>Es así que la lectura de los termómetros es relativa a cada inversor</w:t>
            </w:r>
            <w:r w:rsidR="00113746">
              <w:rPr>
                <w:sz w:val="16"/>
              </w:rPr>
              <w:t xml:space="preserve"> y sus circunstancias</w:t>
            </w:r>
            <w:r w:rsidRPr="00E462FF">
              <w:rPr>
                <w:sz w:val="16"/>
              </w:rPr>
              <w:t>:</w:t>
            </w:r>
          </w:p>
          <w:p w14:paraId="6CAD0279" w14:textId="77777777" w:rsidR="00A316BC" w:rsidRDefault="00A316BC" w:rsidP="00A316BC">
            <w:pPr>
              <w:numPr>
                <w:ilvl w:val="0"/>
                <w:numId w:val="6"/>
              </w:numPr>
              <w:spacing w:before="0" w:after="60"/>
              <w:ind w:left="317" w:hanging="141"/>
              <w:rPr>
                <w:sz w:val="16"/>
              </w:rPr>
            </w:pPr>
            <w:r>
              <w:rPr>
                <w:sz w:val="16"/>
              </w:rPr>
              <w:t>En su extremo izquierdo (zona roja) señalan probables bajas del SPX sugiriendo irse cortos (“</w:t>
            </w:r>
            <w:proofErr w:type="spellStart"/>
            <w:r w:rsidRPr="00362145">
              <w:rPr>
                <w:i/>
                <w:sz w:val="16"/>
              </w:rPr>
              <w:t>s</w:t>
            </w:r>
            <w:r w:rsidR="00113746">
              <w:rPr>
                <w:i/>
                <w:sz w:val="16"/>
              </w:rPr>
              <w:t>h</w:t>
            </w:r>
            <w:r w:rsidRPr="00362145">
              <w:rPr>
                <w:i/>
                <w:sz w:val="16"/>
              </w:rPr>
              <w:t>ortearse</w:t>
            </w:r>
            <w:proofErr w:type="spellEnd"/>
            <w:r>
              <w:rPr>
                <w:sz w:val="16"/>
              </w:rPr>
              <w:t>”) a los inversores (o las carteras) más agresivos, y reducir fuertemente sus posiciones a los más conservadores o menos agresivos.</w:t>
            </w:r>
          </w:p>
          <w:p w14:paraId="4444C0E3" w14:textId="77777777" w:rsidR="00A316BC" w:rsidRDefault="00A316BC" w:rsidP="00A316BC">
            <w:pPr>
              <w:numPr>
                <w:ilvl w:val="0"/>
                <w:numId w:val="6"/>
              </w:numPr>
              <w:spacing w:before="0" w:after="60"/>
              <w:ind w:left="317" w:hanging="141"/>
              <w:rPr>
                <w:sz w:val="16"/>
              </w:rPr>
            </w:pPr>
            <w:r>
              <w:rPr>
                <w:sz w:val="16"/>
              </w:rPr>
              <w:t>En su zona media izquierda (amarilla) aconsejan posiciones en el SPX por debajo del nivel de referencia de largo plazo para cada cartera.</w:t>
            </w:r>
          </w:p>
          <w:p w14:paraId="1CA891B8" w14:textId="77777777" w:rsidR="00A316BC" w:rsidRDefault="00A316BC" w:rsidP="00A316BC">
            <w:pPr>
              <w:numPr>
                <w:ilvl w:val="0"/>
                <w:numId w:val="6"/>
              </w:numPr>
              <w:spacing w:before="0" w:after="60"/>
              <w:ind w:left="317" w:hanging="141"/>
              <w:rPr>
                <w:sz w:val="16"/>
              </w:rPr>
            </w:pPr>
            <w:r>
              <w:rPr>
                <w:sz w:val="16"/>
              </w:rPr>
              <w:t>E</w:t>
            </w:r>
            <w:r w:rsidRPr="00E462FF">
              <w:rPr>
                <w:sz w:val="16"/>
              </w:rPr>
              <w:t>n su punto medio</w:t>
            </w:r>
            <w:r>
              <w:rPr>
                <w:sz w:val="16"/>
              </w:rPr>
              <w:t xml:space="preserve"> </w:t>
            </w:r>
            <w:r w:rsidRPr="00E462FF">
              <w:rPr>
                <w:sz w:val="16"/>
              </w:rPr>
              <w:t>indican una posición neutral</w:t>
            </w:r>
            <w:r>
              <w:rPr>
                <w:sz w:val="16"/>
              </w:rPr>
              <w:t>, es decir posiciones técnicas acordes con la asignación estructural de activos de cada cartera, que probablemente para muchos inversores internacionales implique una posición comprada en el SPX.</w:t>
            </w:r>
          </w:p>
          <w:p w14:paraId="09EAFDBD" w14:textId="77777777" w:rsidR="00A316BC" w:rsidRDefault="00A316BC" w:rsidP="00A316BC">
            <w:pPr>
              <w:numPr>
                <w:ilvl w:val="0"/>
                <w:numId w:val="6"/>
              </w:numPr>
              <w:spacing w:before="0" w:after="60"/>
              <w:ind w:left="317" w:hanging="141"/>
              <w:rPr>
                <w:sz w:val="16"/>
              </w:rPr>
            </w:pPr>
            <w:r>
              <w:rPr>
                <w:sz w:val="16"/>
              </w:rPr>
              <w:t>Desde el centro (verde amarillento) hacia el extremo derecho (verde intenso) aconsejan una creciente ponderación del SPX, incluyendo el apalancamiento para las carteras más agresivas.</w:t>
            </w:r>
          </w:p>
          <w:p w14:paraId="1714F07D" w14:textId="77777777" w:rsidR="00A316BC" w:rsidRPr="00E17344" w:rsidRDefault="00A316BC" w:rsidP="003C2045">
            <w:pPr>
              <w:spacing w:before="0" w:after="60"/>
              <w:rPr>
                <w:b/>
                <w:sz w:val="20"/>
              </w:rPr>
            </w:pPr>
            <w:r>
              <w:rPr>
                <w:sz w:val="16"/>
              </w:rPr>
              <w:t>Asignamos un termómetro a cada uno de los grupos de factores que consideramos más significativos y perdurables por su influencia sobre los mercados bursátiles: valuaciones; ciclo de ganancias; y sentimientos y tendencias. Estos termómetros resumen la combinación de varios factores, pero no los agotan, y pueden operar cambios en el mercado que afecten su importancia. En nuestro análisis también podemos considerar, por diversas razones, factores que prefiramos utilizar como un input aparte para arribar a nuestras conclusiones.</w:t>
            </w:r>
          </w:p>
        </w:tc>
      </w:tr>
      <w:tr w:rsidR="00A316BC" w:rsidRPr="00657687" w14:paraId="19D1C3EB" w14:textId="77777777" w:rsidTr="00A316BC">
        <w:tc>
          <w:tcPr>
            <w:tcW w:w="3458" w:type="dxa"/>
          </w:tcPr>
          <w:p w14:paraId="44E19863" w14:textId="77777777" w:rsidR="00A316BC" w:rsidRPr="00657687" w:rsidRDefault="00A316BC" w:rsidP="003C2045">
            <w:pPr>
              <w:spacing w:before="0" w:after="0"/>
              <w:rPr>
                <w:sz w:val="20"/>
              </w:rPr>
            </w:pPr>
          </w:p>
        </w:tc>
        <w:tc>
          <w:tcPr>
            <w:tcW w:w="6573" w:type="dxa"/>
          </w:tcPr>
          <w:p w14:paraId="1D9FE2F0" w14:textId="77777777" w:rsidR="00A316BC" w:rsidRPr="00657687" w:rsidRDefault="00A316BC" w:rsidP="003C2045">
            <w:pPr>
              <w:spacing w:before="60" w:after="60"/>
              <w:rPr>
                <w:b/>
                <w:szCs w:val="22"/>
              </w:rPr>
            </w:pPr>
            <w:r w:rsidRPr="00E462FF">
              <w:rPr>
                <w:b/>
                <w:sz w:val="20"/>
                <w:szCs w:val="22"/>
              </w:rPr>
              <w:t>Valuación</w:t>
            </w:r>
          </w:p>
        </w:tc>
      </w:tr>
      <w:tr w:rsidR="00A316BC" w:rsidRPr="00657687" w14:paraId="32ADD9CC" w14:textId="77777777" w:rsidTr="00A316BC">
        <w:tc>
          <w:tcPr>
            <w:tcW w:w="3458" w:type="dxa"/>
          </w:tcPr>
          <w:p w14:paraId="1F55C0BA" w14:textId="77777777" w:rsidR="00A316BC" w:rsidRPr="00657687" w:rsidRDefault="00A316BC" w:rsidP="003C2045">
            <w:pPr>
              <w:spacing w:before="0"/>
              <w:rPr>
                <w:sz w:val="20"/>
              </w:rPr>
            </w:pPr>
          </w:p>
        </w:tc>
        <w:tc>
          <w:tcPr>
            <w:tcW w:w="6573" w:type="dxa"/>
          </w:tcPr>
          <w:p w14:paraId="37CF5572" w14:textId="77777777" w:rsidR="00A316BC" w:rsidRPr="00E462FF" w:rsidRDefault="00A316BC" w:rsidP="003C2045">
            <w:pPr>
              <w:spacing w:before="0" w:after="60"/>
              <w:rPr>
                <w:sz w:val="16"/>
              </w:rPr>
            </w:pPr>
            <w:r w:rsidRPr="00E462FF">
              <w:rPr>
                <w:b/>
                <w:sz w:val="16"/>
              </w:rPr>
              <w:t>Encontramos que la valuación del mercado es tal vez el más importante determinante de sus retornos en el largo plazo (mercados más baratos ~ mayor retorno prospectivo)</w:t>
            </w:r>
            <w:r w:rsidRPr="00E462FF">
              <w:rPr>
                <w:sz w:val="16"/>
              </w:rPr>
              <w:t>,</w:t>
            </w:r>
            <w:r>
              <w:rPr>
                <w:sz w:val="16"/>
              </w:rPr>
              <w:t xml:space="preserve"> que orienta la asignación estructural de activos y las oportunidades de rebalanceo,</w:t>
            </w:r>
            <w:r w:rsidRPr="00E462FF">
              <w:rPr>
                <w:sz w:val="16"/>
              </w:rPr>
              <w:t xml:space="preserve"> y que mantiene una significativa correlación con la magnitud de las correcciones, particularmente si tienen lugar en recesiones económicas (las mayores correcciones tienen a estar precedidas por mercados de mayores valuaciones). Sin embargo</w:t>
            </w:r>
            <w:r w:rsidR="00401C8D">
              <w:rPr>
                <w:sz w:val="16"/>
              </w:rPr>
              <w:t>,</w:t>
            </w:r>
            <w:r w:rsidRPr="00E462FF">
              <w:rPr>
                <w:sz w:val="16"/>
              </w:rPr>
              <w:t xml:space="preserve"> la valuación del mercado tiene poco valor en la determinación de sus movimientos de corto plazo, en los ciclos de sus precios y en la duración de dichos ciclos.</w:t>
            </w:r>
          </w:p>
          <w:p w14:paraId="280DC0E5" w14:textId="77777777" w:rsidR="00A316BC" w:rsidRPr="00A208C3" w:rsidRDefault="00A316BC" w:rsidP="003C2045">
            <w:pPr>
              <w:spacing w:before="0" w:after="60"/>
              <w:rPr>
                <w:sz w:val="20"/>
              </w:rPr>
            </w:pPr>
            <w:r w:rsidRPr="00E462FF">
              <w:rPr>
                <w:sz w:val="16"/>
              </w:rPr>
              <w:t>Seleccionamos el ratio de precios a ganancias por acción (“P/E”) y la prima por riesgo de mercado (</w:t>
            </w:r>
            <w:proofErr w:type="spellStart"/>
            <w:r w:rsidRPr="00E462FF">
              <w:rPr>
                <w:i/>
                <w:sz w:val="16"/>
              </w:rPr>
              <w:t>equity</w:t>
            </w:r>
            <w:proofErr w:type="spellEnd"/>
            <w:r w:rsidRPr="00E462FF">
              <w:rPr>
                <w:i/>
                <w:sz w:val="16"/>
              </w:rPr>
              <w:t xml:space="preserve"> </w:t>
            </w:r>
            <w:proofErr w:type="spellStart"/>
            <w:r w:rsidRPr="00E462FF">
              <w:rPr>
                <w:i/>
                <w:sz w:val="16"/>
              </w:rPr>
              <w:t>risk</w:t>
            </w:r>
            <w:proofErr w:type="spellEnd"/>
            <w:r w:rsidRPr="00E462FF">
              <w:rPr>
                <w:i/>
                <w:sz w:val="16"/>
              </w:rPr>
              <w:t xml:space="preserve"> </w:t>
            </w:r>
            <w:proofErr w:type="spellStart"/>
            <w:r w:rsidRPr="00E462FF">
              <w:rPr>
                <w:i/>
                <w:sz w:val="16"/>
              </w:rPr>
              <w:t>premium</w:t>
            </w:r>
            <w:proofErr w:type="spellEnd"/>
            <w:r w:rsidRPr="00E462FF">
              <w:rPr>
                <w:sz w:val="16"/>
              </w:rPr>
              <w:t>, “ERP”) como base de nuestra opinión respecto de la valuación del SPX.</w:t>
            </w:r>
          </w:p>
        </w:tc>
      </w:tr>
      <w:tr w:rsidR="00A316BC" w:rsidRPr="00657687" w14:paraId="5439041F" w14:textId="77777777" w:rsidTr="00A316BC">
        <w:tc>
          <w:tcPr>
            <w:tcW w:w="3458" w:type="dxa"/>
          </w:tcPr>
          <w:p w14:paraId="52894152" w14:textId="77777777" w:rsidR="00A316BC" w:rsidRPr="00657687" w:rsidRDefault="00A316BC" w:rsidP="003C2045">
            <w:pPr>
              <w:spacing w:before="0" w:after="0"/>
              <w:rPr>
                <w:sz w:val="20"/>
              </w:rPr>
            </w:pPr>
          </w:p>
        </w:tc>
        <w:tc>
          <w:tcPr>
            <w:tcW w:w="6573" w:type="dxa"/>
          </w:tcPr>
          <w:p w14:paraId="769BDB4D" w14:textId="77777777" w:rsidR="00A316BC" w:rsidRPr="00657687" w:rsidRDefault="00A316BC" w:rsidP="003C2045">
            <w:pPr>
              <w:spacing w:before="60" w:after="60"/>
              <w:rPr>
                <w:b/>
                <w:szCs w:val="22"/>
              </w:rPr>
            </w:pPr>
            <w:r w:rsidRPr="00E462FF">
              <w:rPr>
                <w:b/>
                <w:sz w:val="20"/>
                <w:szCs w:val="22"/>
              </w:rPr>
              <w:t>Ciclo de ganancias</w:t>
            </w:r>
          </w:p>
        </w:tc>
      </w:tr>
      <w:tr w:rsidR="00A316BC" w:rsidRPr="00657687" w14:paraId="103F3128" w14:textId="77777777" w:rsidTr="00A316BC">
        <w:tc>
          <w:tcPr>
            <w:tcW w:w="3458" w:type="dxa"/>
          </w:tcPr>
          <w:p w14:paraId="2A5FE983" w14:textId="77777777" w:rsidR="00A316BC" w:rsidRPr="00657687" w:rsidRDefault="00A316BC" w:rsidP="003C2045">
            <w:pPr>
              <w:spacing w:before="0"/>
              <w:rPr>
                <w:sz w:val="20"/>
              </w:rPr>
            </w:pPr>
          </w:p>
        </w:tc>
        <w:tc>
          <w:tcPr>
            <w:tcW w:w="6573" w:type="dxa"/>
          </w:tcPr>
          <w:p w14:paraId="3C8E0EAC" w14:textId="77777777" w:rsidR="00A316BC" w:rsidRPr="00E462FF" w:rsidRDefault="00A316BC" w:rsidP="003C2045">
            <w:pPr>
              <w:spacing w:before="0" w:after="60"/>
              <w:rPr>
                <w:b/>
                <w:sz w:val="16"/>
              </w:rPr>
            </w:pPr>
            <w:r w:rsidRPr="00E462FF">
              <w:rPr>
                <w:b/>
                <w:sz w:val="16"/>
              </w:rPr>
              <w:t>Las ganancias son la fuente que mueven y sostienen los negocios, y también los índices bursátiles. Hallamos que los momentos de mayor debilidad de los mercados tienden a relacionarse con caídas crecientes en las ganancias, y los de mayor fortaleza con las recuperaciones que siguen a dichas caídas.</w:t>
            </w:r>
          </w:p>
          <w:p w14:paraId="30D5AC49" w14:textId="77777777" w:rsidR="00A316BC" w:rsidRPr="00657687" w:rsidRDefault="00A316BC" w:rsidP="003C2045">
            <w:pPr>
              <w:spacing w:before="0" w:after="60"/>
              <w:rPr>
                <w:sz w:val="20"/>
              </w:rPr>
            </w:pPr>
            <w:r w:rsidRPr="00E462FF">
              <w:rPr>
                <w:sz w:val="16"/>
              </w:rPr>
              <w:t>Utilizamos diversos indicadores para evaluar el ciclo de las ganancias, valiendo destacar: las ganancias del SPX en sí, las ganancias prospectivas estimadas, y las revisiones de los analistas en las diversas empresas que cotizan en EEUU. También observamos el comportamiento de las principales variables de la economía norteamericana, destacándose: producción industrial, ingreso real, empleo, y ventas reales.</w:t>
            </w:r>
          </w:p>
        </w:tc>
      </w:tr>
      <w:tr w:rsidR="00A316BC" w:rsidRPr="00657687" w14:paraId="3ED8D204" w14:textId="77777777" w:rsidTr="00A316BC">
        <w:tc>
          <w:tcPr>
            <w:tcW w:w="3458" w:type="dxa"/>
          </w:tcPr>
          <w:p w14:paraId="634D8DB1" w14:textId="77777777" w:rsidR="00A316BC" w:rsidRPr="00657687" w:rsidRDefault="00A316BC" w:rsidP="003C2045">
            <w:pPr>
              <w:spacing w:before="0" w:after="0"/>
              <w:rPr>
                <w:sz w:val="20"/>
              </w:rPr>
            </w:pPr>
          </w:p>
        </w:tc>
        <w:tc>
          <w:tcPr>
            <w:tcW w:w="6573" w:type="dxa"/>
          </w:tcPr>
          <w:p w14:paraId="3141A80D" w14:textId="77777777" w:rsidR="00A316BC" w:rsidRPr="00657687" w:rsidRDefault="00A316BC" w:rsidP="003C2045">
            <w:pPr>
              <w:spacing w:before="60" w:after="60"/>
              <w:rPr>
                <w:b/>
                <w:szCs w:val="22"/>
              </w:rPr>
            </w:pPr>
            <w:r w:rsidRPr="00E462FF">
              <w:rPr>
                <w:b/>
                <w:sz w:val="20"/>
                <w:szCs w:val="22"/>
              </w:rPr>
              <w:t>Sentimientos y tendencia</w:t>
            </w:r>
          </w:p>
        </w:tc>
      </w:tr>
      <w:tr w:rsidR="00A316BC" w:rsidRPr="00657687" w14:paraId="79073B84" w14:textId="77777777" w:rsidTr="00A316BC">
        <w:tc>
          <w:tcPr>
            <w:tcW w:w="3458" w:type="dxa"/>
          </w:tcPr>
          <w:p w14:paraId="1EFDAE62" w14:textId="77777777" w:rsidR="00A316BC" w:rsidRPr="00657687" w:rsidRDefault="00A316BC" w:rsidP="003C2045">
            <w:pPr>
              <w:spacing w:before="0"/>
              <w:rPr>
                <w:sz w:val="20"/>
              </w:rPr>
            </w:pPr>
          </w:p>
        </w:tc>
        <w:tc>
          <w:tcPr>
            <w:tcW w:w="6573" w:type="dxa"/>
          </w:tcPr>
          <w:p w14:paraId="0517B1A8" w14:textId="77777777" w:rsidR="00A316BC" w:rsidRPr="00E462FF" w:rsidRDefault="00A316BC" w:rsidP="003C2045">
            <w:pPr>
              <w:spacing w:before="0" w:after="60"/>
              <w:rPr>
                <w:sz w:val="16"/>
              </w:rPr>
            </w:pPr>
            <w:r>
              <w:rPr>
                <w:b/>
                <w:sz w:val="16"/>
              </w:rPr>
              <w:t>En el corto plazo es crucial comprender l</w:t>
            </w:r>
            <w:r w:rsidRPr="00E462FF">
              <w:rPr>
                <w:b/>
                <w:sz w:val="16"/>
              </w:rPr>
              <w:t>a corriente del dinero, dominada por las opiniones y sentimientos de los inversores, determina y a veces también refleja la tendencia del mercado.</w:t>
            </w:r>
            <w:r w:rsidRPr="00E462FF">
              <w:rPr>
                <w:sz w:val="16"/>
              </w:rPr>
              <w:t xml:space="preserve"> Utilizamos varios indicadores, muchos de los cuales tienen una interpretación precisa pero cuya lectura en conjunto requiere una evaluación integral de </w:t>
            </w:r>
            <w:r>
              <w:rPr>
                <w:sz w:val="16"/>
              </w:rPr>
              <w:t xml:space="preserve">los mismos </w:t>
            </w:r>
            <w:r w:rsidRPr="00E462FF">
              <w:rPr>
                <w:sz w:val="16"/>
              </w:rPr>
              <w:t>y de las circunstancias.</w:t>
            </w:r>
          </w:p>
        </w:tc>
      </w:tr>
    </w:tbl>
    <w:p w14:paraId="25832DB7" w14:textId="2761D290" w:rsidR="00037C3A" w:rsidRPr="00785E33" w:rsidRDefault="00037C3A" w:rsidP="001B6E94">
      <w:pPr>
        <w:spacing w:before="0" w:after="0"/>
        <w:jc w:val="left"/>
        <w:rPr>
          <w:color w:val="FF0000"/>
          <w:shd w:val="clear" w:color="auto" w:fill="FFFFFF"/>
        </w:rPr>
      </w:pPr>
    </w:p>
    <w:sectPr w:rsidR="00037C3A" w:rsidRPr="00785E33" w:rsidSect="00037C3A">
      <w:headerReference w:type="default" r:id="rId18"/>
      <w:pgSz w:w="12240" w:h="15840" w:code="1"/>
      <w:pgMar w:top="1559" w:right="1134" w:bottom="1134" w:left="1418" w:header="624" w:footer="522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1DD7C" w14:textId="77777777" w:rsidR="002A6141" w:rsidRDefault="002A6141">
      <w:r>
        <w:separator/>
      </w:r>
    </w:p>
  </w:endnote>
  <w:endnote w:type="continuationSeparator" w:id="0">
    <w:p w14:paraId="06AE0995" w14:textId="77777777" w:rsidR="002A6141" w:rsidRDefault="002A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0C5F4" w14:textId="77777777" w:rsidR="002A6141" w:rsidRDefault="002A6141">
      <w:r>
        <w:separator/>
      </w:r>
    </w:p>
  </w:footnote>
  <w:footnote w:type="continuationSeparator" w:id="0">
    <w:p w14:paraId="79702F18" w14:textId="77777777" w:rsidR="002A6141" w:rsidRDefault="002A6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Look w:val="04A0" w:firstRow="1" w:lastRow="0" w:firstColumn="1" w:lastColumn="0" w:noHBand="0" w:noVBand="1"/>
    </w:tblPr>
    <w:tblGrid>
      <w:gridCol w:w="4989"/>
      <w:gridCol w:w="5046"/>
    </w:tblGrid>
    <w:tr w:rsidR="009569EA" w:rsidRPr="00514C6C" w14:paraId="7E0452CD" w14:textId="77777777" w:rsidTr="00C334A8">
      <w:tc>
        <w:tcPr>
          <w:tcW w:w="4989" w:type="dxa"/>
          <w:vMerge w:val="restart"/>
          <w:vAlign w:val="center"/>
        </w:tcPr>
        <w:p w14:paraId="77F0CB90" w14:textId="77777777" w:rsidR="009569EA" w:rsidRDefault="009569EA" w:rsidP="0059776D">
          <w:pPr>
            <w:pStyle w:val="Encabezado"/>
            <w:jc w:val="left"/>
            <w:rPr>
              <w:noProof/>
              <w:color w:val="1F497D"/>
              <w:lang w:eastAsia="es-AR"/>
            </w:rPr>
          </w:pPr>
          <w:r>
            <w:rPr>
              <w:noProof/>
              <w:color w:val="1F497D"/>
              <w:lang w:eastAsia="es-AR"/>
            </w:rPr>
            <w:drawing>
              <wp:inline distT="0" distB="0" distL="0" distR="0" wp14:anchorId="2137E097" wp14:editId="77AFC7F6">
                <wp:extent cx="1786255" cy="425450"/>
                <wp:effectExtent l="19050" t="0" r="444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62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6" w:type="dxa"/>
          <w:vAlign w:val="bottom"/>
        </w:tcPr>
        <w:p w14:paraId="6BBE4906" w14:textId="23311703" w:rsidR="009569EA" w:rsidRDefault="009569EA" w:rsidP="0059776D">
          <w:pPr>
            <w:pStyle w:val="Encabezado"/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TIME \@ "dd' de 'MMMM' de 'yyyy" </w:instrText>
          </w:r>
          <w:r>
            <w:rPr>
              <w:color w:val="1F497D"/>
            </w:rPr>
            <w:fldChar w:fldCharType="separate"/>
          </w:r>
          <w:r w:rsidR="002E5F64">
            <w:rPr>
              <w:noProof/>
              <w:color w:val="1F497D"/>
            </w:rPr>
            <w:t>11 de agosto de 2022</w:t>
          </w:r>
          <w:r>
            <w:rPr>
              <w:color w:val="1F497D"/>
            </w:rPr>
            <w:fldChar w:fldCharType="end"/>
          </w:r>
        </w:p>
      </w:tc>
    </w:tr>
    <w:tr w:rsidR="009569EA" w:rsidRPr="00514C6C" w14:paraId="0E706BC6" w14:textId="77777777" w:rsidTr="00C334A8">
      <w:tc>
        <w:tcPr>
          <w:tcW w:w="4989" w:type="dxa"/>
          <w:vMerge/>
          <w:vAlign w:val="bottom"/>
        </w:tcPr>
        <w:p w14:paraId="06E98AC5" w14:textId="77777777" w:rsidR="009569EA" w:rsidRPr="008D2DED" w:rsidRDefault="009569EA" w:rsidP="003C2045">
          <w:pPr>
            <w:pStyle w:val="Encabezado"/>
            <w:jc w:val="left"/>
            <w:rPr>
              <w:color w:val="1F497D"/>
            </w:rPr>
          </w:pPr>
        </w:p>
      </w:tc>
      <w:tc>
        <w:tcPr>
          <w:tcW w:w="5046" w:type="dxa"/>
          <w:vAlign w:val="bottom"/>
        </w:tcPr>
        <w:p w14:paraId="487D6AA1" w14:textId="77777777" w:rsidR="009569EA" w:rsidRPr="002D7C73" w:rsidRDefault="009569EA" w:rsidP="0059776D">
          <w:pPr>
            <w:pStyle w:val="Encabezado"/>
            <w:jc w:val="right"/>
            <w:rPr>
              <w:color w:val="1F497D"/>
            </w:rPr>
          </w:pPr>
          <w:r w:rsidRPr="002D7C73">
            <w:rPr>
              <w:color w:val="1F497D"/>
            </w:rPr>
            <w:fldChar w:fldCharType="begin"/>
          </w:r>
          <w:r w:rsidRPr="002D7C73">
            <w:rPr>
              <w:color w:val="1F497D"/>
            </w:rPr>
            <w:instrText xml:space="preserve"> PAGE   \* MERGEFORMAT </w:instrText>
          </w:r>
          <w:r w:rsidRPr="002D7C73">
            <w:rPr>
              <w:color w:val="1F497D"/>
            </w:rPr>
            <w:fldChar w:fldCharType="separate"/>
          </w:r>
          <w:r>
            <w:rPr>
              <w:noProof/>
              <w:color w:val="1F497D"/>
            </w:rPr>
            <w:t>2</w:t>
          </w:r>
          <w:r w:rsidRPr="002D7C73">
            <w:rPr>
              <w:color w:val="1F497D"/>
            </w:rPr>
            <w:fldChar w:fldCharType="end"/>
          </w:r>
        </w:p>
      </w:tc>
    </w:tr>
    <w:tr w:rsidR="009569EA" w:rsidRPr="008D2DED" w14:paraId="6BD2C4FD" w14:textId="77777777" w:rsidTr="00C334A8">
      <w:trPr>
        <w:trHeight w:val="809"/>
      </w:trPr>
      <w:tc>
        <w:tcPr>
          <w:tcW w:w="10035" w:type="dxa"/>
          <w:gridSpan w:val="2"/>
          <w:shd w:val="clear" w:color="auto" w:fill="1F497D"/>
          <w:vAlign w:val="center"/>
        </w:tcPr>
        <w:p w14:paraId="09E330C6" w14:textId="77777777" w:rsidR="009569EA" w:rsidRPr="008D2DED" w:rsidRDefault="009569EA" w:rsidP="00037C3A">
          <w:pPr>
            <w:pStyle w:val="Encabezado"/>
            <w:shd w:val="clear" w:color="auto" w:fill="1F497D"/>
            <w:spacing w:before="0" w:after="0"/>
            <w:jc w:val="left"/>
            <w:rPr>
              <w:color w:val="1F497D"/>
            </w:rPr>
          </w:pPr>
          <w:r>
            <w:rPr>
              <w:rFonts w:ascii="Garamond" w:hAnsi="Garamond"/>
              <w:b/>
              <w:color w:val="FFFFFF"/>
              <w:sz w:val="24"/>
              <w:szCs w:val="24"/>
            </w:rPr>
            <w:t>ESTRATEGIA GLOBAL Y LOCAL</w:t>
          </w:r>
        </w:p>
      </w:tc>
    </w:tr>
  </w:tbl>
  <w:p w14:paraId="0FDC0C6F" w14:textId="77777777" w:rsidR="009569EA" w:rsidRPr="0059776D" w:rsidRDefault="009569EA" w:rsidP="005977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Look w:val="04A0" w:firstRow="1" w:lastRow="0" w:firstColumn="1" w:lastColumn="0" w:noHBand="0" w:noVBand="1"/>
    </w:tblPr>
    <w:tblGrid>
      <w:gridCol w:w="4989"/>
      <w:gridCol w:w="5046"/>
    </w:tblGrid>
    <w:tr w:rsidR="009569EA" w:rsidRPr="00514C6C" w14:paraId="144C547F" w14:textId="77777777" w:rsidTr="00C334A8">
      <w:tc>
        <w:tcPr>
          <w:tcW w:w="4989" w:type="dxa"/>
          <w:vMerge w:val="restart"/>
          <w:vAlign w:val="center"/>
        </w:tcPr>
        <w:p w14:paraId="2B9FDC52" w14:textId="77777777" w:rsidR="009569EA" w:rsidRDefault="009569EA" w:rsidP="0059776D">
          <w:pPr>
            <w:pStyle w:val="Encabezado"/>
            <w:jc w:val="left"/>
            <w:rPr>
              <w:noProof/>
              <w:color w:val="1F497D"/>
              <w:lang w:eastAsia="es-AR"/>
            </w:rPr>
          </w:pPr>
          <w:r>
            <w:rPr>
              <w:noProof/>
              <w:color w:val="1F497D"/>
              <w:lang w:eastAsia="es-AR"/>
            </w:rPr>
            <w:drawing>
              <wp:inline distT="0" distB="0" distL="0" distR="0" wp14:anchorId="2D9710AB" wp14:editId="176743F8">
                <wp:extent cx="1786255" cy="425450"/>
                <wp:effectExtent l="19050" t="0" r="4445" b="0"/>
                <wp:docPr id="1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6255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6" w:type="dxa"/>
          <w:vAlign w:val="bottom"/>
        </w:tcPr>
        <w:p w14:paraId="2ED3F435" w14:textId="6FF78184" w:rsidR="009569EA" w:rsidRDefault="009569EA" w:rsidP="00440860">
          <w:pPr>
            <w:pStyle w:val="Encabezado"/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TIME \@ "dd' de 'MMMM' de 'yyyy" </w:instrText>
          </w:r>
          <w:r>
            <w:rPr>
              <w:color w:val="1F497D"/>
            </w:rPr>
            <w:fldChar w:fldCharType="separate"/>
          </w:r>
          <w:r w:rsidR="002E5F64">
            <w:rPr>
              <w:noProof/>
              <w:color w:val="1F497D"/>
            </w:rPr>
            <w:t>11 de agosto de 2022</w:t>
          </w:r>
          <w:r>
            <w:rPr>
              <w:color w:val="1F497D"/>
            </w:rPr>
            <w:fldChar w:fldCharType="end"/>
          </w:r>
        </w:p>
      </w:tc>
    </w:tr>
    <w:tr w:rsidR="009569EA" w:rsidRPr="00514C6C" w14:paraId="106AEF17" w14:textId="77777777" w:rsidTr="00C334A8">
      <w:tc>
        <w:tcPr>
          <w:tcW w:w="4989" w:type="dxa"/>
          <w:vMerge/>
          <w:vAlign w:val="bottom"/>
        </w:tcPr>
        <w:p w14:paraId="4F524B4D" w14:textId="77777777" w:rsidR="009569EA" w:rsidRPr="008D2DED" w:rsidRDefault="009569EA" w:rsidP="003C2045">
          <w:pPr>
            <w:pStyle w:val="Encabezado"/>
            <w:jc w:val="left"/>
            <w:rPr>
              <w:color w:val="1F497D"/>
            </w:rPr>
          </w:pPr>
        </w:p>
      </w:tc>
      <w:tc>
        <w:tcPr>
          <w:tcW w:w="5046" w:type="dxa"/>
          <w:vAlign w:val="bottom"/>
        </w:tcPr>
        <w:p w14:paraId="231FA789" w14:textId="45D7C175" w:rsidR="009569EA" w:rsidRPr="00C1224D" w:rsidRDefault="009569EA" w:rsidP="0059776D">
          <w:pPr>
            <w:pStyle w:val="Encabezado"/>
            <w:jc w:val="right"/>
            <w:rPr>
              <w:color w:val="1F497D"/>
            </w:rPr>
          </w:pPr>
          <w:r w:rsidRPr="00C1224D">
            <w:rPr>
              <w:color w:val="1F497D"/>
            </w:rPr>
            <w:fldChar w:fldCharType="begin"/>
          </w:r>
          <w:r w:rsidRPr="00C1224D">
            <w:rPr>
              <w:color w:val="1F497D"/>
            </w:rPr>
            <w:instrText xml:space="preserve"> PAGE   \* MERGEFORMAT </w:instrText>
          </w:r>
          <w:r w:rsidRPr="00C1224D">
            <w:rPr>
              <w:color w:val="1F497D"/>
            </w:rPr>
            <w:fldChar w:fldCharType="separate"/>
          </w:r>
          <w:r w:rsidR="00D65941">
            <w:rPr>
              <w:noProof/>
              <w:color w:val="1F497D"/>
            </w:rPr>
            <w:t>5</w:t>
          </w:r>
          <w:r w:rsidRPr="00C1224D">
            <w:rPr>
              <w:color w:val="1F497D"/>
            </w:rPr>
            <w:fldChar w:fldCharType="end"/>
          </w:r>
        </w:p>
      </w:tc>
    </w:tr>
    <w:tr w:rsidR="009569EA" w:rsidRPr="008D2DED" w14:paraId="7E35A66F" w14:textId="77777777" w:rsidTr="00C334A8">
      <w:trPr>
        <w:trHeight w:val="809"/>
      </w:trPr>
      <w:tc>
        <w:tcPr>
          <w:tcW w:w="10035" w:type="dxa"/>
          <w:gridSpan w:val="2"/>
          <w:shd w:val="clear" w:color="auto" w:fill="1F497D"/>
          <w:vAlign w:val="center"/>
        </w:tcPr>
        <w:p w14:paraId="7163014C" w14:textId="77777777" w:rsidR="009569EA" w:rsidRPr="008D2DED" w:rsidRDefault="009569EA" w:rsidP="00AF22FE">
          <w:pPr>
            <w:pStyle w:val="Encabezado"/>
            <w:shd w:val="clear" w:color="auto" w:fill="1F497D"/>
            <w:spacing w:before="0" w:after="0"/>
            <w:jc w:val="left"/>
            <w:rPr>
              <w:color w:val="1F497D"/>
            </w:rPr>
          </w:pPr>
        </w:p>
      </w:tc>
    </w:tr>
  </w:tbl>
  <w:p w14:paraId="6B3EEAD4" w14:textId="77777777" w:rsidR="009569EA" w:rsidRPr="0059776D" w:rsidRDefault="009569EA" w:rsidP="001B6E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6.75pt;height:34.4pt" o:bullet="t">
        <v:imagedata r:id="rId1" o:title=""/>
      </v:shape>
    </w:pict>
  </w:numPicBullet>
  <w:abstractNum w:abstractNumId="0" w15:restartNumberingAfterBreak="0">
    <w:nsid w:val="02907AE2"/>
    <w:multiLevelType w:val="hybridMultilevel"/>
    <w:tmpl w:val="FCCE2A88"/>
    <w:lvl w:ilvl="0" w:tplc="30101C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0029"/>
    <w:multiLevelType w:val="hybridMultilevel"/>
    <w:tmpl w:val="AF303F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305"/>
    <w:multiLevelType w:val="hybridMultilevel"/>
    <w:tmpl w:val="BD9214E0"/>
    <w:lvl w:ilvl="0" w:tplc="E97A8C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3496"/>
    <w:multiLevelType w:val="hybridMultilevel"/>
    <w:tmpl w:val="E200DF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306DB"/>
    <w:multiLevelType w:val="hybridMultilevel"/>
    <w:tmpl w:val="3CC6CD20"/>
    <w:lvl w:ilvl="0" w:tplc="FA68FA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076F4"/>
    <w:multiLevelType w:val="hybridMultilevel"/>
    <w:tmpl w:val="7A8E1F0E"/>
    <w:lvl w:ilvl="0" w:tplc="E97A8C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F5E8F"/>
    <w:multiLevelType w:val="hybridMultilevel"/>
    <w:tmpl w:val="D7B85EC0"/>
    <w:lvl w:ilvl="0" w:tplc="E97A8C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232C3"/>
    <w:multiLevelType w:val="hybridMultilevel"/>
    <w:tmpl w:val="287E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05D6D"/>
    <w:multiLevelType w:val="hybridMultilevel"/>
    <w:tmpl w:val="DE96C10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E39"/>
    <w:multiLevelType w:val="hybridMultilevel"/>
    <w:tmpl w:val="39DE6358"/>
    <w:lvl w:ilvl="0" w:tplc="FA68FA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34E1A"/>
    <w:multiLevelType w:val="hybridMultilevel"/>
    <w:tmpl w:val="89E22FC6"/>
    <w:lvl w:ilvl="0" w:tplc="4FF8756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A188A"/>
    <w:multiLevelType w:val="hybridMultilevel"/>
    <w:tmpl w:val="32D0B198"/>
    <w:lvl w:ilvl="0" w:tplc="EC1EC0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F1D4E"/>
    <w:multiLevelType w:val="hybridMultilevel"/>
    <w:tmpl w:val="C7D61862"/>
    <w:lvl w:ilvl="0" w:tplc="BC9C5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70714"/>
    <w:multiLevelType w:val="hybridMultilevel"/>
    <w:tmpl w:val="9684CE0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C5B4F"/>
    <w:multiLevelType w:val="hybridMultilevel"/>
    <w:tmpl w:val="55646C12"/>
    <w:lvl w:ilvl="0" w:tplc="D9D417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F324A"/>
    <w:multiLevelType w:val="multilevel"/>
    <w:tmpl w:val="287ED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51D67"/>
    <w:multiLevelType w:val="hybridMultilevel"/>
    <w:tmpl w:val="717CFA96"/>
    <w:lvl w:ilvl="0" w:tplc="01A69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E451E"/>
    <w:multiLevelType w:val="hybridMultilevel"/>
    <w:tmpl w:val="F6BAE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0564245"/>
    <w:multiLevelType w:val="hybridMultilevel"/>
    <w:tmpl w:val="2FB0D35E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16CE8"/>
    <w:multiLevelType w:val="hybridMultilevel"/>
    <w:tmpl w:val="A134CE9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A2543"/>
    <w:multiLevelType w:val="hybridMultilevel"/>
    <w:tmpl w:val="60448A94"/>
    <w:lvl w:ilvl="0" w:tplc="EC1EC0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773F4"/>
    <w:multiLevelType w:val="hybridMultilevel"/>
    <w:tmpl w:val="6ABE7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147E0"/>
    <w:multiLevelType w:val="hybridMultilevel"/>
    <w:tmpl w:val="58B8E84C"/>
    <w:lvl w:ilvl="0" w:tplc="E97A8C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4"/>
  </w:num>
  <w:num w:numId="5">
    <w:abstractNumId w:val="9"/>
  </w:num>
  <w:num w:numId="6">
    <w:abstractNumId w:val="18"/>
  </w:num>
  <w:num w:numId="7">
    <w:abstractNumId w:val="22"/>
  </w:num>
  <w:num w:numId="8">
    <w:abstractNumId w:val="6"/>
  </w:num>
  <w:num w:numId="9">
    <w:abstractNumId w:val="5"/>
  </w:num>
  <w:num w:numId="10">
    <w:abstractNumId w:val="2"/>
  </w:num>
  <w:num w:numId="11">
    <w:abstractNumId w:val="21"/>
  </w:num>
  <w:num w:numId="12">
    <w:abstractNumId w:val="14"/>
  </w:num>
  <w:num w:numId="13">
    <w:abstractNumId w:val="11"/>
  </w:num>
  <w:num w:numId="14">
    <w:abstractNumId w:val="20"/>
  </w:num>
  <w:num w:numId="15">
    <w:abstractNumId w:val="0"/>
  </w:num>
  <w:num w:numId="16">
    <w:abstractNumId w:val="10"/>
  </w:num>
  <w:num w:numId="17">
    <w:abstractNumId w:val="3"/>
  </w:num>
  <w:num w:numId="18">
    <w:abstractNumId w:val="16"/>
  </w:num>
  <w:num w:numId="19">
    <w:abstractNumId w:val="12"/>
  </w:num>
  <w:num w:numId="20">
    <w:abstractNumId w:val="13"/>
  </w:num>
  <w:num w:numId="21">
    <w:abstractNumId w:val="1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40"/>
  <w:hideSpellingErrors/>
  <w:hideGrammaticalErrors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6" w:nlCheck="1" w:checkStyle="1"/>
  <w:activeWritingStyle w:appName="MSWord" w:lang="es-MX" w:vendorID="64" w:dllVersion="6" w:nlCheck="1" w:checkStyle="0"/>
  <w:activeWritingStyle w:appName="MSWord" w:lang="en-CA" w:vendorID="64" w:dllVersion="6" w:nlCheck="1" w:checkStyle="1"/>
  <w:activeWritingStyle w:appName="MSWord" w:lang="es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A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D8"/>
    <w:rsid w:val="00000494"/>
    <w:rsid w:val="000019E7"/>
    <w:rsid w:val="00002098"/>
    <w:rsid w:val="00002452"/>
    <w:rsid w:val="0000274E"/>
    <w:rsid w:val="000029CC"/>
    <w:rsid w:val="00002C82"/>
    <w:rsid w:val="00002EED"/>
    <w:rsid w:val="000034DF"/>
    <w:rsid w:val="00004390"/>
    <w:rsid w:val="00004405"/>
    <w:rsid w:val="00004A5F"/>
    <w:rsid w:val="00005EDD"/>
    <w:rsid w:val="0000679E"/>
    <w:rsid w:val="00006DE2"/>
    <w:rsid w:val="00010E76"/>
    <w:rsid w:val="00011032"/>
    <w:rsid w:val="00011231"/>
    <w:rsid w:val="00011E77"/>
    <w:rsid w:val="0001409E"/>
    <w:rsid w:val="0001493D"/>
    <w:rsid w:val="00014AE7"/>
    <w:rsid w:val="00015278"/>
    <w:rsid w:val="000156BC"/>
    <w:rsid w:val="00015F2D"/>
    <w:rsid w:val="00016617"/>
    <w:rsid w:val="000168B0"/>
    <w:rsid w:val="00016E00"/>
    <w:rsid w:val="0001790F"/>
    <w:rsid w:val="00017D96"/>
    <w:rsid w:val="00017E9B"/>
    <w:rsid w:val="00020074"/>
    <w:rsid w:val="00020085"/>
    <w:rsid w:val="00021B50"/>
    <w:rsid w:val="00021E6E"/>
    <w:rsid w:val="0002297D"/>
    <w:rsid w:val="00022ED2"/>
    <w:rsid w:val="0002307B"/>
    <w:rsid w:val="00023C85"/>
    <w:rsid w:val="000244AA"/>
    <w:rsid w:val="0002497D"/>
    <w:rsid w:val="00025111"/>
    <w:rsid w:val="00026501"/>
    <w:rsid w:val="00026DE2"/>
    <w:rsid w:val="0002758E"/>
    <w:rsid w:val="0003152B"/>
    <w:rsid w:val="0003289D"/>
    <w:rsid w:val="00034FFD"/>
    <w:rsid w:val="00035234"/>
    <w:rsid w:val="0003546D"/>
    <w:rsid w:val="00037406"/>
    <w:rsid w:val="00037C3A"/>
    <w:rsid w:val="00040A9D"/>
    <w:rsid w:val="00040E53"/>
    <w:rsid w:val="00041000"/>
    <w:rsid w:val="00041244"/>
    <w:rsid w:val="000423C5"/>
    <w:rsid w:val="00043692"/>
    <w:rsid w:val="00045084"/>
    <w:rsid w:val="00045427"/>
    <w:rsid w:val="0004566A"/>
    <w:rsid w:val="000463BE"/>
    <w:rsid w:val="000468C0"/>
    <w:rsid w:val="00046C1C"/>
    <w:rsid w:val="000471B6"/>
    <w:rsid w:val="00047921"/>
    <w:rsid w:val="000511CD"/>
    <w:rsid w:val="000512B7"/>
    <w:rsid w:val="00051B9E"/>
    <w:rsid w:val="0005202C"/>
    <w:rsid w:val="00054252"/>
    <w:rsid w:val="000547CB"/>
    <w:rsid w:val="00055CA7"/>
    <w:rsid w:val="00060FEA"/>
    <w:rsid w:val="00061D29"/>
    <w:rsid w:val="00061EC5"/>
    <w:rsid w:val="00062CA9"/>
    <w:rsid w:val="000634E4"/>
    <w:rsid w:val="00065805"/>
    <w:rsid w:val="000662F5"/>
    <w:rsid w:val="000670F7"/>
    <w:rsid w:val="00067C17"/>
    <w:rsid w:val="000702C3"/>
    <w:rsid w:val="00071038"/>
    <w:rsid w:val="0007384C"/>
    <w:rsid w:val="00074627"/>
    <w:rsid w:val="0007592F"/>
    <w:rsid w:val="0007603D"/>
    <w:rsid w:val="0007795F"/>
    <w:rsid w:val="00077EB9"/>
    <w:rsid w:val="0008242B"/>
    <w:rsid w:val="000827D4"/>
    <w:rsid w:val="00082FF4"/>
    <w:rsid w:val="000833A2"/>
    <w:rsid w:val="00083828"/>
    <w:rsid w:val="00083BEA"/>
    <w:rsid w:val="00083F0A"/>
    <w:rsid w:val="00084A92"/>
    <w:rsid w:val="0008596E"/>
    <w:rsid w:val="00085C0B"/>
    <w:rsid w:val="00085C71"/>
    <w:rsid w:val="000860D9"/>
    <w:rsid w:val="00086B31"/>
    <w:rsid w:val="00086F66"/>
    <w:rsid w:val="00087F75"/>
    <w:rsid w:val="0009114D"/>
    <w:rsid w:val="0009227F"/>
    <w:rsid w:val="000955A0"/>
    <w:rsid w:val="0009762C"/>
    <w:rsid w:val="000A03A0"/>
    <w:rsid w:val="000A1191"/>
    <w:rsid w:val="000A158A"/>
    <w:rsid w:val="000A45C9"/>
    <w:rsid w:val="000A4886"/>
    <w:rsid w:val="000A520C"/>
    <w:rsid w:val="000A5D65"/>
    <w:rsid w:val="000A7175"/>
    <w:rsid w:val="000A7351"/>
    <w:rsid w:val="000A785C"/>
    <w:rsid w:val="000A7EDF"/>
    <w:rsid w:val="000B3596"/>
    <w:rsid w:val="000B3989"/>
    <w:rsid w:val="000B4B19"/>
    <w:rsid w:val="000B4D4A"/>
    <w:rsid w:val="000B4E5F"/>
    <w:rsid w:val="000B53D2"/>
    <w:rsid w:val="000B55CC"/>
    <w:rsid w:val="000B5BB8"/>
    <w:rsid w:val="000B64E4"/>
    <w:rsid w:val="000B70D4"/>
    <w:rsid w:val="000B7BF0"/>
    <w:rsid w:val="000C09FC"/>
    <w:rsid w:val="000C236C"/>
    <w:rsid w:val="000C28E6"/>
    <w:rsid w:val="000C474E"/>
    <w:rsid w:val="000C50A9"/>
    <w:rsid w:val="000C58A5"/>
    <w:rsid w:val="000C738A"/>
    <w:rsid w:val="000C7B7C"/>
    <w:rsid w:val="000C7E45"/>
    <w:rsid w:val="000D00B4"/>
    <w:rsid w:val="000D05B5"/>
    <w:rsid w:val="000D05D8"/>
    <w:rsid w:val="000D10E6"/>
    <w:rsid w:val="000D17B3"/>
    <w:rsid w:val="000D2019"/>
    <w:rsid w:val="000D2CC3"/>
    <w:rsid w:val="000D394A"/>
    <w:rsid w:val="000D3B18"/>
    <w:rsid w:val="000D3DF5"/>
    <w:rsid w:val="000D685E"/>
    <w:rsid w:val="000D6AA4"/>
    <w:rsid w:val="000D7197"/>
    <w:rsid w:val="000D7ACE"/>
    <w:rsid w:val="000E0666"/>
    <w:rsid w:val="000E121A"/>
    <w:rsid w:val="000E1610"/>
    <w:rsid w:val="000E2294"/>
    <w:rsid w:val="000E25B3"/>
    <w:rsid w:val="000E3A6D"/>
    <w:rsid w:val="000E5331"/>
    <w:rsid w:val="000E6986"/>
    <w:rsid w:val="000E6C2A"/>
    <w:rsid w:val="000F2B30"/>
    <w:rsid w:val="000F2FAE"/>
    <w:rsid w:val="000F52AB"/>
    <w:rsid w:val="000F60FA"/>
    <w:rsid w:val="000F6812"/>
    <w:rsid w:val="000F76EE"/>
    <w:rsid w:val="000F7742"/>
    <w:rsid w:val="00100821"/>
    <w:rsid w:val="00100DDE"/>
    <w:rsid w:val="00100F6E"/>
    <w:rsid w:val="00101E47"/>
    <w:rsid w:val="00102AEA"/>
    <w:rsid w:val="00102CC1"/>
    <w:rsid w:val="0010350B"/>
    <w:rsid w:val="0010440B"/>
    <w:rsid w:val="00104769"/>
    <w:rsid w:val="00104A61"/>
    <w:rsid w:val="00105DA0"/>
    <w:rsid w:val="001061FC"/>
    <w:rsid w:val="00106CC9"/>
    <w:rsid w:val="00110A74"/>
    <w:rsid w:val="001135B1"/>
    <w:rsid w:val="00113746"/>
    <w:rsid w:val="001138B5"/>
    <w:rsid w:val="00113C76"/>
    <w:rsid w:val="0011445C"/>
    <w:rsid w:val="001153F2"/>
    <w:rsid w:val="00115510"/>
    <w:rsid w:val="00116AA0"/>
    <w:rsid w:val="00117991"/>
    <w:rsid w:val="001204B9"/>
    <w:rsid w:val="00121CEB"/>
    <w:rsid w:val="001225C3"/>
    <w:rsid w:val="00123911"/>
    <w:rsid w:val="00123DFD"/>
    <w:rsid w:val="00124A3B"/>
    <w:rsid w:val="00124DF1"/>
    <w:rsid w:val="00125083"/>
    <w:rsid w:val="001266D0"/>
    <w:rsid w:val="001270B0"/>
    <w:rsid w:val="00127EB3"/>
    <w:rsid w:val="00132A64"/>
    <w:rsid w:val="0013346B"/>
    <w:rsid w:val="001348B9"/>
    <w:rsid w:val="0013563E"/>
    <w:rsid w:val="001361D5"/>
    <w:rsid w:val="001370C2"/>
    <w:rsid w:val="00137553"/>
    <w:rsid w:val="00137863"/>
    <w:rsid w:val="001405E9"/>
    <w:rsid w:val="00140EBC"/>
    <w:rsid w:val="00142DF4"/>
    <w:rsid w:val="0014389A"/>
    <w:rsid w:val="00144387"/>
    <w:rsid w:val="001444AA"/>
    <w:rsid w:val="00145A89"/>
    <w:rsid w:val="00146245"/>
    <w:rsid w:val="0014763F"/>
    <w:rsid w:val="00147AD5"/>
    <w:rsid w:val="00147AEA"/>
    <w:rsid w:val="00147D02"/>
    <w:rsid w:val="00150D0C"/>
    <w:rsid w:val="00151C2A"/>
    <w:rsid w:val="0015242B"/>
    <w:rsid w:val="001526F5"/>
    <w:rsid w:val="001534F5"/>
    <w:rsid w:val="0015456A"/>
    <w:rsid w:val="00155D12"/>
    <w:rsid w:val="00155EA4"/>
    <w:rsid w:val="00156473"/>
    <w:rsid w:val="00156487"/>
    <w:rsid w:val="001576D9"/>
    <w:rsid w:val="0016014E"/>
    <w:rsid w:val="001618D4"/>
    <w:rsid w:val="00163A3E"/>
    <w:rsid w:val="00163E3D"/>
    <w:rsid w:val="001649C8"/>
    <w:rsid w:val="00165E80"/>
    <w:rsid w:val="00166B67"/>
    <w:rsid w:val="00170BC4"/>
    <w:rsid w:val="00170F37"/>
    <w:rsid w:val="0017271C"/>
    <w:rsid w:val="00172E2D"/>
    <w:rsid w:val="00173CD4"/>
    <w:rsid w:val="001743B0"/>
    <w:rsid w:val="0017605D"/>
    <w:rsid w:val="00176F9E"/>
    <w:rsid w:val="00177AC9"/>
    <w:rsid w:val="00177DB4"/>
    <w:rsid w:val="00180A2B"/>
    <w:rsid w:val="001813A3"/>
    <w:rsid w:val="0018161F"/>
    <w:rsid w:val="00182239"/>
    <w:rsid w:val="001831C9"/>
    <w:rsid w:val="0018321E"/>
    <w:rsid w:val="0018330E"/>
    <w:rsid w:val="00183D8E"/>
    <w:rsid w:val="00184060"/>
    <w:rsid w:val="00184DE2"/>
    <w:rsid w:val="00184EE4"/>
    <w:rsid w:val="00186902"/>
    <w:rsid w:val="001873E5"/>
    <w:rsid w:val="00190026"/>
    <w:rsid w:val="00190929"/>
    <w:rsid w:val="00193C77"/>
    <w:rsid w:val="001940AF"/>
    <w:rsid w:val="0019586F"/>
    <w:rsid w:val="00195DE4"/>
    <w:rsid w:val="00195E56"/>
    <w:rsid w:val="00197041"/>
    <w:rsid w:val="001A1E78"/>
    <w:rsid w:val="001A26F3"/>
    <w:rsid w:val="001A4EC1"/>
    <w:rsid w:val="001A5F89"/>
    <w:rsid w:val="001A6851"/>
    <w:rsid w:val="001A7380"/>
    <w:rsid w:val="001B11B5"/>
    <w:rsid w:val="001B13A4"/>
    <w:rsid w:val="001B189A"/>
    <w:rsid w:val="001B21B1"/>
    <w:rsid w:val="001B2DC1"/>
    <w:rsid w:val="001B2E37"/>
    <w:rsid w:val="001B5120"/>
    <w:rsid w:val="001B5977"/>
    <w:rsid w:val="001B5A8C"/>
    <w:rsid w:val="001B6B4B"/>
    <w:rsid w:val="001B6E94"/>
    <w:rsid w:val="001B7108"/>
    <w:rsid w:val="001B7F42"/>
    <w:rsid w:val="001C0A67"/>
    <w:rsid w:val="001C1AA9"/>
    <w:rsid w:val="001C27C8"/>
    <w:rsid w:val="001C3B3A"/>
    <w:rsid w:val="001C3D7A"/>
    <w:rsid w:val="001C4BCB"/>
    <w:rsid w:val="001C672B"/>
    <w:rsid w:val="001C6ADD"/>
    <w:rsid w:val="001D030F"/>
    <w:rsid w:val="001D1113"/>
    <w:rsid w:val="001D2D3E"/>
    <w:rsid w:val="001D384E"/>
    <w:rsid w:val="001D4555"/>
    <w:rsid w:val="001D45BA"/>
    <w:rsid w:val="001D4645"/>
    <w:rsid w:val="001D4B00"/>
    <w:rsid w:val="001D631B"/>
    <w:rsid w:val="001D6806"/>
    <w:rsid w:val="001D7D0E"/>
    <w:rsid w:val="001E0D98"/>
    <w:rsid w:val="001E1FA6"/>
    <w:rsid w:val="001E2266"/>
    <w:rsid w:val="001E2AE1"/>
    <w:rsid w:val="001E46BA"/>
    <w:rsid w:val="001E4C5D"/>
    <w:rsid w:val="001E52F6"/>
    <w:rsid w:val="001E5336"/>
    <w:rsid w:val="001E5432"/>
    <w:rsid w:val="001E6A4F"/>
    <w:rsid w:val="001E6EFC"/>
    <w:rsid w:val="001E72FC"/>
    <w:rsid w:val="001F1216"/>
    <w:rsid w:val="001F1C9B"/>
    <w:rsid w:val="001F4A49"/>
    <w:rsid w:val="001F63DE"/>
    <w:rsid w:val="00200EB6"/>
    <w:rsid w:val="00201319"/>
    <w:rsid w:val="0020258D"/>
    <w:rsid w:val="00203835"/>
    <w:rsid w:val="00205A31"/>
    <w:rsid w:val="00206A13"/>
    <w:rsid w:val="0020725D"/>
    <w:rsid w:val="00207DBA"/>
    <w:rsid w:val="002106AC"/>
    <w:rsid w:val="00212386"/>
    <w:rsid w:val="002138D3"/>
    <w:rsid w:val="00216076"/>
    <w:rsid w:val="00216CB2"/>
    <w:rsid w:val="002176A7"/>
    <w:rsid w:val="00220141"/>
    <w:rsid w:val="00220C9B"/>
    <w:rsid w:val="00223B70"/>
    <w:rsid w:val="00225258"/>
    <w:rsid w:val="0022609F"/>
    <w:rsid w:val="00226E15"/>
    <w:rsid w:val="00230669"/>
    <w:rsid w:val="002317C6"/>
    <w:rsid w:val="00231A70"/>
    <w:rsid w:val="00232006"/>
    <w:rsid w:val="002337E7"/>
    <w:rsid w:val="002349B9"/>
    <w:rsid w:val="00234A76"/>
    <w:rsid w:val="00234DA5"/>
    <w:rsid w:val="002357A3"/>
    <w:rsid w:val="00235E1D"/>
    <w:rsid w:val="00236A96"/>
    <w:rsid w:val="00236AE9"/>
    <w:rsid w:val="00236D8B"/>
    <w:rsid w:val="00237761"/>
    <w:rsid w:val="00237932"/>
    <w:rsid w:val="00237985"/>
    <w:rsid w:val="00240D97"/>
    <w:rsid w:val="00241BF1"/>
    <w:rsid w:val="0024223D"/>
    <w:rsid w:val="00242857"/>
    <w:rsid w:val="00243310"/>
    <w:rsid w:val="00243442"/>
    <w:rsid w:val="00244990"/>
    <w:rsid w:val="00245C11"/>
    <w:rsid w:val="00246D0F"/>
    <w:rsid w:val="00246E2E"/>
    <w:rsid w:val="00250A35"/>
    <w:rsid w:val="0025281D"/>
    <w:rsid w:val="0025300D"/>
    <w:rsid w:val="002547F5"/>
    <w:rsid w:val="00255B98"/>
    <w:rsid w:val="002562BF"/>
    <w:rsid w:val="00256BAC"/>
    <w:rsid w:val="002570B7"/>
    <w:rsid w:val="002577F5"/>
    <w:rsid w:val="00260070"/>
    <w:rsid w:val="00261683"/>
    <w:rsid w:val="00262979"/>
    <w:rsid w:val="002633EE"/>
    <w:rsid w:val="00264239"/>
    <w:rsid w:val="00265C5A"/>
    <w:rsid w:val="00266C0C"/>
    <w:rsid w:val="00266DDD"/>
    <w:rsid w:val="00270262"/>
    <w:rsid w:val="0027132E"/>
    <w:rsid w:val="002713A4"/>
    <w:rsid w:val="002714F6"/>
    <w:rsid w:val="00271566"/>
    <w:rsid w:val="00271EEA"/>
    <w:rsid w:val="002740B1"/>
    <w:rsid w:val="00274482"/>
    <w:rsid w:val="00276B7F"/>
    <w:rsid w:val="00276E92"/>
    <w:rsid w:val="00281B4E"/>
    <w:rsid w:val="00281F1B"/>
    <w:rsid w:val="00283B08"/>
    <w:rsid w:val="00285869"/>
    <w:rsid w:val="00286EC1"/>
    <w:rsid w:val="002873D7"/>
    <w:rsid w:val="002875EE"/>
    <w:rsid w:val="00291030"/>
    <w:rsid w:val="0029270C"/>
    <w:rsid w:val="00293161"/>
    <w:rsid w:val="002958CC"/>
    <w:rsid w:val="002964FE"/>
    <w:rsid w:val="00296868"/>
    <w:rsid w:val="002A1189"/>
    <w:rsid w:val="002A1B08"/>
    <w:rsid w:val="002A1E88"/>
    <w:rsid w:val="002A2C34"/>
    <w:rsid w:val="002A381C"/>
    <w:rsid w:val="002A6141"/>
    <w:rsid w:val="002A65D3"/>
    <w:rsid w:val="002B07F6"/>
    <w:rsid w:val="002B1208"/>
    <w:rsid w:val="002B18BA"/>
    <w:rsid w:val="002B1B00"/>
    <w:rsid w:val="002B371E"/>
    <w:rsid w:val="002B6FE4"/>
    <w:rsid w:val="002C0BC9"/>
    <w:rsid w:val="002C19A4"/>
    <w:rsid w:val="002C1D93"/>
    <w:rsid w:val="002C204C"/>
    <w:rsid w:val="002C30D5"/>
    <w:rsid w:val="002C3F34"/>
    <w:rsid w:val="002C4065"/>
    <w:rsid w:val="002C483B"/>
    <w:rsid w:val="002C6754"/>
    <w:rsid w:val="002C67D4"/>
    <w:rsid w:val="002C6AAE"/>
    <w:rsid w:val="002C6E99"/>
    <w:rsid w:val="002C747E"/>
    <w:rsid w:val="002C7F76"/>
    <w:rsid w:val="002D2AC0"/>
    <w:rsid w:val="002D4838"/>
    <w:rsid w:val="002D5265"/>
    <w:rsid w:val="002D5C28"/>
    <w:rsid w:val="002D5F51"/>
    <w:rsid w:val="002D6931"/>
    <w:rsid w:val="002D69E8"/>
    <w:rsid w:val="002D7C73"/>
    <w:rsid w:val="002E30A6"/>
    <w:rsid w:val="002E458C"/>
    <w:rsid w:val="002E4678"/>
    <w:rsid w:val="002E5F64"/>
    <w:rsid w:val="002E64DE"/>
    <w:rsid w:val="002E755A"/>
    <w:rsid w:val="002E7FE5"/>
    <w:rsid w:val="002F0062"/>
    <w:rsid w:val="002F01D7"/>
    <w:rsid w:val="002F1D30"/>
    <w:rsid w:val="002F2602"/>
    <w:rsid w:val="002F3435"/>
    <w:rsid w:val="002F4E63"/>
    <w:rsid w:val="002F606B"/>
    <w:rsid w:val="002F74A5"/>
    <w:rsid w:val="002F7DD9"/>
    <w:rsid w:val="002F7F2B"/>
    <w:rsid w:val="00300A0C"/>
    <w:rsid w:val="00300B06"/>
    <w:rsid w:val="003029E0"/>
    <w:rsid w:val="003029FC"/>
    <w:rsid w:val="003039A8"/>
    <w:rsid w:val="00303F38"/>
    <w:rsid w:val="00307D21"/>
    <w:rsid w:val="003123C3"/>
    <w:rsid w:val="003137E2"/>
    <w:rsid w:val="0031541F"/>
    <w:rsid w:val="00315963"/>
    <w:rsid w:val="0031781B"/>
    <w:rsid w:val="0031788E"/>
    <w:rsid w:val="003217AD"/>
    <w:rsid w:val="00321FD1"/>
    <w:rsid w:val="0032232E"/>
    <w:rsid w:val="00323D66"/>
    <w:rsid w:val="0032490B"/>
    <w:rsid w:val="0032667B"/>
    <w:rsid w:val="0033096D"/>
    <w:rsid w:val="00330E86"/>
    <w:rsid w:val="00331159"/>
    <w:rsid w:val="00333B19"/>
    <w:rsid w:val="00334109"/>
    <w:rsid w:val="00334B34"/>
    <w:rsid w:val="00336B4B"/>
    <w:rsid w:val="00340125"/>
    <w:rsid w:val="0034018C"/>
    <w:rsid w:val="00342634"/>
    <w:rsid w:val="003429F6"/>
    <w:rsid w:val="00342F57"/>
    <w:rsid w:val="00343C30"/>
    <w:rsid w:val="00344903"/>
    <w:rsid w:val="00344989"/>
    <w:rsid w:val="00345F03"/>
    <w:rsid w:val="00346297"/>
    <w:rsid w:val="00346D46"/>
    <w:rsid w:val="00347194"/>
    <w:rsid w:val="00347B2A"/>
    <w:rsid w:val="0035029C"/>
    <w:rsid w:val="003511F7"/>
    <w:rsid w:val="003512E5"/>
    <w:rsid w:val="00352C2B"/>
    <w:rsid w:val="00352E11"/>
    <w:rsid w:val="003535E2"/>
    <w:rsid w:val="00353A61"/>
    <w:rsid w:val="00354435"/>
    <w:rsid w:val="00354901"/>
    <w:rsid w:val="0035658B"/>
    <w:rsid w:val="00356E4D"/>
    <w:rsid w:val="0035752E"/>
    <w:rsid w:val="00360129"/>
    <w:rsid w:val="003610D3"/>
    <w:rsid w:val="00361F40"/>
    <w:rsid w:val="00363968"/>
    <w:rsid w:val="00364802"/>
    <w:rsid w:val="00364845"/>
    <w:rsid w:val="003653CF"/>
    <w:rsid w:val="00366951"/>
    <w:rsid w:val="00366DF3"/>
    <w:rsid w:val="00371698"/>
    <w:rsid w:val="00371936"/>
    <w:rsid w:val="00371FD3"/>
    <w:rsid w:val="003722C8"/>
    <w:rsid w:val="003740CF"/>
    <w:rsid w:val="003742AE"/>
    <w:rsid w:val="003744AF"/>
    <w:rsid w:val="0037478D"/>
    <w:rsid w:val="003750CE"/>
    <w:rsid w:val="00376338"/>
    <w:rsid w:val="003773C3"/>
    <w:rsid w:val="00380116"/>
    <w:rsid w:val="00381163"/>
    <w:rsid w:val="0038282E"/>
    <w:rsid w:val="003843FE"/>
    <w:rsid w:val="00386E23"/>
    <w:rsid w:val="003903EB"/>
    <w:rsid w:val="003912A5"/>
    <w:rsid w:val="0039158E"/>
    <w:rsid w:val="00391C78"/>
    <w:rsid w:val="00394E53"/>
    <w:rsid w:val="00394E76"/>
    <w:rsid w:val="003966B0"/>
    <w:rsid w:val="00396DA7"/>
    <w:rsid w:val="003A0609"/>
    <w:rsid w:val="003A0EF4"/>
    <w:rsid w:val="003A1C1D"/>
    <w:rsid w:val="003A292F"/>
    <w:rsid w:val="003A33D4"/>
    <w:rsid w:val="003A3861"/>
    <w:rsid w:val="003A3F9C"/>
    <w:rsid w:val="003A4444"/>
    <w:rsid w:val="003A4F37"/>
    <w:rsid w:val="003A5A75"/>
    <w:rsid w:val="003A5CC6"/>
    <w:rsid w:val="003A6763"/>
    <w:rsid w:val="003A6DB0"/>
    <w:rsid w:val="003A784C"/>
    <w:rsid w:val="003B1CC3"/>
    <w:rsid w:val="003B1D54"/>
    <w:rsid w:val="003B38FC"/>
    <w:rsid w:val="003B3CDF"/>
    <w:rsid w:val="003B3D15"/>
    <w:rsid w:val="003B61DC"/>
    <w:rsid w:val="003B7240"/>
    <w:rsid w:val="003B7D43"/>
    <w:rsid w:val="003C0C55"/>
    <w:rsid w:val="003C18B2"/>
    <w:rsid w:val="003C2045"/>
    <w:rsid w:val="003C2D19"/>
    <w:rsid w:val="003C2DB4"/>
    <w:rsid w:val="003C54AC"/>
    <w:rsid w:val="003C6517"/>
    <w:rsid w:val="003C6FE1"/>
    <w:rsid w:val="003C736B"/>
    <w:rsid w:val="003C7E4C"/>
    <w:rsid w:val="003D4016"/>
    <w:rsid w:val="003D40E5"/>
    <w:rsid w:val="003D41E5"/>
    <w:rsid w:val="003D4599"/>
    <w:rsid w:val="003D4D48"/>
    <w:rsid w:val="003D60EF"/>
    <w:rsid w:val="003D6E0F"/>
    <w:rsid w:val="003E31AC"/>
    <w:rsid w:val="003E3A32"/>
    <w:rsid w:val="003E46E2"/>
    <w:rsid w:val="003E775E"/>
    <w:rsid w:val="003E79CE"/>
    <w:rsid w:val="003E7B88"/>
    <w:rsid w:val="003F02FB"/>
    <w:rsid w:val="003F182F"/>
    <w:rsid w:val="003F1D3F"/>
    <w:rsid w:val="003F5BB3"/>
    <w:rsid w:val="003F63DA"/>
    <w:rsid w:val="003F6847"/>
    <w:rsid w:val="003F7B00"/>
    <w:rsid w:val="00401239"/>
    <w:rsid w:val="00401C8D"/>
    <w:rsid w:val="004036BE"/>
    <w:rsid w:val="00403ACA"/>
    <w:rsid w:val="00403B53"/>
    <w:rsid w:val="00404111"/>
    <w:rsid w:val="004049B8"/>
    <w:rsid w:val="00407ACA"/>
    <w:rsid w:val="004118FB"/>
    <w:rsid w:val="00412480"/>
    <w:rsid w:val="004130F6"/>
    <w:rsid w:val="004143BB"/>
    <w:rsid w:val="00414C51"/>
    <w:rsid w:val="00420418"/>
    <w:rsid w:val="00420E48"/>
    <w:rsid w:val="00421B40"/>
    <w:rsid w:val="00423112"/>
    <w:rsid w:val="00423B8C"/>
    <w:rsid w:val="00423E51"/>
    <w:rsid w:val="004245D0"/>
    <w:rsid w:val="00425B67"/>
    <w:rsid w:val="004276DC"/>
    <w:rsid w:val="00430136"/>
    <w:rsid w:val="004306B4"/>
    <w:rsid w:val="0043072B"/>
    <w:rsid w:val="004311D3"/>
    <w:rsid w:val="0043156C"/>
    <w:rsid w:val="00431FA3"/>
    <w:rsid w:val="00432A67"/>
    <w:rsid w:val="00432AAC"/>
    <w:rsid w:val="004339D7"/>
    <w:rsid w:val="00434746"/>
    <w:rsid w:val="00434895"/>
    <w:rsid w:val="004355B9"/>
    <w:rsid w:val="004361FC"/>
    <w:rsid w:val="00440860"/>
    <w:rsid w:val="004421F5"/>
    <w:rsid w:val="0044365B"/>
    <w:rsid w:val="00444706"/>
    <w:rsid w:val="00445245"/>
    <w:rsid w:val="00445B3C"/>
    <w:rsid w:val="0044617F"/>
    <w:rsid w:val="00447168"/>
    <w:rsid w:val="0044775D"/>
    <w:rsid w:val="004503F3"/>
    <w:rsid w:val="004505F2"/>
    <w:rsid w:val="00450918"/>
    <w:rsid w:val="00450A02"/>
    <w:rsid w:val="00451374"/>
    <w:rsid w:val="00454ECC"/>
    <w:rsid w:val="0045515C"/>
    <w:rsid w:val="004554B4"/>
    <w:rsid w:val="00456C15"/>
    <w:rsid w:val="00456F36"/>
    <w:rsid w:val="00457449"/>
    <w:rsid w:val="00457525"/>
    <w:rsid w:val="004602A3"/>
    <w:rsid w:val="00460AEB"/>
    <w:rsid w:val="00461A80"/>
    <w:rsid w:val="004623FA"/>
    <w:rsid w:val="00462656"/>
    <w:rsid w:val="00462721"/>
    <w:rsid w:val="0046295A"/>
    <w:rsid w:val="00463061"/>
    <w:rsid w:val="00466453"/>
    <w:rsid w:val="0046656F"/>
    <w:rsid w:val="0046688D"/>
    <w:rsid w:val="00466A78"/>
    <w:rsid w:val="00466DD5"/>
    <w:rsid w:val="0046754B"/>
    <w:rsid w:val="004700FE"/>
    <w:rsid w:val="00473319"/>
    <w:rsid w:val="00473854"/>
    <w:rsid w:val="004741BC"/>
    <w:rsid w:val="004743CB"/>
    <w:rsid w:val="00475365"/>
    <w:rsid w:val="00475821"/>
    <w:rsid w:val="00475DAD"/>
    <w:rsid w:val="004762A8"/>
    <w:rsid w:val="00477A7B"/>
    <w:rsid w:val="00480044"/>
    <w:rsid w:val="00480B4F"/>
    <w:rsid w:val="00481433"/>
    <w:rsid w:val="00481879"/>
    <w:rsid w:val="00481D83"/>
    <w:rsid w:val="00482744"/>
    <w:rsid w:val="00484546"/>
    <w:rsid w:val="00485514"/>
    <w:rsid w:val="004861C2"/>
    <w:rsid w:val="0048653E"/>
    <w:rsid w:val="00487088"/>
    <w:rsid w:val="00487585"/>
    <w:rsid w:val="0049047E"/>
    <w:rsid w:val="00490C85"/>
    <w:rsid w:val="00490E43"/>
    <w:rsid w:val="00490F4A"/>
    <w:rsid w:val="00491317"/>
    <w:rsid w:val="00491A0B"/>
    <w:rsid w:val="0049248C"/>
    <w:rsid w:val="00493B21"/>
    <w:rsid w:val="00493E73"/>
    <w:rsid w:val="00493F75"/>
    <w:rsid w:val="00494539"/>
    <w:rsid w:val="00494B61"/>
    <w:rsid w:val="00496042"/>
    <w:rsid w:val="00496F1F"/>
    <w:rsid w:val="00496F60"/>
    <w:rsid w:val="00497D26"/>
    <w:rsid w:val="00497EF7"/>
    <w:rsid w:val="004A384F"/>
    <w:rsid w:val="004A4283"/>
    <w:rsid w:val="004A4A83"/>
    <w:rsid w:val="004A55AD"/>
    <w:rsid w:val="004A5741"/>
    <w:rsid w:val="004A7DC4"/>
    <w:rsid w:val="004B192F"/>
    <w:rsid w:val="004B1A87"/>
    <w:rsid w:val="004B4150"/>
    <w:rsid w:val="004B47E3"/>
    <w:rsid w:val="004B4D8D"/>
    <w:rsid w:val="004B5869"/>
    <w:rsid w:val="004B7614"/>
    <w:rsid w:val="004C1AEB"/>
    <w:rsid w:val="004C369E"/>
    <w:rsid w:val="004C4E9E"/>
    <w:rsid w:val="004C5C61"/>
    <w:rsid w:val="004C6A23"/>
    <w:rsid w:val="004C715B"/>
    <w:rsid w:val="004C730F"/>
    <w:rsid w:val="004C745F"/>
    <w:rsid w:val="004D0086"/>
    <w:rsid w:val="004D07DF"/>
    <w:rsid w:val="004D0B75"/>
    <w:rsid w:val="004D3FF2"/>
    <w:rsid w:val="004D401D"/>
    <w:rsid w:val="004D4E90"/>
    <w:rsid w:val="004D6F2B"/>
    <w:rsid w:val="004E012A"/>
    <w:rsid w:val="004E056C"/>
    <w:rsid w:val="004E2517"/>
    <w:rsid w:val="004E62DF"/>
    <w:rsid w:val="004E6584"/>
    <w:rsid w:val="004E6593"/>
    <w:rsid w:val="004E6F80"/>
    <w:rsid w:val="004E7E12"/>
    <w:rsid w:val="004F03A3"/>
    <w:rsid w:val="004F19E0"/>
    <w:rsid w:val="004F1F86"/>
    <w:rsid w:val="004F2086"/>
    <w:rsid w:val="004F23DE"/>
    <w:rsid w:val="004F2490"/>
    <w:rsid w:val="004F2F73"/>
    <w:rsid w:val="004F317E"/>
    <w:rsid w:val="004F57FD"/>
    <w:rsid w:val="004F6BC6"/>
    <w:rsid w:val="004F6CF7"/>
    <w:rsid w:val="004F711D"/>
    <w:rsid w:val="00500B79"/>
    <w:rsid w:val="005012F3"/>
    <w:rsid w:val="0050167E"/>
    <w:rsid w:val="00505F50"/>
    <w:rsid w:val="005068D3"/>
    <w:rsid w:val="00506E40"/>
    <w:rsid w:val="0050749A"/>
    <w:rsid w:val="00510ABE"/>
    <w:rsid w:val="00510C5D"/>
    <w:rsid w:val="0051142A"/>
    <w:rsid w:val="005120B5"/>
    <w:rsid w:val="0051269A"/>
    <w:rsid w:val="005129A6"/>
    <w:rsid w:val="00514C05"/>
    <w:rsid w:val="00515E68"/>
    <w:rsid w:val="005173DF"/>
    <w:rsid w:val="005201BC"/>
    <w:rsid w:val="00520F69"/>
    <w:rsid w:val="00521BA8"/>
    <w:rsid w:val="005230D7"/>
    <w:rsid w:val="00523284"/>
    <w:rsid w:val="005232C7"/>
    <w:rsid w:val="00523AF9"/>
    <w:rsid w:val="00523F86"/>
    <w:rsid w:val="00524B53"/>
    <w:rsid w:val="005260B4"/>
    <w:rsid w:val="00526213"/>
    <w:rsid w:val="00526CDF"/>
    <w:rsid w:val="00526EAB"/>
    <w:rsid w:val="00527456"/>
    <w:rsid w:val="00527ED6"/>
    <w:rsid w:val="00527FF7"/>
    <w:rsid w:val="0053048D"/>
    <w:rsid w:val="0053132C"/>
    <w:rsid w:val="005315A7"/>
    <w:rsid w:val="0053250A"/>
    <w:rsid w:val="005328F7"/>
    <w:rsid w:val="00533BB8"/>
    <w:rsid w:val="005341FD"/>
    <w:rsid w:val="00534223"/>
    <w:rsid w:val="0053524F"/>
    <w:rsid w:val="005371E9"/>
    <w:rsid w:val="0054028F"/>
    <w:rsid w:val="005426B6"/>
    <w:rsid w:val="00542E8D"/>
    <w:rsid w:val="005441D2"/>
    <w:rsid w:val="0054451E"/>
    <w:rsid w:val="00546DB8"/>
    <w:rsid w:val="005476A0"/>
    <w:rsid w:val="005476AE"/>
    <w:rsid w:val="00547C60"/>
    <w:rsid w:val="00551872"/>
    <w:rsid w:val="00551F9F"/>
    <w:rsid w:val="005522D4"/>
    <w:rsid w:val="005525D7"/>
    <w:rsid w:val="00552891"/>
    <w:rsid w:val="00552D9A"/>
    <w:rsid w:val="005530FA"/>
    <w:rsid w:val="00560C66"/>
    <w:rsid w:val="005616BB"/>
    <w:rsid w:val="00563218"/>
    <w:rsid w:val="00563AE5"/>
    <w:rsid w:val="00563D29"/>
    <w:rsid w:val="00563F61"/>
    <w:rsid w:val="00564933"/>
    <w:rsid w:val="00565FDE"/>
    <w:rsid w:val="0056788B"/>
    <w:rsid w:val="00567E75"/>
    <w:rsid w:val="00570A68"/>
    <w:rsid w:val="00570F50"/>
    <w:rsid w:val="0057144F"/>
    <w:rsid w:val="00571C17"/>
    <w:rsid w:val="00574294"/>
    <w:rsid w:val="00574878"/>
    <w:rsid w:val="00575420"/>
    <w:rsid w:val="00576679"/>
    <w:rsid w:val="00576953"/>
    <w:rsid w:val="0057776C"/>
    <w:rsid w:val="00580946"/>
    <w:rsid w:val="005814AE"/>
    <w:rsid w:val="00581565"/>
    <w:rsid w:val="005815A1"/>
    <w:rsid w:val="00582F16"/>
    <w:rsid w:val="00585DB6"/>
    <w:rsid w:val="005862AD"/>
    <w:rsid w:val="00586D69"/>
    <w:rsid w:val="005873B9"/>
    <w:rsid w:val="0058793D"/>
    <w:rsid w:val="00587D23"/>
    <w:rsid w:val="00590024"/>
    <w:rsid w:val="005904A2"/>
    <w:rsid w:val="00590C1A"/>
    <w:rsid w:val="005925F3"/>
    <w:rsid w:val="005935C4"/>
    <w:rsid w:val="00593D59"/>
    <w:rsid w:val="00593D78"/>
    <w:rsid w:val="0059403F"/>
    <w:rsid w:val="0059776D"/>
    <w:rsid w:val="00597C99"/>
    <w:rsid w:val="005A1AB7"/>
    <w:rsid w:val="005A46A0"/>
    <w:rsid w:val="005A4ACB"/>
    <w:rsid w:val="005A515D"/>
    <w:rsid w:val="005A5833"/>
    <w:rsid w:val="005A6CC6"/>
    <w:rsid w:val="005B1114"/>
    <w:rsid w:val="005B1BF8"/>
    <w:rsid w:val="005B27C5"/>
    <w:rsid w:val="005B27EF"/>
    <w:rsid w:val="005B2A64"/>
    <w:rsid w:val="005B4479"/>
    <w:rsid w:val="005B5211"/>
    <w:rsid w:val="005B6E3B"/>
    <w:rsid w:val="005B7362"/>
    <w:rsid w:val="005C1765"/>
    <w:rsid w:val="005C2258"/>
    <w:rsid w:val="005C2CA3"/>
    <w:rsid w:val="005C3394"/>
    <w:rsid w:val="005C3D95"/>
    <w:rsid w:val="005C52C7"/>
    <w:rsid w:val="005C67CC"/>
    <w:rsid w:val="005C79BB"/>
    <w:rsid w:val="005D06F4"/>
    <w:rsid w:val="005D1632"/>
    <w:rsid w:val="005D1912"/>
    <w:rsid w:val="005D197F"/>
    <w:rsid w:val="005D2111"/>
    <w:rsid w:val="005D2786"/>
    <w:rsid w:val="005D2C4C"/>
    <w:rsid w:val="005D2D08"/>
    <w:rsid w:val="005D30B4"/>
    <w:rsid w:val="005D31E8"/>
    <w:rsid w:val="005D35B5"/>
    <w:rsid w:val="005D3708"/>
    <w:rsid w:val="005D3E27"/>
    <w:rsid w:val="005D5045"/>
    <w:rsid w:val="005D60DD"/>
    <w:rsid w:val="005D6279"/>
    <w:rsid w:val="005D6473"/>
    <w:rsid w:val="005D6C59"/>
    <w:rsid w:val="005D6E7F"/>
    <w:rsid w:val="005D7AF9"/>
    <w:rsid w:val="005E04F9"/>
    <w:rsid w:val="005E09BB"/>
    <w:rsid w:val="005E15BA"/>
    <w:rsid w:val="005E20D7"/>
    <w:rsid w:val="005E2D5B"/>
    <w:rsid w:val="005E4228"/>
    <w:rsid w:val="005E4C9E"/>
    <w:rsid w:val="005E51D8"/>
    <w:rsid w:val="005E54C2"/>
    <w:rsid w:val="005F149A"/>
    <w:rsid w:val="005F1A1B"/>
    <w:rsid w:val="005F227D"/>
    <w:rsid w:val="005F2E88"/>
    <w:rsid w:val="005F3992"/>
    <w:rsid w:val="005F43DE"/>
    <w:rsid w:val="005F4593"/>
    <w:rsid w:val="005F4A23"/>
    <w:rsid w:val="005F4CC5"/>
    <w:rsid w:val="005F6D46"/>
    <w:rsid w:val="005F710A"/>
    <w:rsid w:val="005F77B1"/>
    <w:rsid w:val="005F7C0D"/>
    <w:rsid w:val="0060170F"/>
    <w:rsid w:val="006018A9"/>
    <w:rsid w:val="00601C3A"/>
    <w:rsid w:val="00601CBA"/>
    <w:rsid w:val="006026C8"/>
    <w:rsid w:val="00602DB9"/>
    <w:rsid w:val="0060471F"/>
    <w:rsid w:val="0060479A"/>
    <w:rsid w:val="0060764A"/>
    <w:rsid w:val="00607D30"/>
    <w:rsid w:val="00610080"/>
    <w:rsid w:val="006103C2"/>
    <w:rsid w:val="00610D31"/>
    <w:rsid w:val="00611B77"/>
    <w:rsid w:val="00612183"/>
    <w:rsid w:val="00612B14"/>
    <w:rsid w:val="006137A6"/>
    <w:rsid w:val="00613F8F"/>
    <w:rsid w:val="0061755B"/>
    <w:rsid w:val="00617D73"/>
    <w:rsid w:val="006203B9"/>
    <w:rsid w:val="00620956"/>
    <w:rsid w:val="00620A25"/>
    <w:rsid w:val="00621191"/>
    <w:rsid w:val="00621E23"/>
    <w:rsid w:val="00621F3E"/>
    <w:rsid w:val="00622EC3"/>
    <w:rsid w:val="00625653"/>
    <w:rsid w:val="006303CD"/>
    <w:rsid w:val="00630634"/>
    <w:rsid w:val="00632888"/>
    <w:rsid w:val="0063413F"/>
    <w:rsid w:val="00634EE3"/>
    <w:rsid w:val="00635FE0"/>
    <w:rsid w:val="0064027A"/>
    <w:rsid w:val="0064087B"/>
    <w:rsid w:val="006435E1"/>
    <w:rsid w:val="00643F94"/>
    <w:rsid w:val="00644CCD"/>
    <w:rsid w:val="0064560A"/>
    <w:rsid w:val="00645B5B"/>
    <w:rsid w:val="00646468"/>
    <w:rsid w:val="00647134"/>
    <w:rsid w:val="006512A8"/>
    <w:rsid w:val="006515E8"/>
    <w:rsid w:val="006529E3"/>
    <w:rsid w:val="006537AB"/>
    <w:rsid w:val="00653E7C"/>
    <w:rsid w:val="00654246"/>
    <w:rsid w:val="006545F0"/>
    <w:rsid w:val="00654E4A"/>
    <w:rsid w:val="00654F42"/>
    <w:rsid w:val="00655051"/>
    <w:rsid w:val="00655E4F"/>
    <w:rsid w:val="00656860"/>
    <w:rsid w:val="00657199"/>
    <w:rsid w:val="00657FC5"/>
    <w:rsid w:val="0066046F"/>
    <w:rsid w:val="00661A3D"/>
    <w:rsid w:val="00661B70"/>
    <w:rsid w:val="00662A53"/>
    <w:rsid w:val="0066657C"/>
    <w:rsid w:val="00667480"/>
    <w:rsid w:val="00670253"/>
    <w:rsid w:val="00672289"/>
    <w:rsid w:val="00680D1C"/>
    <w:rsid w:val="006819A2"/>
    <w:rsid w:val="0068287F"/>
    <w:rsid w:val="00684F37"/>
    <w:rsid w:val="006873CA"/>
    <w:rsid w:val="00690966"/>
    <w:rsid w:val="00691243"/>
    <w:rsid w:val="00691315"/>
    <w:rsid w:val="00692A8A"/>
    <w:rsid w:val="0069382A"/>
    <w:rsid w:val="006951A8"/>
    <w:rsid w:val="006953C2"/>
    <w:rsid w:val="006957BC"/>
    <w:rsid w:val="006A0A26"/>
    <w:rsid w:val="006A1D1A"/>
    <w:rsid w:val="006A319A"/>
    <w:rsid w:val="006A3668"/>
    <w:rsid w:val="006A389F"/>
    <w:rsid w:val="006A4E2A"/>
    <w:rsid w:val="006B045D"/>
    <w:rsid w:val="006B056F"/>
    <w:rsid w:val="006B05DE"/>
    <w:rsid w:val="006B0CBB"/>
    <w:rsid w:val="006B2CB2"/>
    <w:rsid w:val="006B2F55"/>
    <w:rsid w:val="006B5CF4"/>
    <w:rsid w:val="006B6A5A"/>
    <w:rsid w:val="006B741E"/>
    <w:rsid w:val="006B78D7"/>
    <w:rsid w:val="006C01F4"/>
    <w:rsid w:val="006C0683"/>
    <w:rsid w:val="006C0E4A"/>
    <w:rsid w:val="006C1263"/>
    <w:rsid w:val="006C2E5E"/>
    <w:rsid w:val="006C340D"/>
    <w:rsid w:val="006C435C"/>
    <w:rsid w:val="006C4BC7"/>
    <w:rsid w:val="006C564B"/>
    <w:rsid w:val="006C5CA6"/>
    <w:rsid w:val="006C611B"/>
    <w:rsid w:val="006C7305"/>
    <w:rsid w:val="006D0585"/>
    <w:rsid w:val="006D0EA8"/>
    <w:rsid w:val="006D11BA"/>
    <w:rsid w:val="006D27BF"/>
    <w:rsid w:val="006D2B83"/>
    <w:rsid w:val="006D4217"/>
    <w:rsid w:val="006D46CF"/>
    <w:rsid w:val="006D4DF6"/>
    <w:rsid w:val="006D51BB"/>
    <w:rsid w:val="006D577C"/>
    <w:rsid w:val="006D5FDA"/>
    <w:rsid w:val="006D6650"/>
    <w:rsid w:val="006D7630"/>
    <w:rsid w:val="006E0076"/>
    <w:rsid w:val="006E0452"/>
    <w:rsid w:val="006E1955"/>
    <w:rsid w:val="006E1BB1"/>
    <w:rsid w:val="006E1FE6"/>
    <w:rsid w:val="006E2B4E"/>
    <w:rsid w:val="006E3718"/>
    <w:rsid w:val="006E395F"/>
    <w:rsid w:val="006E465E"/>
    <w:rsid w:val="006E4895"/>
    <w:rsid w:val="006E49EF"/>
    <w:rsid w:val="006E61A6"/>
    <w:rsid w:val="006E63B0"/>
    <w:rsid w:val="006F07C5"/>
    <w:rsid w:val="006F07EE"/>
    <w:rsid w:val="006F0FEE"/>
    <w:rsid w:val="006F1602"/>
    <w:rsid w:val="006F2B39"/>
    <w:rsid w:val="006F38B7"/>
    <w:rsid w:val="006F5ECA"/>
    <w:rsid w:val="006F5FCF"/>
    <w:rsid w:val="006F673D"/>
    <w:rsid w:val="006F6BF7"/>
    <w:rsid w:val="00702E4A"/>
    <w:rsid w:val="007031C8"/>
    <w:rsid w:val="007040A6"/>
    <w:rsid w:val="00705985"/>
    <w:rsid w:val="007061FD"/>
    <w:rsid w:val="00707723"/>
    <w:rsid w:val="00707A3C"/>
    <w:rsid w:val="00707E96"/>
    <w:rsid w:val="0071028E"/>
    <w:rsid w:val="0071051F"/>
    <w:rsid w:val="0071067C"/>
    <w:rsid w:val="007115F6"/>
    <w:rsid w:val="007116D2"/>
    <w:rsid w:val="0071187B"/>
    <w:rsid w:val="007124EA"/>
    <w:rsid w:val="00712BED"/>
    <w:rsid w:val="00712F9B"/>
    <w:rsid w:val="00713995"/>
    <w:rsid w:val="0071434D"/>
    <w:rsid w:val="007146B5"/>
    <w:rsid w:val="00714E40"/>
    <w:rsid w:val="007151DA"/>
    <w:rsid w:val="00715E94"/>
    <w:rsid w:val="0071649F"/>
    <w:rsid w:val="007167F5"/>
    <w:rsid w:val="00717469"/>
    <w:rsid w:val="007177ED"/>
    <w:rsid w:val="007205D9"/>
    <w:rsid w:val="007208F8"/>
    <w:rsid w:val="00721488"/>
    <w:rsid w:val="007246B2"/>
    <w:rsid w:val="007248DC"/>
    <w:rsid w:val="00724E5C"/>
    <w:rsid w:val="00725359"/>
    <w:rsid w:val="00726556"/>
    <w:rsid w:val="00727262"/>
    <w:rsid w:val="007272DF"/>
    <w:rsid w:val="00730822"/>
    <w:rsid w:val="00731D77"/>
    <w:rsid w:val="007326CA"/>
    <w:rsid w:val="00732B0E"/>
    <w:rsid w:val="0073367C"/>
    <w:rsid w:val="00734351"/>
    <w:rsid w:val="00734603"/>
    <w:rsid w:val="007359A5"/>
    <w:rsid w:val="00735A40"/>
    <w:rsid w:val="00736189"/>
    <w:rsid w:val="007362EA"/>
    <w:rsid w:val="0073699C"/>
    <w:rsid w:val="00736C92"/>
    <w:rsid w:val="0073790C"/>
    <w:rsid w:val="00737FFD"/>
    <w:rsid w:val="00741571"/>
    <w:rsid w:val="0074333E"/>
    <w:rsid w:val="00743591"/>
    <w:rsid w:val="00745662"/>
    <w:rsid w:val="007462C8"/>
    <w:rsid w:val="007465CF"/>
    <w:rsid w:val="00746FD7"/>
    <w:rsid w:val="007477F1"/>
    <w:rsid w:val="0075022A"/>
    <w:rsid w:val="00750916"/>
    <w:rsid w:val="00751675"/>
    <w:rsid w:val="00751E36"/>
    <w:rsid w:val="00751E89"/>
    <w:rsid w:val="00752B0C"/>
    <w:rsid w:val="007569D8"/>
    <w:rsid w:val="007579F1"/>
    <w:rsid w:val="007609F5"/>
    <w:rsid w:val="007611EF"/>
    <w:rsid w:val="00761EA1"/>
    <w:rsid w:val="00761F04"/>
    <w:rsid w:val="007620C2"/>
    <w:rsid w:val="00762FD9"/>
    <w:rsid w:val="007640D4"/>
    <w:rsid w:val="00764ADB"/>
    <w:rsid w:val="007668A4"/>
    <w:rsid w:val="00766E7B"/>
    <w:rsid w:val="00767DB0"/>
    <w:rsid w:val="00767E9B"/>
    <w:rsid w:val="0077050A"/>
    <w:rsid w:val="007727FF"/>
    <w:rsid w:val="007732C0"/>
    <w:rsid w:val="00773984"/>
    <w:rsid w:val="0077419A"/>
    <w:rsid w:val="00776508"/>
    <w:rsid w:val="00776711"/>
    <w:rsid w:val="00776E2D"/>
    <w:rsid w:val="00777555"/>
    <w:rsid w:val="007804B6"/>
    <w:rsid w:val="00780C93"/>
    <w:rsid w:val="00780F0A"/>
    <w:rsid w:val="00782D0D"/>
    <w:rsid w:val="007845AD"/>
    <w:rsid w:val="00784DE1"/>
    <w:rsid w:val="00785E33"/>
    <w:rsid w:val="00786A13"/>
    <w:rsid w:val="00787455"/>
    <w:rsid w:val="007879EC"/>
    <w:rsid w:val="00790070"/>
    <w:rsid w:val="0079235E"/>
    <w:rsid w:val="00792C74"/>
    <w:rsid w:val="00793180"/>
    <w:rsid w:val="007935BE"/>
    <w:rsid w:val="00793AC6"/>
    <w:rsid w:val="00793B54"/>
    <w:rsid w:val="0079454B"/>
    <w:rsid w:val="00794F1A"/>
    <w:rsid w:val="007952BE"/>
    <w:rsid w:val="00795726"/>
    <w:rsid w:val="00796071"/>
    <w:rsid w:val="00796FCB"/>
    <w:rsid w:val="00797591"/>
    <w:rsid w:val="00797783"/>
    <w:rsid w:val="00797A13"/>
    <w:rsid w:val="00797B38"/>
    <w:rsid w:val="00797D19"/>
    <w:rsid w:val="007A0EBF"/>
    <w:rsid w:val="007A1540"/>
    <w:rsid w:val="007A1D7C"/>
    <w:rsid w:val="007A29E9"/>
    <w:rsid w:val="007A2BD4"/>
    <w:rsid w:val="007A3A0C"/>
    <w:rsid w:val="007A567F"/>
    <w:rsid w:val="007A68AD"/>
    <w:rsid w:val="007A6E40"/>
    <w:rsid w:val="007B00AC"/>
    <w:rsid w:val="007B0399"/>
    <w:rsid w:val="007B060A"/>
    <w:rsid w:val="007B16D4"/>
    <w:rsid w:val="007B1A5E"/>
    <w:rsid w:val="007B2BE0"/>
    <w:rsid w:val="007B510B"/>
    <w:rsid w:val="007B66EC"/>
    <w:rsid w:val="007B7766"/>
    <w:rsid w:val="007C0AF6"/>
    <w:rsid w:val="007C104E"/>
    <w:rsid w:val="007C1491"/>
    <w:rsid w:val="007C1F56"/>
    <w:rsid w:val="007C20F1"/>
    <w:rsid w:val="007C38E6"/>
    <w:rsid w:val="007C3C16"/>
    <w:rsid w:val="007C42C8"/>
    <w:rsid w:val="007C4758"/>
    <w:rsid w:val="007C4BD8"/>
    <w:rsid w:val="007C58BE"/>
    <w:rsid w:val="007C61C5"/>
    <w:rsid w:val="007C7909"/>
    <w:rsid w:val="007D1863"/>
    <w:rsid w:val="007D2762"/>
    <w:rsid w:val="007D30DB"/>
    <w:rsid w:val="007D5A62"/>
    <w:rsid w:val="007D6369"/>
    <w:rsid w:val="007D7E98"/>
    <w:rsid w:val="007E0333"/>
    <w:rsid w:val="007E0854"/>
    <w:rsid w:val="007E1246"/>
    <w:rsid w:val="007E1471"/>
    <w:rsid w:val="007E1A49"/>
    <w:rsid w:val="007E2F06"/>
    <w:rsid w:val="007E2F8C"/>
    <w:rsid w:val="007E3596"/>
    <w:rsid w:val="007E3A91"/>
    <w:rsid w:val="007E3CCA"/>
    <w:rsid w:val="007E5FC1"/>
    <w:rsid w:val="007E7B75"/>
    <w:rsid w:val="007E7E9E"/>
    <w:rsid w:val="007F002F"/>
    <w:rsid w:val="007F0B77"/>
    <w:rsid w:val="007F0F60"/>
    <w:rsid w:val="007F1143"/>
    <w:rsid w:val="007F30A6"/>
    <w:rsid w:val="007F4378"/>
    <w:rsid w:val="007F4E1E"/>
    <w:rsid w:val="007F505E"/>
    <w:rsid w:val="007F52AC"/>
    <w:rsid w:val="007F7488"/>
    <w:rsid w:val="00800030"/>
    <w:rsid w:val="00801AA0"/>
    <w:rsid w:val="008027D4"/>
    <w:rsid w:val="00803619"/>
    <w:rsid w:val="008042FA"/>
    <w:rsid w:val="00805B8C"/>
    <w:rsid w:val="0080662C"/>
    <w:rsid w:val="00806BC6"/>
    <w:rsid w:val="00810059"/>
    <w:rsid w:val="0081026A"/>
    <w:rsid w:val="00810E8B"/>
    <w:rsid w:val="008110C4"/>
    <w:rsid w:val="00811A5D"/>
    <w:rsid w:val="00820BC3"/>
    <w:rsid w:val="0082169C"/>
    <w:rsid w:val="00821DAF"/>
    <w:rsid w:val="00822B8D"/>
    <w:rsid w:val="00822ED1"/>
    <w:rsid w:val="008246CA"/>
    <w:rsid w:val="008254E7"/>
    <w:rsid w:val="00827283"/>
    <w:rsid w:val="00827339"/>
    <w:rsid w:val="0082750F"/>
    <w:rsid w:val="008312FE"/>
    <w:rsid w:val="00832478"/>
    <w:rsid w:val="008341D0"/>
    <w:rsid w:val="00834B0A"/>
    <w:rsid w:val="00835177"/>
    <w:rsid w:val="008361CA"/>
    <w:rsid w:val="00837172"/>
    <w:rsid w:val="00841D23"/>
    <w:rsid w:val="00841E0A"/>
    <w:rsid w:val="00841F9E"/>
    <w:rsid w:val="008427A0"/>
    <w:rsid w:val="00842B48"/>
    <w:rsid w:val="00842C1E"/>
    <w:rsid w:val="00842D5A"/>
    <w:rsid w:val="0084347F"/>
    <w:rsid w:val="00843EA1"/>
    <w:rsid w:val="008469FB"/>
    <w:rsid w:val="008476DF"/>
    <w:rsid w:val="008511DE"/>
    <w:rsid w:val="00852298"/>
    <w:rsid w:val="00855D8F"/>
    <w:rsid w:val="0085743B"/>
    <w:rsid w:val="00857AAC"/>
    <w:rsid w:val="00860D0A"/>
    <w:rsid w:val="00861101"/>
    <w:rsid w:val="00861BE8"/>
    <w:rsid w:val="00863698"/>
    <w:rsid w:val="00864608"/>
    <w:rsid w:val="0086547D"/>
    <w:rsid w:val="008654F3"/>
    <w:rsid w:val="00867239"/>
    <w:rsid w:val="00867258"/>
    <w:rsid w:val="008678D0"/>
    <w:rsid w:val="00870C91"/>
    <w:rsid w:val="00871E77"/>
    <w:rsid w:val="00873BBD"/>
    <w:rsid w:val="00873F3A"/>
    <w:rsid w:val="00874903"/>
    <w:rsid w:val="00874C18"/>
    <w:rsid w:val="00874CB2"/>
    <w:rsid w:val="008762B6"/>
    <w:rsid w:val="008767E8"/>
    <w:rsid w:val="008802DE"/>
    <w:rsid w:val="00882F78"/>
    <w:rsid w:val="008854D6"/>
    <w:rsid w:val="0088711F"/>
    <w:rsid w:val="00890199"/>
    <w:rsid w:val="00890325"/>
    <w:rsid w:val="00890DE4"/>
    <w:rsid w:val="00890E90"/>
    <w:rsid w:val="00890EF9"/>
    <w:rsid w:val="00891AF5"/>
    <w:rsid w:val="00892CFD"/>
    <w:rsid w:val="00892E8C"/>
    <w:rsid w:val="008955CE"/>
    <w:rsid w:val="00896357"/>
    <w:rsid w:val="00897730"/>
    <w:rsid w:val="008A149C"/>
    <w:rsid w:val="008A341C"/>
    <w:rsid w:val="008A5051"/>
    <w:rsid w:val="008A5F57"/>
    <w:rsid w:val="008A71E8"/>
    <w:rsid w:val="008A7A90"/>
    <w:rsid w:val="008B085B"/>
    <w:rsid w:val="008B0B10"/>
    <w:rsid w:val="008B0DC5"/>
    <w:rsid w:val="008B217D"/>
    <w:rsid w:val="008B3EA8"/>
    <w:rsid w:val="008B41B7"/>
    <w:rsid w:val="008B7BD2"/>
    <w:rsid w:val="008B7F49"/>
    <w:rsid w:val="008B7FAC"/>
    <w:rsid w:val="008C0099"/>
    <w:rsid w:val="008C1C48"/>
    <w:rsid w:val="008C1FE6"/>
    <w:rsid w:val="008C241D"/>
    <w:rsid w:val="008C2736"/>
    <w:rsid w:val="008C42D9"/>
    <w:rsid w:val="008C5292"/>
    <w:rsid w:val="008C63FC"/>
    <w:rsid w:val="008C6513"/>
    <w:rsid w:val="008C7A17"/>
    <w:rsid w:val="008C7E3B"/>
    <w:rsid w:val="008D0302"/>
    <w:rsid w:val="008D0805"/>
    <w:rsid w:val="008D080D"/>
    <w:rsid w:val="008D0811"/>
    <w:rsid w:val="008D21F1"/>
    <w:rsid w:val="008D39B6"/>
    <w:rsid w:val="008D617A"/>
    <w:rsid w:val="008D6719"/>
    <w:rsid w:val="008D763E"/>
    <w:rsid w:val="008D7CB4"/>
    <w:rsid w:val="008E0D64"/>
    <w:rsid w:val="008E1B89"/>
    <w:rsid w:val="008E2DA7"/>
    <w:rsid w:val="008E42C1"/>
    <w:rsid w:val="008E4A22"/>
    <w:rsid w:val="008E5A34"/>
    <w:rsid w:val="008E6DC1"/>
    <w:rsid w:val="008E6FC6"/>
    <w:rsid w:val="008E706E"/>
    <w:rsid w:val="008E7822"/>
    <w:rsid w:val="008E7905"/>
    <w:rsid w:val="008F0F39"/>
    <w:rsid w:val="008F266F"/>
    <w:rsid w:val="008F32E5"/>
    <w:rsid w:val="008F3C47"/>
    <w:rsid w:val="008F4D1F"/>
    <w:rsid w:val="008F5DEB"/>
    <w:rsid w:val="008F6035"/>
    <w:rsid w:val="008F6FD0"/>
    <w:rsid w:val="008F75FE"/>
    <w:rsid w:val="009002E5"/>
    <w:rsid w:val="00900409"/>
    <w:rsid w:val="00900D15"/>
    <w:rsid w:val="009012F1"/>
    <w:rsid w:val="0090172A"/>
    <w:rsid w:val="00903D87"/>
    <w:rsid w:val="00903DC5"/>
    <w:rsid w:val="0090450F"/>
    <w:rsid w:val="00904EF5"/>
    <w:rsid w:val="00905CB6"/>
    <w:rsid w:val="009061EB"/>
    <w:rsid w:val="0090707D"/>
    <w:rsid w:val="0090729B"/>
    <w:rsid w:val="00907A7D"/>
    <w:rsid w:val="00907F9D"/>
    <w:rsid w:val="00910A55"/>
    <w:rsid w:val="009112DC"/>
    <w:rsid w:val="009128EE"/>
    <w:rsid w:val="00912F8F"/>
    <w:rsid w:val="009133AB"/>
    <w:rsid w:val="00913A96"/>
    <w:rsid w:val="00914327"/>
    <w:rsid w:val="009147E1"/>
    <w:rsid w:val="00914C03"/>
    <w:rsid w:val="00916379"/>
    <w:rsid w:val="00916ACA"/>
    <w:rsid w:val="0091778E"/>
    <w:rsid w:val="00917C39"/>
    <w:rsid w:val="00920475"/>
    <w:rsid w:val="0092258E"/>
    <w:rsid w:val="00924CB1"/>
    <w:rsid w:val="009262EB"/>
    <w:rsid w:val="009267D5"/>
    <w:rsid w:val="009278D4"/>
    <w:rsid w:val="0093076A"/>
    <w:rsid w:val="0093388D"/>
    <w:rsid w:val="00935447"/>
    <w:rsid w:val="009354D5"/>
    <w:rsid w:val="00935976"/>
    <w:rsid w:val="00935CD7"/>
    <w:rsid w:val="009377E4"/>
    <w:rsid w:val="00937CF8"/>
    <w:rsid w:val="009402CF"/>
    <w:rsid w:val="00941078"/>
    <w:rsid w:val="0094281C"/>
    <w:rsid w:val="009458BF"/>
    <w:rsid w:val="00945F00"/>
    <w:rsid w:val="00946332"/>
    <w:rsid w:val="009503C0"/>
    <w:rsid w:val="009517F2"/>
    <w:rsid w:val="00953714"/>
    <w:rsid w:val="009538D2"/>
    <w:rsid w:val="009557E8"/>
    <w:rsid w:val="0095585B"/>
    <w:rsid w:val="009569EA"/>
    <w:rsid w:val="00957D00"/>
    <w:rsid w:val="009601F0"/>
    <w:rsid w:val="0096033F"/>
    <w:rsid w:val="009604CE"/>
    <w:rsid w:val="00961047"/>
    <w:rsid w:val="0096204C"/>
    <w:rsid w:val="00962487"/>
    <w:rsid w:val="009627BA"/>
    <w:rsid w:val="009635BB"/>
    <w:rsid w:val="00963E9B"/>
    <w:rsid w:val="00963FFA"/>
    <w:rsid w:val="00965652"/>
    <w:rsid w:val="0096593D"/>
    <w:rsid w:val="009668A7"/>
    <w:rsid w:val="00966B6B"/>
    <w:rsid w:val="009673B5"/>
    <w:rsid w:val="00972444"/>
    <w:rsid w:val="009736F9"/>
    <w:rsid w:val="0097483C"/>
    <w:rsid w:val="009752DA"/>
    <w:rsid w:val="00975B8A"/>
    <w:rsid w:val="00980104"/>
    <w:rsid w:val="009801A1"/>
    <w:rsid w:val="00980AEB"/>
    <w:rsid w:val="00980D2A"/>
    <w:rsid w:val="00980F69"/>
    <w:rsid w:val="00981F00"/>
    <w:rsid w:val="00981FDB"/>
    <w:rsid w:val="0098265E"/>
    <w:rsid w:val="00982FA4"/>
    <w:rsid w:val="009835F2"/>
    <w:rsid w:val="00983E42"/>
    <w:rsid w:val="00983E45"/>
    <w:rsid w:val="009860AF"/>
    <w:rsid w:val="00986615"/>
    <w:rsid w:val="00987274"/>
    <w:rsid w:val="0099022B"/>
    <w:rsid w:val="00992770"/>
    <w:rsid w:val="00995FB2"/>
    <w:rsid w:val="0099791C"/>
    <w:rsid w:val="009A1C11"/>
    <w:rsid w:val="009A3677"/>
    <w:rsid w:val="009A3A01"/>
    <w:rsid w:val="009A506C"/>
    <w:rsid w:val="009A5DF1"/>
    <w:rsid w:val="009A631E"/>
    <w:rsid w:val="009A64CD"/>
    <w:rsid w:val="009A6FBE"/>
    <w:rsid w:val="009A75C4"/>
    <w:rsid w:val="009B0E3A"/>
    <w:rsid w:val="009B1478"/>
    <w:rsid w:val="009B2047"/>
    <w:rsid w:val="009B2B41"/>
    <w:rsid w:val="009B31AF"/>
    <w:rsid w:val="009B6C68"/>
    <w:rsid w:val="009B769B"/>
    <w:rsid w:val="009C04CF"/>
    <w:rsid w:val="009C1B44"/>
    <w:rsid w:val="009C4209"/>
    <w:rsid w:val="009C4781"/>
    <w:rsid w:val="009C7EE4"/>
    <w:rsid w:val="009C7EF9"/>
    <w:rsid w:val="009D42F0"/>
    <w:rsid w:val="009D51D7"/>
    <w:rsid w:val="009D646C"/>
    <w:rsid w:val="009D646D"/>
    <w:rsid w:val="009D64E2"/>
    <w:rsid w:val="009D6CA0"/>
    <w:rsid w:val="009D7F4C"/>
    <w:rsid w:val="009E0C76"/>
    <w:rsid w:val="009E0D17"/>
    <w:rsid w:val="009E1CBF"/>
    <w:rsid w:val="009E1EA2"/>
    <w:rsid w:val="009E22D2"/>
    <w:rsid w:val="009E3351"/>
    <w:rsid w:val="009E3F88"/>
    <w:rsid w:val="009E3FC6"/>
    <w:rsid w:val="009E5907"/>
    <w:rsid w:val="009E5A06"/>
    <w:rsid w:val="009E6C65"/>
    <w:rsid w:val="009E7088"/>
    <w:rsid w:val="009E76E8"/>
    <w:rsid w:val="009E7718"/>
    <w:rsid w:val="009E7FA8"/>
    <w:rsid w:val="009F0DD6"/>
    <w:rsid w:val="009F1460"/>
    <w:rsid w:val="009F14D0"/>
    <w:rsid w:val="009F193C"/>
    <w:rsid w:val="009F26A9"/>
    <w:rsid w:val="009F3127"/>
    <w:rsid w:val="009F3A71"/>
    <w:rsid w:val="009F54A5"/>
    <w:rsid w:val="009F663B"/>
    <w:rsid w:val="009F6A70"/>
    <w:rsid w:val="00A01E5A"/>
    <w:rsid w:val="00A03733"/>
    <w:rsid w:val="00A0418F"/>
    <w:rsid w:val="00A106F2"/>
    <w:rsid w:val="00A107D2"/>
    <w:rsid w:val="00A117D7"/>
    <w:rsid w:val="00A122FE"/>
    <w:rsid w:val="00A124FE"/>
    <w:rsid w:val="00A13E7D"/>
    <w:rsid w:val="00A14469"/>
    <w:rsid w:val="00A14BEA"/>
    <w:rsid w:val="00A16546"/>
    <w:rsid w:val="00A168F0"/>
    <w:rsid w:val="00A16F70"/>
    <w:rsid w:val="00A17B3A"/>
    <w:rsid w:val="00A212BD"/>
    <w:rsid w:val="00A21A47"/>
    <w:rsid w:val="00A21AB7"/>
    <w:rsid w:val="00A22546"/>
    <w:rsid w:val="00A2275E"/>
    <w:rsid w:val="00A228E0"/>
    <w:rsid w:val="00A24990"/>
    <w:rsid w:val="00A2535A"/>
    <w:rsid w:val="00A26002"/>
    <w:rsid w:val="00A30DC4"/>
    <w:rsid w:val="00A3113A"/>
    <w:rsid w:val="00A316BC"/>
    <w:rsid w:val="00A31C01"/>
    <w:rsid w:val="00A31D5B"/>
    <w:rsid w:val="00A33C10"/>
    <w:rsid w:val="00A33E72"/>
    <w:rsid w:val="00A34385"/>
    <w:rsid w:val="00A35113"/>
    <w:rsid w:val="00A351CD"/>
    <w:rsid w:val="00A35778"/>
    <w:rsid w:val="00A36F3D"/>
    <w:rsid w:val="00A374B5"/>
    <w:rsid w:val="00A3759A"/>
    <w:rsid w:val="00A37732"/>
    <w:rsid w:val="00A37C74"/>
    <w:rsid w:val="00A37F7C"/>
    <w:rsid w:val="00A40348"/>
    <w:rsid w:val="00A424B0"/>
    <w:rsid w:val="00A43CBC"/>
    <w:rsid w:val="00A44141"/>
    <w:rsid w:val="00A44B0A"/>
    <w:rsid w:val="00A4719B"/>
    <w:rsid w:val="00A51856"/>
    <w:rsid w:val="00A5282E"/>
    <w:rsid w:val="00A52F89"/>
    <w:rsid w:val="00A53BAE"/>
    <w:rsid w:val="00A5401C"/>
    <w:rsid w:val="00A54599"/>
    <w:rsid w:val="00A5598E"/>
    <w:rsid w:val="00A56C7D"/>
    <w:rsid w:val="00A57987"/>
    <w:rsid w:val="00A57F01"/>
    <w:rsid w:val="00A610DF"/>
    <w:rsid w:val="00A616CE"/>
    <w:rsid w:val="00A61D3C"/>
    <w:rsid w:val="00A62C53"/>
    <w:rsid w:val="00A63B32"/>
    <w:rsid w:val="00A655AC"/>
    <w:rsid w:val="00A65D03"/>
    <w:rsid w:val="00A665CC"/>
    <w:rsid w:val="00A667C2"/>
    <w:rsid w:val="00A670F5"/>
    <w:rsid w:val="00A70BB2"/>
    <w:rsid w:val="00A70E64"/>
    <w:rsid w:val="00A71B1D"/>
    <w:rsid w:val="00A71CEF"/>
    <w:rsid w:val="00A725A5"/>
    <w:rsid w:val="00A73F7F"/>
    <w:rsid w:val="00A74D1D"/>
    <w:rsid w:val="00A75206"/>
    <w:rsid w:val="00A7584E"/>
    <w:rsid w:val="00A75DAA"/>
    <w:rsid w:val="00A769BD"/>
    <w:rsid w:val="00A76BFA"/>
    <w:rsid w:val="00A77FBC"/>
    <w:rsid w:val="00A80FAE"/>
    <w:rsid w:val="00A81CD8"/>
    <w:rsid w:val="00A82BC8"/>
    <w:rsid w:val="00A83BCC"/>
    <w:rsid w:val="00A83E6E"/>
    <w:rsid w:val="00A87E90"/>
    <w:rsid w:val="00A90348"/>
    <w:rsid w:val="00A91FA1"/>
    <w:rsid w:val="00A9209A"/>
    <w:rsid w:val="00A925A5"/>
    <w:rsid w:val="00A9412E"/>
    <w:rsid w:val="00A94FCF"/>
    <w:rsid w:val="00A95016"/>
    <w:rsid w:val="00A9641B"/>
    <w:rsid w:val="00A9743B"/>
    <w:rsid w:val="00AA0808"/>
    <w:rsid w:val="00AA1E2C"/>
    <w:rsid w:val="00AA1E96"/>
    <w:rsid w:val="00AA5CD5"/>
    <w:rsid w:val="00AA5D7A"/>
    <w:rsid w:val="00AA5DC0"/>
    <w:rsid w:val="00AA6AA7"/>
    <w:rsid w:val="00AA71BD"/>
    <w:rsid w:val="00AB0554"/>
    <w:rsid w:val="00AB11C2"/>
    <w:rsid w:val="00AB2C85"/>
    <w:rsid w:val="00AB2FFB"/>
    <w:rsid w:val="00AB3905"/>
    <w:rsid w:val="00AB411C"/>
    <w:rsid w:val="00AB4946"/>
    <w:rsid w:val="00AB4F6C"/>
    <w:rsid w:val="00AB54A3"/>
    <w:rsid w:val="00AB7487"/>
    <w:rsid w:val="00AC2B39"/>
    <w:rsid w:val="00AC3B8D"/>
    <w:rsid w:val="00AC3C31"/>
    <w:rsid w:val="00AC6615"/>
    <w:rsid w:val="00AC67F3"/>
    <w:rsid w:val="00AC73FF"/>
    <w:rsid w:val="00AD462C"/>
    <w:rsid w:val="00AD47E1"/>
    <w:rsid w:val="00AD656F"/>
    <w:rsid w:val="00AE0203"/>
    <w:rsid w:val="00AE03DC"/>
    <w:rsid w:val="00AE0A1A"/>
    <w:rsid w:val="00AE0DAC"/>
    <w:rsid w:val="00AE1065"/>
    <w:rsid w:val="00AE1C7F"/>
    <w:rsid w:val="00AE3098"/>
    <w:rsid w:val="00AE4798"/>
    <w:rsid w:val="00AE5AFA"/>
    <w:rsid w:val="00AE6B78"/>
    <w:rsid w:val="00AE75FD"/>
    <w:rsid w:val="00AF073B"/>
    <w:rsid w:val="00AF0E07"/>
    <w:rsid w:val="00AF12DB"/>
    <w:rsid w:val="00AF1AE9"/>
    <w:rsid w:val="00AF22FE"/>
    <w:rsid w:val="00AF26DF"/>
    <w:rsid w:val="00AF3A68"/>
    <w:rsid w:val="00AF5F41"/>
    <w:rsid w:val="00B0044C"/>
    <w:rsid w:val="00B0277C"/>
    <w:rsid w:val="00B0279B"/>
    <w:rsid w:val="00B03523"/>
    <w:rsid w:val="00B03A8A"/>
    <w:rsid w:val="00B043F5"/>
    <w:rsid w:val="00B06AFB"/>
    <w:rsid w:val="00B06DC8"/>
    <w:rsid w:val="00B07CB8"/>
    <w:rsid w:val="00B110F4"/>
    <w:rsid w:val="00B112B1"/>
    <w:rsid w:val="00B114BB"/>
    <w:rsid w:val="00B11635"/>
    <w:rsid w:val="00B11902"/>
    <w:rsid w:val="00B12CC8"/>
    <w:rsid w:val="00B12DF7"/>
    <w:rsid w:val="00B13300"/>
    <w:rsid w:val="00B13C08"/>
    <w:rsid w:val="00B14052"/>
    <w:rsid w:val="00B14A4B"/>
    <w:rsid w:val="00B16430"/>
    <w:rsid w:val="00B16436"/>
    <w:rsid w:val="00B23854"/>
    <w:rsid w:val="00B23A78"/>
    <w:rsid w:val="00B26C95"/>
    <w:rsid w:val="00B26E43"/>
    <w:rsid w:val="00B27459"/>
    <w:rsid w:val="00B30486"/>
    <w:rsid w:val="00B30EF2"/>
    <w:rsid w:val="00B33F94"/>
    <w:rsid w:val="00B344B9"/>
    <w:rsid w:val="00B34743"/>
    <w:rsid w:val="00B35976"/>
    <w:rsid w:val="00B366E9"/>
    <w:rsid w:val="00B370F1"/>
    <w:rsid w:val="00B374CB"/>
    <w:rsid w:val="00B375B2"/>
    <w:rsid w:val="00B40635"/>
    <w:rsid w:val="00B419AF"/>
    <w:rsid w:val="00B41A25"/>
    <w:rsid w:val="00B431D1"/>
    <w:rsid w:val="00B45F29"/>
    <w:rsid w:val="00B46370"/>
    <w:rsid w:val="00B4659C"/>
    <w:rsid w:val="00B46D85"/>
    <w:rsid w:val="00B471DD"/>
    <w:rsid w:val="00B476AE"/>
    <w:rsid w:val="00B47CAA"/>
    <w:rsid w:val="00B502FA"/>
    <w:rsid w:val="00B51251"/>
    <w:rsid w:val="00B517DC"/>
    <w:rsid w:val="00B52B75"/>
    <w:rsid w:val="00B53AFA"/>
    <w:rsid w:val="00B57222"/>
    <w:rsid w:val="00B57B78"/>
    <w:rsid w:val="00B61CFE"/>
    <w:rsid w:val="00B6230F"/>
    <w:rsid w:val="00B62560"/>
    <w:rsid w:val="00B62AD0"/>
    <w:rsid w:val="00B62B92"/>
    <w:rsid w:val="00B64388"/>
    <w:rsid w:val="00B646C3"/>
    <w:rsid w:val="00B65E11"/>
    <w:rsid w:val="00B70D7A"/>
    <w:rsid w:val="00B72E6F"/>
    <w:rsid w:val="00B73ADE"/>
    <w:rsid w:val="00B73D7D"/>
    <w:rsid w:val="00B7445C"/>
    <w:rsid w:val="00B74D30"/>
    <w:rsid w:val="00B74E51"/>
    <w:rsid w:val="00B75D40"/>
    <w:rsid w:val="00B75EE2"/>
    <w:rsid w:val="00B765B8"/>
    <w:rsid w:val="00B76DA0"/>
    <w:rsid w:val="00B77C36"/>
    <w:rsid w:val="00B80D80"/>
    <w:rsid w:val="00B810A5"/>
    <w:rsid w:val="00B818C3"/>
    <w:rsid w:val="00B83666"/>
    <w:rsid w:val="00B853D3"/>
    <w:rsid w:val="00B86185"/>
    <w:rsid w:val="00B862E4"/>
    <w:rsid w:val="00B86954"/>
    <w:rsid w:val="00B90881"/>
    <w:rsid w:val="00B90F8B"/>
    <w:rsid w:val="00B91347"/>
    <w:rsid w:val="00B91A5D"/>
    <w:rsid w:val="00B92F2F"/>
    <w:rsid w:val="00B93820"/>
    <w:rsid w:val="00B95E91"/>
    <w:rsid w:val="00B967DF"/>
    <w:rsid w:val="00BA0162"/>
    <w:rsid w:val="00BA3318"/>
    <w:rsid w:val="00BA3823"/>
    <w:rsid w:val="00BA3843"/>
    <w:rsid w:val="00BA3A9B"/>
    <w:rsid w:val="00BA580A"/>
    <w:rsid w:val="00BA5D8C"/>
    <w:rsid w:val="00BA61B2"/>
    <w:rsid w:val="00BA7E70"/>
    <w:rsid w:val="00BB065E"/>
    <w:rsid w:val="00BB0F45"/>
    <w:rsid w:val="00BB18F2"/>
    <w:rsid w:val="00BB1A5C"/>
    <w:rsid w:val="00BB3115"/>
    <w:rsid w:val="00BB500F"/>
    <w:rsid w:val="00BB5E38"/>
    <w:rsid w:val="00BB60F4"/>
    <w:rsid w:val="00BC1B39"/>
    <w:rsid w:val="00BC32A3"/>
    <w:rsid w:val="00BC39CD"/>
    <w:rsid w:val="00BC3C73"/>
    <w:rsid w:val="00BC4342"/>
    <w:rsid w:val="00BC485F"/>
    <w:rsid w:val="00BC53C0"/>
    <w:rsid w:val="00BC5823"/>
    <w:rsid w:val="00BC5C69"/>
    <w:rsid w:val="00BC5E04"/>
    <w:rsid w:val="00BC6228"/>
    <w:rsid w:val="00BD3715"/>
    <w:rsid w:val="00BD4000"/>
    <w:rsid w:val="00BD5604"/>
    <w:rsid w:val="00BD5C1C"/>
    <w:rsid w:val="00BD75FF"/>
    <w:rsid w:val="00BE089C"/>
    <w:rsid w:val="00BE2986"/>
    <w:rsid w:val="00BE2C34"/>
    <w:rsid w:val="00BE3BFD"/>
    <w:rsid w:val="00BE42E7"/>
    <w:rsid w:val="00BE689B"/>
    <w:rsid w:val="00BE6E6D"/>
    <w:rsid w:val="00BF2094"/>
    <w:rsid w:val="00BF2DCB"/>
    <w:rsid w:val="00BF2EBE"/>
    <w:rsid w:val="00BF3144"/>
    <w:rsid w:val="00BF5E5A"/>
    <w:rsid w:val="00BF648D"/>
    <w:rsid w:val="00BF64F1"/>
    <w:rsid w:val="00C03690"/>
    <w:rsid w:val="00C03940"/>
    <w:rsid w:val="00C03AB3"/>
    <w:rsid w:val="00C04225"/>
    <w:rsid w:val="00C049D9"/>
    <w:rsid w:val="00C07CAF"/>
    <w:rsid w:val="00C11711"/>
    <w:rsid w:val="00C11908"/>
    <w:rsid w:val="00C1224D"/>
    <w:rsid w:val="00C1255C"/>
    <w:rsid w:val="00C136B9"/>
    <w:rsid w:val="00C144AF"/>
    <w:rsid w:val="00C174B6"/>
    <w:rsid w:val="00C2002B"/>
    <w:rsid w:val="00C20BE9"/>
    <w:rsid w:val="00C2146B"/>
    <w:rsid w:val="00C21487"/>
    <w:rsid w:val="00C239E1"/>
    <w:rsid w:val="00C2419F"/>
    <w:rsid w:val="00C27CC7"/>
    <w:rsid w:val="00C3192D"/>
    <w:rsid w:val="00C3193B"/>
    <w:rsid w:val="00C32346"/>
    <w:rsid w:val="00C334A8"/>
    <w:rsid w:val="00C344C4"/>
    <w:rsid w:val="00C36539"/>
    <w:rsid w:val="00C36C22"/>
    <w:rsid w:val="00C36CDD"/>
    <w:rsid w:val="00C36D7E"/>
    <w:rsid w:val="00C36D93"/>
    <w:rsid w:val="00C375DC"/>
    <w:rsid w:val="00C4012B"/>
    <w:rsid w:val="00C40BA5"/>
    <w:rsid w:val="00C40C89"/>
    <w:rsid w:val="00C412E3"/>
    <w:rsid w:val="00C41A7C"/>
    <w:rsid w:val="00C43322"/>
    <w:rsid w:val="00C4494D"/>
    <w:rsid w:val="00C44DA3"/>
    <w:rsid w:val="00C45581"/>
    <w:rsid w:val="00C466E4"/>
    <w:rsid w:val="00C47555"/>
    <w:rsid w:val="00C477BC"/>
    <w:rsid w:val="00C47A4F"/>
    <w:rsid w:val="00C47D65"/>
    <w:rsid w:val="00C50920"/>
    <w:rsid w:val="00C512F4"/>
    <w:rsid w:val="00C525C4"/>
    <w:rsid w:val="00C528DF"/>
    <w:rsid w:val="00C528E2"/>
    <w:rsid w:val="00C53AE1"/>
    <w:rsid w:val="00C53E17"/>
    <w:rsid w:val="00C54655"/>
    <w:rsid w:val="00C54F3A"/>
    <w:rsid w:val="00C56BE7"/>
    <w:rsid w:val="00C57058"/>
    <w:rsid w:val="00C57F3F"/>
    <w:rsid w:val="00C61574"/>
    <w:rsid w:val="00C624D0"/>
    <w:rsid w:val="00C6326C"/>
    <w:rsid w:val="00C64669"/>
    <w:rsid w:val="00C71671"/>
    <w:rsid w:val="00C71B24"/>
    <w:rsid w:val="00C71F50"/>
    <w:rsid w:val="00C75F0B"/>
    <w:rsid w:val="00C76A6A"/>
    <w:rsid w:val="00C77280"/>
    <w:rsid w:val="00C77DE6"/>
    <w:rsid w:val="00C8065A"/>
    <w:rsid w:val="00C8098A"/>
    <w:rsid w:val="00C811DA"/>
    <w:rsid w:val="00C82692"/>
    <w:rsid w:val="00C82E48"/>
    <w:rsid w:val="00C82E51"/>
    <w:rsid w:val="00C85BFB"/>
    <w:rsid w:val="00C85C31"/>
    <w:rsid w:val="00C85C39"/>
    <w:rsid w:val="00C87447"/>
    <w:rsid w:val="00C87EFA"/>
    <w:rsid w:val="00C906BB"/>
    <w:rsid w:val="00C915CA"/>
    <w:rsid w:val="00C91C5F"/>
    <w:rsid w:val="00C922B7"/>
    <w:rsid w:val="00C92A22"/>
    <w:rsid w:val="00C93929"/>
    <w:rsid w:val="00C93B47"/>
    <w:rsid w:val="00C941C7"/>
    <w:rsid w:val="00C94A90"/>
    <w:rsid w:val="00C95346"/>
    <w:rsid w:val="00C95AC2"/>
    <w:rsid w:val="00C95F82"/>
    <w:rsid w:val="00C96625"/>
    <w:rsid w:val="00C96783"/>
    <w:rsid w:val="00CA0E0B"/>
    <w:rsid w:val="00CA12E9"/>
    <w:rsid w:val="00CA1B75"/>
    <w:rsid w:val="00CA4E6F"/>
    <w:rsid w:val="00CA5A94"/>
    <w:rsid w:val="00CA5C04"/>
    <w:rsid w:val="00CA6111"/>
    <w:rsid w:val="00CA77F6"/>
    <w:rsid w:val="00CA7F95"/>
    <w:rsid w:val="00CB0EF8"/>
    <w:rsid w:val="00CB1E9D"/>
    <w:rsid w:val="00CB26BD"/>
    <w:rsid w:val="00CB2956"/>
    <w:rsid w:val="00CB324B"/>
    <w:rsid w:val="00CB4AE5"/>
    <w:rsid w:val="00CB6AE2"/>
    <w:rsid w:val="00CB71B1"/>
    <w:rsid w:val="00CC0336"/>
    <w:rsid w:val="00CC03DE"/>
    <w:rsid w:val="00CC06A5"/>
    <w:rsid w:val="00CC2161"/>
    <w:rsid w:val="00CC257F"/>
    <w:rsid w:val="00CC2597"/>
    <w:rsid w:val="00CC25AF"/>
    <w:rsid w:val="00CC261D"/>
    <w:rsid w:val="00CC2FCF"/>
    <w:rsid w:val="00CC3E17"/>
    <w:rsid w:val="00CC5753"/>
    <w:rsid w:val="00CC6B3A"/>
    <w:rsid w:val="00CC6C35"/>
    <w:rsid w:val="00CC7D11"/>
    <w:rsid w:val="00CD2AA5"/>
    <w:rsid w:val="00CD34E4"/>
    <w:rsid w:val="00CD4224"/>
    <w:rsid w:val="00CD5858"/>
    <w:rsid w:val="00CD5A2A"/>
    <w:rsid w:val="00CD7568"/>
    <w:rsid w:val="00CE034B"/>
    <w:rsid w:val="00CE49BD"/>
    <w:rsid w:val="00CE4D25"/>
    <w:rsid w:val="00CE512B"/>
    <w:rsid w:val="00CE571B"/>
    <w:rsid w:val="00CE5D0E"/>
    <w:rsid w:val="00CF0053"/>
    <w:rsid w:val="00CF049B"/>
    <w:rsid w:val="00CF2396"/>
    <w:rsid w:val="00CF247C"/>
    <w:rsid w:val="00CF3195"/>
    <w:rsid w:val="00CF45A2"/>
    <w:rsid w:val="00CF5F4B"/>
    <w:rsid w:val="00CF61E3"/>
    <w:rsid w:val="00CF6CBD"/>
    <w:rsid w:val="00D00A8D"/>
    <w:rsid w:val="00D01CA6"/>
    <w:rsid w:val="00D03047"/>
    <w:rsid w:val="00D031B5"/>
    <w:rsid w:val="00D04710"/>
    <w:rsid w:val="00D04CDA"/>
    <w:rsid w:val="00D05351"/>
    <w:rsid w:val="00D065EC"/>
    <w:rsid w:val="00D1129F"/>
    <w:rsid w:val="00D11B03"/>
    <w:rsid w:val="00D1255A"/>
    <w:rsid w:val="00D13130"/>
    <w:rsid w:val="00D155D5"/>
    <w:rsid w:val="00D158D9"/>
    <w:rsid w:val="00D173DD"/>
    <w:rsid w:val="00D22BB0"/>
    <w:rsid w:val="00D22F33"/>
    <w:rsid w:val="00D234DF"/>
    <w:rsid w:val="00D23769"/>
    <w:rsid w:val="00D23C5C"/>
    <w:rsid w:val="00D23D8D"/>
    <w:rsid w:val="00D274EB"/>
    <w:rsid w:val="00D31C54"/>
    <w:rsid w:val="00D32A43"/>
    <w:rsid w:val="00D32AE3"/>
    <w:rsid w:val="00D3524E"/>
    <w:rsid w:val="00D3641D"/>
    <w:rsid w:val="00D364EA"/>
    <w:rsid w:val="00D369F9"/>
    <w:rsid w:val="00D36BE9"/>
    <w:rsid w:val="00D36D6F"/>
    <w:rsid w:val="00D40244"/>
    <w:rsid w:val="00D4049C"/>
    <w:rsid w:val="00D42E94"/>
    <w:rsid w:val="00D42EE6"/>
    <w:rsid w:val="00D43063"/>
    <w:rsid w:val="00D43576"/>
    <w:rsid w:val="00D454A2"/>
    <w:rsid w:val="00D455B3"/>
    <w:rsid w:val="00D45E15"/>
    <w:rsid w:val="00D47178"/>
    <w:rsid w:val="00D503C3"/>
    <w:rsid w:val="00D514F4"/>
    <w:rsid w:val="00D526BB"/>
    <w:rsid w:val="00D54708"/>
    <w:rsid w:val="00D54EEF"/>
    <w:rsid w:val="00D55117"/>
    <w:rsid w:val="00D56793"/>
    <w:rsid w:val="00D60A6F"/>
    <w:rsid w:val="00D60BC8"/>
    <w:rsid w:val="00D61284"/>
    <w:rsid w:val="00D62906"/>
    <w:rsid w:val="00D6538D"/>
    <w:rsid w:val="00D65941"/>
    <w:rsid w:val="00D65D0C"/>
    <w:rsid w:val="00D65DC3"/>
    <w:rsid w:val="00D666FD"/>
    <w:rsid w:val="00D676C9"/>
    <w:rsid w:val="00D7084D"/>
    <w:rsid w:val="00D719C9"/>
    <w:rsid w:val="00D7223A"/>
    <w:rsid w:val="00D74416"/>
    <w:rsid w:val="00D74E78"/>
    <w:rsid w:val="00D7570F"/>
    <w:rsid w:val="00D76358"/>
    <w:rsid w:val="00D774C1"/>
    <w:rsid w:val="00D77A17"/>
    <w:rsid w:val="00D806B4"/>
    <w:rsid w:val="00D8308A"/>
    <w:rsid w:val="00D84494"/>
    <w:rsid w:val="00D84518"/>
    <w:rsid w:val="00D84591"/>
    <w:rsid w:val="00D85358"/>
    <w:rsid w:val="00D8545A"/>
    <w:rsid w:val="00D854BD"/>
    <w:rsid w:val="00D857F1"/>
    <w:rsid w:val="00D85870"/>
    <w:rsid w:val="00D86DD8"/>
    <w:rsid w:val="00D87190"/>
    <w:rsid w:val="00D87F19"/>
    <w:rsid w:val="00D92E0D"/>
    <w:rsid w:val="00D9303B"/>
    <w:rsid w:val="00D9399C"/>
    <w:rsid w:val="00D93DE7"/>
    <w:rsid w:val="00D93FFD"/>
    <w:rsid w:val="00D95D3D"/>
    <w:rsid w:val="00D9630E"/>
    <w:rsid w:val="00D9685E"/>
    <w:rsid w:val="00D9717A"/>
    <w:rsid w:val="00D976E4"/>
    <w:rsid w:val="00DA0BA8"/>
    <w:rsid w:val="00DA2D54"/>
    <w:rsid w:val="00DA315B"/>
    <w:rsid w:val="00DA48E4"/>
    <w:rsid w:val="00DA5C86"/>
    <w:rsid w:val="00DA60FB"/>
    <w:rsid w:val="00DA6820"/>
    <w:rsid w:val="00DB055E"/>
    <w:rsid w:val="00DB09DB"/>
    <w:rsid w:val="00DB0B97"/>
    <w:rsid w:val="00DB19A9"/>
    <w:rsid w:val="00DB26D2"/>
    <w:rsid w:val="00DB2838"/>
    <w:rsid w:val="00DB2CF0"/>
    <w:rsid w:val="00DB3A6C"/>
    <w:rsid w:val="00DB3B86"/>
    <w:rsid w:val="00DB44BF"/>
    <w:rsid w:val="00DB5562"/>
    <w:rsid w:val="00DB592A"/>
    <w:rsid w:val="00DB5F32"/>
    <w:rsid w:val="00DC2EC9"/>
    <w:rsid w:val="00DC362E"/>
    <w:rsid w:val="00DC381E"/>
    <w:rsid w:val="00DC4073"/>
    <w:rsid w:val="00DC63EB"/>
    <w:rsid w:val="00DC6F17"/>
    <w:rsid w:val="00DC720D"/>
    <w:rsid w:val="00DD161A"/>
    <w:rsid w:val="00DD1E66"/>
    <w:rsid w:val="00DD2567"/>
    <w:rsid w:val="00DD57B4"/>
    <w:rsid w:val="00DD67A0"/>
    <w:rsid w:val="00DD6D5F"/>
    <w:rsid w:val="00DD73E3"/>
    <w:rsid w:val="00DD7853"/>
    <w:rsid w:val="00DE0474"/>
    <w:rsid w:val="00DE0B4C"/>
    <w:rsid w:val="00DE0D67"/>
    <w:rsid w:val="00DE1515"/>
    <w:rsid w:val="00DE180F"/>
    <w:rsid w:val="00DE1BA8"/>
    <w:rsid w:val="00DE2594"/>
    <w:rsid w:val="00DE4CAC"/>
    <w:rsid w:val="00DE4CE9"/>
    <w:rsid w:val="00DE5768"/>
    <w:rsid w:val="00DE5EE7"/>
    <w:rsid w:val="00DE5FFA"/>
    <w:rsid w:val="00DE676F"/>
    <w:rsid w:val="00DE7137"/>
    <w:rsid w:val="00DE7ABF"/>
    <w:rsid w:val="00DF10D7"/>
    <w:rsid w:val="00DF2E6E"/>
    <w:rsid w:val="00DF42FE"/>
    <w:rsid w:val="00DF5670"/>
    <w:rsid w:val="00DF58E1"/>
    <w:rsid w:val="00DF59E8"/>
    <w:rsid w:val="00DF5BFB"/>
    <w:rsid w:val="00DF6181"/>
    <w:rsid w:val="00DF794B"/>
    <w:rsid w:val="00E01C21"/>
    <w:rsid w:val="00E02508"/>
    <w:rsid w:val="00E02B7B"/>
    <w:rsid w:val="00E0367A"/>
    <w:rsid w:val="00E0440C"/>
    <w:rsid w:val="00E049F2"/>
    <w:rsid w:val="00E054A2"/>
    <w:rsid w:val="00E05B55"/>
    <w:rsid w:val="00E063CB"/>
    <w:rsid w:val="00E07114"/>
    <w:rsid w:val="00E07463"/>
    <w:rsid w:val="00E100A5"/>
    <w:rsid w:val="00E113C5"/>
    <w:rsid w:val="00E14269"/>
    <w:rsid w:val="00E149DF"/>
    <w:rsid w:val="00E168F2"/>
    <w:rsid w:val="00E1698C"/>
    <w:rsid w:val="00E17483"/>
    <w:rsid w:val="00E20844"/>
    <w:rsid w:val="00E21060"/>
    <w:rsid w:val="00E21304"/>
    <w:rsid w:val="00E22280"/>
    <w:rsid w:val="00E2451A"/>
    <w:rsid w:val="00E250D3"/>
    <w:rsid w:val="00E2524E"/>
    <w:rsid w:val="00E25479"/>
    <w:rsid w:val="00E25C44"/>
    <w:rsid w:val="00E34013"/>
    <w:rsid w:val="00E342D1"/>
    <w:rsid w:val="00E34C70"/>
    <w:rsid w:val="00E36359"/>
    <w:rsid w:val="00E3732C"/>
    <w:rsid w:val="00E37B1C"/>
    <w:rsid w:val="00E447FE"/>
    <w:rsid w:val="00E46C57"/>
    <w:rsid w:val="00E46D28"/>
    <w:rsid w:val="00E47440"/>
    <w:rsid w:val="00E47CFD"/>
    <w:rsid w:val="00E505B7"/>
    <w:rsid w:val="00E5192B"/>
    <w:rsid w:val="00E5195C"/>
    <w:rsid w:val="00E51AAC"/>
    <w:rsid w:val="00E531CA"/>
    <w:rsid w:val="00E53404"/>
    <w:rsid w:val="00E5517E"/>
    <w:rsid w:val="00E559B0"/>
    <w:rsid w:val="00E56108"/>
    <w:rsid w:val="00E561D7"/>
    <w:rsid w:val="00E57CBB"/>
    <w:rsid w:val="00E6090C"/>
    <w:rsid w:val="00E6117B"/>
    <w:rsid w:val="00E61C2D"/>
    <w:rsid w:val="00E61E19"/>
    <w:rsid w:val="00E61F0F"/>
    <w:rsid w:val="00E63C94"/>
    <w:rsid w:val="00E645E4"/>
    <w:rsid w:val="00E647DB"/>
    <w:rsid w:val="00E661FD"/>
    <w:rsid w:val="00E67835"/>
    <w:rsid w:val="00E70F53"/>
    <w:rsid w:val="00E7107E"/>
    <w:rsid w:val="00E72567"/>
    <w:rsid w:val="00E74827"/>
    <w:rsid w:val="00E74F00"/>
    <w:rsid w:val="00E7579F"/>
    <w:rsid w:val="00E77E29"/>
    <w:rsid w:val="00E82163"/>
    <w:rsid w:val="00E82200"/>
    <w:rsid w:val="00E83105"/>
    <w:rsid w:val="00E851A8"/>
    <w:rsid w:val="00E85FE7"/>
    <w:rsid w:val="00E8667C"/>
    <w:rsid w:val="00E86CA2"/>
    <w:rsid w:val="00E87C07"/>
    <w:rsid w:val="00E87F51"/>
    <w:rsid w:val="00E90A96"/>
    <w:rsid w:val="00E91ADF"/>
    <w:rsid w:val="00E91E79"/>
    <w:rsid w:val="00E93CD2"/>
    <w:rsid w:val="00E94438"/>
    <w:rsid w:val="00E95B6C"/>
    <w:rsid w:val="00E9700F"/>
    <w:rsid w:val="00E9763A"/>
    <w:rsid w:val="00EA0099"/>
    <w:rsid w:val="00EA2877"/>
    <w:rsid w:val="00EA33F1"/>
    <w:rsid w:val="00EA3F4F"/>
    <w:rsid w:val="00EA434E"/>
    <w:rsid w:val="00EA5AFF"/>
    <w:rsid w:val="00EA6603"/>
    <w:rsid w:val="00EA7032"/>
    <w:rsid w:val="00EB0A87"/>
    <w:rsid w:val="00EB0CCF"/>
    <w:rsid w:val="00EB4101"/>
    <w:rsid w:val="00EB46C8"/>
    <w:rsid w:val="00EB57A3"/>
    <w:rsid w:val="00EB615D"/>
    <w:rsid w:val="00EB6206"/>
    <w:rsid w:val="00EB62E5"/>
    <w:rsid w:val="00EB6DF4"/>
    <w:rsid w:val="00EB716C"/>
    <w:rsid w:val="00EB7804"/>
    <w:rsid w:val="00EB7B43"/>
    <w:rsid w:val="00EB7D7B"/>
    <w:rsid w:val="00EC02CC"/>
    <w:rsid w:val="00EC02FB"/>
    <w:rsid w:val="00EC045D"/>
    <w:rsid w:val="00EC0DA4"/>
    <w:rsid w:val="00EC16DA"/>
    <w:rsid w:val="00EC2995"/>
    <w:rsid w:val="00EC2C03"/>
    <w:rsid w:val="00EC4645"/>
    <w:rsid w:val="00EC51D1"/>
    <w:rsid w:val="00EC5317"/>
    <w:rsid w:val="00EC5443"/>
    <w:rsid w:val="00EC6A4C"/>
    <w:rsid w:val="00EC6E10"/>
    <w:rsid w:val="00EC78F6"/>
    <w:rsid w:val="00EC7C91"/>
    <w:rsid w:val="00ED0BC8"/>
    <w:rsid w:val="00ED1CF0"/>
    <w:rsid w:val="00ED40D8"/>
    <w:rsid w:val="00ED447A"/>
    <w:rsid w:val="00ED5C7A"/>
    <w:rsid w:val="00ED62E9"/>
    <w:rsid w:val="00ED6A1B"/>
    <w:rsid w:val="00EE08FC"/>
    <w:rsid w:val="00EE0C77"/>
    <w:rsid w:val="00EE2D06"/>
    <w:rsid w:val="00EE3625"/>
    <w:rsid w:val="00EE3CC9"/>
    <w:rsid w:val="00EE41C2"/>
    <w:rsid w:val="00EE5602"/>
    <w:rsid w:val="00EE5F6C"/>
    <w:rsid w:val="00EF0AE2"/>
    <w:rsid w:val="00EF309A"/>
    <w:rsid w:val="00EF3996"/>
    <w:rsid w:val="00EF4F8A"/>
    <w:rsid w:val="00F019C0"/>
    <w:rsid w:val="00F01BB4"/>
    <w:rsid w:val="00F02CEF"/>
    <w:rsid w:val="00F03554"/>
    <w:rsid w:val="00F0364E"/>
    <w:rsid w:val="00F03756"/>
    <w:rsid w:val="00F0438A"/>
    <w:rsid w:val="00F10589"/>
    <w:rsid w:val="00F10F55"/>
    <w:rsid w:val="00F125B1"/>
    <w:rsid w:val="00F1447C"/>
    <w:rsid w:val="00F14840"/>
    <w:rsid w:val="00F14B71"/>
    <w:rsid w:val="00F172FD"/>
    <w:rsid w:val="00F20072"/>
    <w:rsid w:val="00F21D8E"/>
    <w:rsid w:val="00F248CB"/>
    <w:rsid w:val="00F252FA"/>
    <w:rsid w:val="00F261A7"/>
    <w:rsid w:val="00F275CD"/>
    <w:rsid w:val="00F27BD3"/>
    <w:rsid w:val="00F31189"/>
    <w:rsid w:val="00F34023"/>
    <w:rsid w:val="00F36304"/>
    <w:rsid w:val="00F367BE"/>
    <w:rsid w:val="00F36CA6"/>
    <w:rsid w:val="00F36E6E"/>
    <w:rsid w:val="00F37B21"/>
    <w:rsid w:val="00F407F4"/>
    <w:rsid w:val="00F40966"/>
    <w:rsid w:val="00F40F86"/>
    <w:rsid w:val="00F420FC"/>
    <w:rsid w:val="00F42C48"/>
    <w:rsid w:val="00F44BDC"/>
    <w:rsid w:val="00F450A6"/>
    <w:rsid w:val="00F45587"/>
    <w:rsid w:val="00F45A28"/>
    <w:rsid w:val="00F46AA8"/>
    <w:rsid w:val="00F510E8"/>
    <w:rsid w:val="00F52395"/>
    <w:rsid w:val="00F52B44"/>
    <w:rsid w:val="00F52DD9"/>
    <w:rsid w:val="00F52E5B"/>
    <w:rsid w:val="00F5364E"/>
    <w:rsid w:val="00F540DF"/>
    <w:rsid w:val="00F544E2"/>
    <w:rsid w:val="00F547F7"/>
    <w:rsid w:val="00F54A09"/>
    <w:rsid w:val="00F57EA8"/>
    <w:rsid w:val="00F60BDE"/>
    <w:rsid w:val="00F615AE"/>
    <w:rsid w:val="00F620EF"/>
    <w:rsid w:val="00F623D0"/>
    <w:rsid w:val="00F62B11"/>
    <w:rsid w:val="00F633D2"/>
    <w:rsid w:val="00F63AE8"/>
    <w:rsid w:val="00F646A5"/>
    <w:rsid w:val="00F65E1B"/>
    <w:rsid w:val="00F66ADF"/>
    <w:rsid w:val="00F67DAD"/>
    <w:rsid w:val="00F70748"/>
    <w:rsid w:val="00F71DE2"/>
    <w:rsid w:val="00F73946"/>
    <w:rsid w:val="00F74388"/>
    <w:rsid w:val="00F748E0"/>
    <w:rsid w:val="00F755CA"/>
    <w:rsid w:val="00F804F0"/>
    <w:rsid w:val="00F805FA"/>
    <w:rsid w:val="00F825A5"/>
    <w:rsid w:val="00F83535"/>
    <w:rsid w:val="00F83BE5"/>
    <w:rsid w:val="00F84ED7"/>
    <w:rsid w:val="00F854CA"/>
    <w:rsid w:val="00F86776"/>
    <w:rsid w:val="00F87E84"/>
    <w:rsid w:val="00F915AB"/>
    <w:rsid w:val="00F91F66"/>
    <w:rsid w:val="00F94C01"/>
    <w:rsid w:val="00F96645"/>
    <w:rsid w:val="00FA01F4"/>
    <w:rsid w:val="00FA03C1"/>
    <w:rsid w:val="00FA03EF"/>
    <w:rsid w:val="00FA0861"/>
    <w:rsid w:val="00FA0BFE"/>
    <w:rsid w:val="00FA0EAF"/>
    <w:rsid w:val="00FA1027"/>
    <w:rsid w:val="00FA11B5"/>
    <w:rsid w:val="00FA16AB"/>
    <w:rsid w:val="00FA1CD8"/>
    <w:rsid w:val="00FA2226"/>
    <w:rsid w:val="00FA28A5"/>
    <w:rsid w:val="00FA28BD"/>
    <w:rsid w:val="00FA2AF4"/>
    <w:rsid w:val="00FA2BB7"/>
    <w:rsid w:val="00FA4639"/>
    <w:rsid w:val="00FA5E7B"/>
    <w:rsid w:val="00FA6F48"/>
    <w:rsid w:val="00FB0793"/>
    <w:rsid w:val="00FB2BB3"/>
    <w:rsid w:val="00FB362E"/>
    <w:rsid w:val="00FB3AAC"/>
    <w:rsid w:val="00FB3C1C"/>
    <w:rsid w:val="00FB54EC"/>
    <w:rsid w:val="00FB61E8"/>
    <w:rsid w:val="00FB64F1"/>
    <w:rsid w:val="00FB6573"/>
    <w:rsid w:val="00FB6C2E"/>
    <w:rsid w:val="00FC1CB0"/>
    <w:rsid w:val="00FC2210"/>
    <w:rsid w:val="00FC4F2D"/>
    <w:rsid w:val="00FC5865"/>
    <w:rsid w:val="00FC5AE4"/>
    <w:rsid w:val="00FC7B56"/>
    <w:rsid w:val="00FD033E"/>
    <w:rsid w:val="00FD1D2A"/>
    <w:rsid w:val="00FD2F26"/>
    <w:rsid w:val="00FD36CD"/>
    <w:rsid w:val="00FD4325"/>
    <w:rsid w:val="00FD5F86"/>
    <w:rsid w:val="00FE06EE"/>
    <w:rsid w:val="00FE1699"/>
    <w:rsid w:val="00FE16CC"/>
    <w:rsid w:val="00FE24EC"/>
    <w:rsid w:val="00FE2A33"/>
    <w:rsid w:val="00FE38D6"/>
    <w:rsid w:val="00FE430E"/>
    <w:rsid w:val="00FE5E08"/>
    <w:rsid w:val="00FE5E3A"/>
    <w:rsid w:val="00FE670F"/>
    <w:rsid w:val="00FF0562"/>
    <w:rsid w:val="00FF1DB3"/>
    <w:rsid w:val="00FF3572"/>
    <w:rsid w:val="00FF35AA"/>
    <w:rsid w:val="00FF547B"/>
    <w:rsid w:val="00FF5D70"/>
    <w:rsid w:val="00FF5E53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1125C4"/>
  <w15:docId w15:val="{E5C0D613-6433-42BC-B1EB-0B28C024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B11"/>
    <w:pPr>
      <w:spacing w:before="120" w:after="120"/>
      <w:jc w:val="both"/>
    </w:pPr>
    <w:rPr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C4B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1CD"/>
    <w:rPr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7C4BD8"/>
    <w:pPr>
      <w:tabs>
        <w:tab w:val="center" w:pos="4252"/>
        <w:tab w:val="right" w:pos="8504"/>
      </w:tabs>
      <w:spacing w:before="0" w:after="0"/>
      <w:ind w:right="360"/>
      <w:jc w:val="left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311CD"/>
    <w:rPr>
      <w:szCs w:val="20"/>
      <w:lang w:eastAsia="es-ES"/>
    </w:rPr>
  </w:style>
  <w:style w:type="character" w:styleId="Nmerodepgina">
    <w:name w:val="page number"/>
    <w:basedOn w:val="Fuentedeprrafopredeter"/>
    <w:uiPriority w:val="99"/>
    <w:rsid w:val="007C4BD8"/>
    <w:rPr>
      <w:rFonts w:ascii="Arial" w:hAnsi="Arial" w:cs="Times New Roman"/>
      <w:color w:val="auto"/>
      <w:sz w:val="18"/>
      <w:shd w:val="clear" w:color="auto" w:fill="auto"/>
    </w:rPr>
  </w:style>
  <w:style w:type="character" w:styleId="Hipervnculo">
    <w:name w:val="Hyperlink"/>
    <w:basedOn w:val="Fuentedeprrafopredeter"/>
    <w:uiPriority w:val="99"/>
    <w:rsid w:val="007C4BD8"/>
    <w:rPr>
      <w:rFonts w:cs="Times New Roman"/>
      <w:color w:val="0000FF"/>
      <w:u w:val="single"/>
    </w:rPr>
  </w:style>
  <w:style w:type="paragraph" w:customStyle="1" w:styleId="Car5">
    <w:name w:val="Car5"/>
    <w:basedOn w:val="Normal"/>
    <w:uiPriority w:val="99"/>
    <w:rsid w:val="007C4BD8"/>
    <w:pPr>
      <w:spacing w:before="0" w:after="160" w:line="240" w:lineRule="exact"/>
      <w:jc w:val="left"/>
    </w:pPr>
    <w:rPr>
      <w:rFonts w:ascii="Verdana" w:hAnsi="Verdana" w:cs="Verdana"/>
      <w:sz w:val="20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0F68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1CD"/>
    <w:rPr>
      <w:sz w:val="0"/>
      <w:szCs w:val="0"/>
      <w:lang w:eastAsia="es-ES"/>
    </w:rPr>
  </w:style>
  <w:style w:type="character" w:customStyle="1" w:styleId="apple-converted-space">
    <w:name w:val="apple-converted-space"/>
    <w:basedOn w:val="Fuentedeprrafopredeter"/>
    <w:uiPriority w:val="99"/>
    <w:rsid w:val="005D3E27"/>
    <w:rPr>
      <w:rFonts w:cs="Times New Roman"/>
    </w:rPr>
  </w:style>
  <w:style w:type="character" w:styleId="Textoennegrita">
    <w:name w:val="Strong"/>
    <w:basedOn w:val="Fuentedeprrafopredeter"/>
    <w:uiPriority w:val="99"/>
    <w:qFormat/>
    <w:rsid w:val="005D3E27"/>
    <w:rPr>
      <w:rFonts w:cs="Times New Roman"/>
      <w:b/>
    </w:rPr>
  </w:style>
  <w:style w:type="paragraph" w:styleId="NormalWeb">
    <w:name w:val="Normal (Web)"/>
    <w:basedOn w:val="Normal"/>
    <w:uiPriority w:val="99"/>
    <w:rsid w:val="005D3E27"/>
    <w:pPr>
      <w:spacing w:before="100" w:beforeAutospacing="1" w:after="100" w:afterAutospacing="1"/>
      <w:jc w:val="left"/>
    </w:pPr>
    <w:rPr>
      <w:sz w:val="24"/>
      <w:szCs w:val="24"/>
      <w:lang w:val="es-ES"/>
    </w:rPr>
  </w:style>
  <w:style w:type="paragraph" w:customStyle="1" w:styleId="Default">
    <w:name w:val="Default"/>
    <w:uiPriority w:val="99"/>
    <w:rsid w:val="00D526B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rsid w:val="00822ED1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6604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s">
    <w:name w:val="Dates"/>
    <w:basedOn w:val="Normal"/>
    <w:rsid w:val="00FF3572"/>
    <w:pPr>
      <w:spacing w:before="0" w:after="0"/>
      <w:jc w:val="left"/>
    </w:pPr>
    <w:rPr>
      <w:rFonts w:ascii="Perpetua" w:hAnsi="Perpetua" w:cs="Arial"/>
      <w:sz w:val="20"/>
      <w:lang w:val="es-ES" w:eastAsia="en-US"/>
    </w:rPr>
  </w:style>
  <w:style w:type="paragraph" w:customStyle="1" w:styleId="Weekdays">
    <w:name w:val="Weekdays"/>
    <w:basedOn w:val="Normal"/>
    <w:rsid w:val="00FF3572"/>
    <w:pPr>
      <w:spacing w:before="0" w:after="0"/>
      <w:jc w:val="center"/>
    </w:pPr>
    <w:rPr>
      <w:rFonts w:ascii="Franklin Gothic Book" w:hAnsi="Franklin Gothic Book"/>
      <w:b/>
      <w:spacing w:val="1"/>
      <w:sz w:val="20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33115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026C8"/>
    <w:pPr>
      <w:spacing w:before="0" w:after="0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026C8"/>
    <w:rPr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026C8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2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delphosinv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lphosinv@delphosinv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C9E5F-B44F-4547-9B5C-90279D36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819</Words>
  <Characters>4505</Characters>
  <Application>Microsoft Office Word</Application>
  <DocSecurity>2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crecimiento en la mira</vt:lpstr>
    </vt:vector>
  </TitlesOfParts>
  <Company>http://www.centor.mx.gd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crecimiento en la mira</dc:title>
  <dc:creator>ggrasso</dc:creator>
  <cp:lastModifiedBy>Admin</cp:lastModifiedBy>
  <cp:revision>4</cp:revision>
  <cp:lastPrinted>2022-02-25T16:21:00Z</cp:lastPrinted>
  <dcterms:created xsi:type="dcterms:W3CDTF">2022-05-06T14:32:00Z</dcterms:created>
  <dcterms:modified xsi:type="dcterms:W3CDTF">2022-08-11T15:59:00Z</dcterms:modified>
</cp:coreProperties>
</file>