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3FE79" w14:textId="77777777" w:rsidR="007D7EDE" w:rsidRDefault="007D7EDE" w:rsidP="000B3CB0">
      <w:pPr>
        <w:jc w:val="both"/>
      </w:pPr>
    </w:p>
    <w:p w14:paraId="2A866B10" w14:textId="77777777" w:rsidR="007D7EDE" w:rsidRDefault="007D7EDE" w:rsidP="000B3CB0">
      <w:pPr>
        <w:jc w:val="both"/>
      </w:pPr>
    </w:p>
    <w:p w14:paraId="01C621A7" w14:textId="77777777" w:rsidR="007D7EDE" w:rsidRDefault="007D7EDE" w:rsidP="000B3CB0">
      <w:pPr>
        <w:jc w:val="both"/>
      </w:pPr>
    </w:p>
    <w:p w14:paraId="2905B92B" w14:textId="77777777" w:rsidR="007D7EDE" w:rsidRDefault="007D7EDE" w:rsidP="000B3CB0">
      <w:pPr>
        <w:jc w:val="both"/>
      </w:pPr>
    </w:p>
    <w:p w14:paraId="5B9D749F" w14:textId="77777777" w:rsidR="007D7EDE" w:rsidRDefault="007D7EDE" w:rsidP="000B3CB0">
      <w:pPr>
        <w:jc w:val="both"/>
      </w:pPr>
    </w:p>
    <w:p w14:paraId="428FEBFA" w14:textId="77777777" w:rsidR="007D7EDE" w:rsidRDefault="007D7EDE" w:rsidP="000B3CB0">
      <w:pPr>
        <w:jc w:val="both"/>
      </w:pPr>
    </w:p>
    <w:p w14:paraId="265CA519" w14:textId="77777777" w:rsidR="007D7EDE" w:rsidRDefault="007D7EDE" w:rsidP="000B3CB0">
      <w:pPr>
        <w:jc w:val="both"/>
      </w:pPr>
    </w:p>
    <w:p w14:paraId="4B366A4D" w14:textId="77777777" w:rsidR="007D7EDE" w:rsidRPr="000B3CB0" w:rsidRDefault="007D7EDE" w:rsidP="00CC2DCF">
      <w:pPr>
        <w:jc w:val="center"/>
        <w:rPr>
          <w:b/>
          <w:color w:val="000000" w:themeColor="text1"/>
          <w:sz w:val="56"/>
          <w:szCs w:val="72"/>
        </w:rPr>
      </w:pPr>
      <w:r w:rsidRPr="000B3CB0">
        <w:rPr>
          <w:b/>
          <w:color w:val="000000" w:themeColor="text1"/>
          <w:sz w:val="56"/>
          <w:szCs w:val="72"/>
        </w:rPr>
        <w:t xml:space="preserve">INFORME </w:t>
      </w:r>
      <w:r w:rsidR="006A0F77" w:rsidRPr="000B3CB0">
        <w:rPr>
          <w:b/>
          <w:color w:val="000000" w:themeColor="text1"/>
          <w:sz w:val="56"/>
          <w:szCs w:val="72"/>
        </w:rPr>
        <w:t xml:space="preserve">MENSUAL </w:t>
      </w:r>
      <w:r w:rsidRPr="000B3CB0">
        <w:rPr>
          <w:b/>
          <w:color w:val="000000" w:themeColor="text1"/>
          <w:sz w:val="56"/>
          <w:szCs w:val="72"/>
        </w:rPr>
        <w:t>DE SEGUIMIENTO DE L</w:t>
      </w:r>
      <w:r w:rsidR="006A0F77" w:rsidRPr="000B3CB0">
        <w:rPr>
          <w:b/>
          <w:color w:val="000000" w:themeColor="text1"/>
          <w:sz w:val="56"/>
          <w:szCs w:val="72"/>
        </w:rPr>
        <w:t>OS INDICADORES DE</w:t>
      </w:r>
      <w:r w:rsidR="00063CB5">
        <w:rPr>
          <w:b/>
          <w:color w:val="000000" w:themeColor="text1"/>
          <w:sz w:val="56"/>
          <w:szCs w:val="72"/>
        </w:rPr>
        <w:t xml:space="preserve"> ESCASEZ</w:t>
      </w:r>
    </w:p>
    <w:p w14:paraId="0198EAFC" w14:textId="77777777" w:rsidR="007D7EDE" w:rsidRPr="000B3CB0" w:rsidRDefault="007D7EDE" w:rsidP="00CC2DCF">
      <w:pPr>
        <w:jc w:val="center"/>
        <w:rPr>
          <w:b/>
          <w:color w:val="000000" w:themeColor="text1"/>
          <w:sz w:val="28"/>
          <w:szCs w:val="32"/>
        </w:rPr>
      </w:pPr>
    </w:p>
    <w:p w14:paraId="627B854F" w14:textId="77777777" w:rsidR="007D7EDE" w:rsidRPr="000B3CB0" w:rsidRDefault="007D7EDE" w:rsidP="00CC2DCF">
      <w:pPr>
        <w:jc w:val="center"/>
        <w:rPr>
          <w:b/>
          <w:color w:val="000000" w:themeColor="text1"/>
          <w:sz w:val="40"/>
          <w:szCs w:val="44"/>
        </w:rPr>
      </w:pPr>
      <w:r w:rsidRPr="000B3CB0">
        <w:rPr>
          <w:b/>
          <w:color w:val="000000" w:themeColor="text1"/>
          <w:sz w:val="40"/>
          <w:szCs w:val="44"/>
        </w:rPr>
        <w:t>Demarcación Hidrográfica del Cantábrico Occidental</w:t>
      </w:r>
    </w:p>
    <w:p w14:paraId="37B617A5" w14:textId="77777777" w:rsidR="007D7EDE" w:rsidRDefault="00907868" w:rsidP="000B3CB0">
      <w:pPr>
        <w:tabs>
          <w:tab w:val="left" w:pos="7792"/>
        </w:tabs>
        <w:rPr>
          <w:b/>
          <w:color w:val="000000" w:themeColor="text1"/>
          <w:sz w:val="44"/>
          <w:szCs w:val="44"/>
        </w:rPr>
      </w:pPr>
      <w:r>
        <w:rPr>
          <w:b/>
          <w:color w:val="000000" w:themeColor="text1"/>
          <w:sz w:val="44"/>
          <w:szCs w:val="44"/>
        </w:rPr>
        <w:tab/>
      </w:r>
    </w:p>
    <w:p w14:paraId="5FB5E21E" w14:textId="147EEB48" w:rsidR="006A0F77" w:rsidRDefault="006A0F77">
      <w:pPr>
        <w:jc w:val="center"/>
        <w:rPr>
          <w:b/>
          <w:color w:val="000000" w:themeColor="text1"/>
          <w:sz w:val="44"/>
          <w:szCs w:val="44"/>
        </w:rPr>
      </w:pPr>
      <w:r>
        <w:rPr>
          <w:b/>
          <w:color w:val="000000" w:themeColor="text1"/>
          <w:sz w:val="44"/>
          <w:szCs w:val="44"/>
        </w:rPr>
        <w:t>Febrero de 2020</w:t>
      </w:r>
    </w:p>
    <w:p w14:paraId="5FB0762F" w14:textId="77777777" w:rsidR="007D7EDE" w:rsidRDefault="007D7EDE">
      <w:pPr>
        <w:jc w:val="center"/>
        <w:rPr>
          <w:b/>
          <w:color w:val="000000" w:themeColor="text1"/>
          <w:sz w:val="44"/>
          <w:szCs w:val="44"/>
        </w:rPr>
      </w:pPr>
    </w:p>
    <w:p w14:paraId="0FB2C863" w14:textId="77777777" w:rsidR="007D7EDE" w:rsidRPr="000B3CB0" w:rsidRDefault="006A0F77">
      <w:pPr>
        <w:jc w:val="center"/>
        <w:rPr>
          <w:b/>
          <w:color w:val="000000" w:themeColor="text1"/>
          <w:sz w:val="24"/>
          <w:szCs w:val="44"/>
        </w:rPr>
      </w:pPr>
      <w:r w:rsidRPr="000B3CB0">
        <w:rPr>
          <w:b/>
          <w:color w:val="000000" w:themeColor="text1"/>
          <w:sz w:val="24"/>
          <w:szCs w:val="44"/>
        </w:rPr>
        <w:t>PLAN ESPECIAL DE SEQUIA (ORDEN TEC/1399/2018, DE 28 DE NOVIEMBRE)</w:t>
      </w:r>
    </w:p>
    <w:p w14:paraId="58BE333D" w14:textId="77777777" w:rsidR="007D7EDE" w:rsidRDefault="007D7EDE" w:rsidP="000B3CB0">
      <w:pPr>
        <w:jc w:val="both"/>
        <w:rPr>
          <w:b/>
          <w:color w:val="000000" w:themeColor="text1"/>
          <w:sz w:val="44"/>
          <w:szCs w:val="44"/>
        </w:rPr>
      </w:pPr>
    </w:p>
    <w:p w14:paraId="13C08A9F" w14:textId="6B29FE93" w:rsidR="007D7EDE" w:rsidRDefault="008C53FE" w:rsidP="00CC2DCF">
      <w:pPr>
        <w:jc w:val="center"/>
        <w:rPr>
          <w:b/>
          <w:color w:val="000000" w:themeColor="text1"/>
          <w:sz w:val="44"/>
          <w:szCs w:val="44"/>
        </w:rPr>
      </w:pPr>
      <w:r>
        <w:rPr>
          <w:noProof/>
          <w:lang w:eastAsia="es-ES"/>
        </w:rPr>
        <w:drawing>
          <wp:inline distT="0" distB="0" distL="0" distR="0" wp14:anchorId="7A9A55A2" wp14:editId="45183541">
            <wp:extent cx="3813799" cy="72000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799" cy="720000"/>
                    </a:xfrm>
                    <a:prstGeom prst="rect">
                      <a:avLst/>
                    </a:prstGeom>
                    <a:noFill/>
                    <a:ln>
                      <a:noFill/>
                    </a:ln>
                  </pic:spPr>
                </pic:pic>
              </a:graphicData>
            </a:graphic>
          </wp:inline>
        </w:drawing>
      </w:r>
    </w:p>
    <w:p w14:paraId="5C92B8F9" w14:textId="77777777" w:rsidR="007D7EDE" w:rsidRDefault="007D7EDE" w:rsidP="00CC2DCF">
      <w:pPr>
        <w:jc w:val="center"/>
        <w:rPr>
          <w:b/>
          <w:color w:val="000000" w:themeColor="text1"/>
          <w:sz w:val="44"/>
          <w:szCs w:val="44"/>
        </w:rPr>
      </w:pPr>
      <w:r>
        <w:rPr>
          <w:b/>
          <w:noProof/>
          <w:color w:val="000000" w:themeColor="text1"/>
          <w:sz w:val="44"/>
          <w:szCs w:val="44"/>
          <w:lang w:eastAsia="es-ES"/>
        </w:rPr>
        <mc:AlternateContent>
          <mc:Choice Requires="wps">
            <w:drawing>
              <wp:anchor distT="0" distB="0" distL="114300" distR="114300" simplePos="0" relativeHeight="251659264" behindDoc="0" locked="0" layoutInCell="1" allowOverlap="1" wp14:anchorId="32B149D3" wp14:editId="5669F4E0">
                <wp:simplePos x="0" y="0"/>
                <wp:positionH relativeFrom="column">
                  <wp:posOffset>-175260</wp:posOffset>
                </wp:positionH>
                <wp:positionV relativeFrom="paragraph">
                  <wp:posOffset>496571</wp:posOffset>
                </wp:positionV>
                <wp:extent cx="5905500" cy="0"/>
                <wp:effectExtent l="0" t="19050" r="19050" b="19050"/>
                <wp:wrapNone/>
                <wp:docPr id="3" name="Conector recto 3"/>
                <wp:cNvGraphicFramePr/>
                <a:graphic xmlns:a="http://schemas.openxmlformats.org/drawingml/2006/main">
                  <a:graphicData uri="http://schemas.microsoft.com/office/word/2010/wordprocessingShape">
                    <wps:wsp>
                      <wps:cNvCnPr/>
                      <wps:spPr>
                        <a:xfrm>
                          <a:off x="0" y="0"/>
                          <a:ext cx="5905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68A19"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pt" to="451.2pt,39.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JxkIvQEAANADAAAOAAAAZHJzL2Uyb0RvYy54bWysU9uO0zAQfUfiHyy/06RdBZao6T50BS8I Klg+wOuMG0u+aWya9O8ZO20WARJitS++zjkz53i8vZusYSfAqL3r+HpVcwZO+l67Y8e/P3x4c8tZ TML1wngHHT9D5He716+2Y2hh4wdvekBGJC62Y+j4kFJoqyrKAayIKx/A0aXyaEWiLR6rHsVI7NZU m7p+W40e+4BeQox0ej9f8l3hVwpk+qJUhMRMx6m2VEYs42Meq91WtEcUYdDyUoZ4RhVWaEdJF6p7 kQT7gfoPKqsl+uhVWklvK6+UllA0kJp1/Zuab4MIULSQOTEsNsWXo5WfTwdkuu/4DWdOWHqiPT2U TB4Z5ondZI/GEFsK3bsDXnYxHDALnhTaPJMUNhVfz4uvMCUm6bB5XzdNTfbL6131BAwY00fwluVF x412WbJoxelTTJSMQq8h+dg4NnZ8c9u8a3JhVa5srqWs0tnAHPYVFOmi7OtCVzoK9gbZSVAvCCnB pXWhyKQUnWFKG7MA638DL/EZCqXb/ge8IEpm79ICttp5/Fv2NF1LVnP81YFZd7bg0ffn8krFGmqb YuGlxXNf/rov8KePuPsJAAD//wMAUEsDBBQABgAIAAAAIQAZCq663gAAAAkBAAAPAAAAZHJzL2Rv d25yZXYueG1sTI/BTsMwDIbvSLxDZCRuW0pVrVvXdBpIXNhpG0Ic3ca0EY1TmmwrPD1BHOBo+9Pv 7y83k+3FmUZvHCu4mycgiBunDbcKno+PsyUIH5A19o5JwSd52FTXVyUW2l14T+dDaEUMYV+ggi6E oZDSNx1Z9HM3EMfbmxsthjiOrdQjXmK47WWaJAtp0XD80OFADx0174eTVXBfZ1+TfX2hfeu3mXky OX7sdkrd3kzbNYhAU/iD4Uc/qkMVnWp3Yu1Fr2CW5ouIKsiXKYgIrJI0A1H/LmRVyv8Nqm8AAAD/ /wMAUEsBAi0AFAAGAAgAAAAhALaDOJL+AAAA4QEAABMAAAAAAAAAAAAAAAAAAAAAAFtDb250ZW50 X1R5cGVzXS54bWxQSwECLQAUAAYACAAAACEAOP0h/9YAAACUAQAACwAAAAAAAAAAAAAAAAAvAQAA X3JlbHMvLnJlbHNQSwECLQAUAAYACAAAACEAxScZCL0BAADQAwAADgAAAAAAAAAAAAAAAAAuAgAA ZHJzL2Uyb0RvYy54bWxQSwECLQAUAAYACAAAACEAGQquut4AAAAJAQAADwAAAAAAAAAAAAAAAAAX BAAAZHJzL2Rvd25yZXYueG1sUEsFBgAAAAAEAAQA8wAAACIFAAAAAA== " strokecolor="#5b9bd5 [3204]" strokeweight="2.25pt">
                <v:stroke joinstyle="miter"/>
              </v:line>
            </w:pict>
          </mc:Fallback>
        </mc:AlternateContent>
      </w:r>
      <w:r>
        <w:rPr>
          <w:b/>
          <w:color w:val="000000" w:themeColor="text1"/>
          <w:sz w:val="44"/>
          <w:szCs w:val="44"/>
        </w:rPr>
        <w:t>Confederación Hidrográfica del Cantábrico</w:t>
      </w:r>
    </w:p>
    <w:p w14:paraId="03CEFFAD" w14:textId="77777777" w:rsidR="00314D56" w:rsidRDefault="00314D56" w:rsidP="000B3CB0">
      <w:pPr>
        <w:jc w:val="both"/>
      </w:pPr>
    </w:p>
    <w:sdt>
      <w:sdtPr>
        <w:rPr>
          <w:rFonts w:asciiTheme="minorHAnsi" w:eastAsiaTheme="minorHAnsi" w:hAnsiTheme="minorHAnsi" w:cstheme="minorBidi"/>
          <w:color w:val="auto"/>
          <w:sz w:val="22"/>
          <w:szCs w:val="22"/>
          <w:lang w:eastAsia="en-US"/>
        </w:rPr>
        <w:id w:val="-1891646582"/>
        <w:docPartObj>
          <w:docPartGallery w:val="Table of Contents"/>
          <w:docPartUnique/>
        </w:docPartObj>
      </w:sdtPr>
      <w:sdtEndPr>
        <w:rPr>
          <w:b/>
          <w:bCs/>
        </w:rPr>
      </w:sdtEndPr>
      <w:sdtContent>
        <w:p w14:paraId="373353CF" w14:textId="77777777" w:rsidR="00FF0BC9" w:rsidRDefault="00FF0BC9" w:rsidP="000B3CB0">
          <w:pPr>
            <w:pStyle w:val="TtuloTDC"/>
            <w:jc w:val="both"/>
          </w:pPr>
          <w:r>
            <w:t>Contenido</w:t>
          </w:r>
        </w:p>
        <w:p w14:paraId="7AFB07F4" w14:textId="025A18FA" w:rsidR="00C50C28" w:rsidRDefault="00FF0BC9">
          <w:pPr>
            <w:pStyle w:val="TDC1"/>
            <w:tabs>
              <w:tab w:val="left" w:pos="480"/>
              <w:tab w:val="right" w:leader="dot" w:pos="8494"/>
            </w:tabs>
            <w:rPr>
              <w:rFonts w:eastAsiaTheme="minorEastAsia"/>
              <w:noProof/>
              <w:kern w:val="2"/>
              <w:sz w:val="24"/>
              <w:szCs w:val="24"/>
              <w:lang w:val="es-PE" w:eastAsia="es-MX"/>
              <w14:ligatures w14:val="standardContextual"/>
            </w:rPr>
          </w:pPr>
          <w:r>
            <w:fldChar w:fldCharType="begin"/>
          </w:r>
          <w:r>
            <w:instrText xml:space="preserve"> TOC \o "1-3" \h \z \u </w:instrText>
          </w:r>
          <w:r>
            <w:fldChar w:fldCharType="separate"/>
          </w:r>
          <w:hyperlink w:anchor="_Toc212646220" w:history="1">
            <w:r w:rsidR="00C50C28" w:rsidRPr="00820725">
              <w:rPr>
                <w:rStyle w:val="Hipervnculo"/>
                <w:noProof/>
              </w:rPr>
              <w:t>1.</w:t>
            </w:r>
            <w:r w:rsidR="00C50C28">
              <w:rPr>
                <w:rFonts w:eastAsiaTheme="minorEastAsia"/>
                <w:noProof/>
                <w:kern w:val="2"/>
                <w:sz w:val="24"/>
                <w:szCs w:val="24"/>
                <w:lang w:val="es-PE" w:eastAsia="es-MX"/>
                <w14:ligatures w14:val="standardContextual"/>
              </w:rPr>
              <w:tab/>
            </w:r>
            <w:r w:rsidR="00C50C28" w:rsidRPr="00820725">
              <w:rPr>
                <w:rStyle w:val="Hipervnculo"/>
                <w:noProof/>
              </w:rPr>
              <w:t>INTRODUCCIÓN</w:t>
            </w:r>
            <w:r w:rsidR="00C50C28">
              <w:rPr>
                <w:noProof/>
                <w:webHidden/>
              </w:rPr>
              <w:tab/>
            </w:r>
            <w:r w:rsidR="00C50C28">
              <w:rPr>
                <w:noProof/>
                <w:webHidden/>
              </w:rPr>
              <w:fldChar w:fldCharType="begin"/>
            </w:r>
            <w:r w:rsidR="00C50C28">
              <w:rPr>
                <w:noProof/>
                <w:webHidden/>
              </w:rPr>
              <w:instrText xml:space="preserve"> PAGEREF _Toc212646220 \h </w:instrText>
            </w:r>
            <w:r w:rsidR="00C50C28">
              <w:rPr>
                <w:noProof/>
                <w:webHidden/>
              </w:rPr>
            </w:r>
            <w:r w:rsidR="00C50C28">
              <w:rPr>
                <w:noProof/>
                <w:webHidden/>
              </w:rPr>
              <w:fldChar w:fldCharType="separate"/>
            </w:r>
            <w:r w:rsidR="00C50C28">
              <w:rPr>
                <w:noProof/>
                <w:webHidden/>
              </w:rPr>
              <w:t>3</w:t>
            </w:r>
            <w:r w:rsidR="00C50C28">
              <w:rPr>
                <w:noProof/>
                <w:webHidden/>
              </w:rPr>
              <w:fldChar w:fldCharType="end"/>
            </w:r>
          </w:hyperlink>
        </w:p>
        <w:p w14:paraId="0B6D15ED" w14:textId="2FF30287" w:rsidR="00C50C28" w:rsidRDefault="00C50C28">
          <w:pPr>
            <w:pStyle w:val="TDC1"/>
            <w:tabs>
              <w:tab w:val="left" w:pos="480"/>
              <w:tab w:val="right" w:leader="dot" w:pos="8494"/>
            </w:tabs>
            <w:rPr>
              <w:rFonts w:eastAsiaTheme="minorEastAsia"/>
              <w:noProof/>
              <w:kern w:val="2"/>
              <w:sz w:val="24"/>
              <w:szCs w:val="24"/>
              <w:lang w:val="es-PE" w:eastAsia="es-MX"/>
              <w14:ligatures w14:val="standardContextual"/>
            </w:rPr>
          </w:pPr>
          <w:hyperlink w:anchor="_Toc212646221" w:history="1">
            <w:r w:rsidRPr="00820725">
              <w:rPr>
                <w:rStyle w:val="Hipervnculo"/>
                <w:noProof/>
              </w:rPr>
              <w:t>2.</w:t>
            </w:r>
            <w:r>
              <w:rPr>
                <w:rFonts w:eastAsiaTheme="minorEastAsia"/>
                <w:noProof/>
                <w:kern w:val="2"/>
                <w:sz w:val="24"/>
                <w:szCs w:val="24"/>
                <w:lang w:val="es-PE" w:eastAsia="es-MX"/>
                <w14:ligatures w14:val="standardContextual"/>
              </w:rPr>
              <w:tab/>
            </w:r>
            <w:r w:rsidRPr="00820725">
              <w:rPr>
                <w:rStyle w:val="Hipervnculo"/>
                <w:noProof/>
              </w:rPr>
              <w:t>MAPA DE ESTADO DE LOS ESCENARIOS DE ESCASEZ Y EVOLUCIÓN DE LOS INDICADORES POR UTE</w:t>
            </w:r>
            <w:r>
              <w:rPr>
                <w:noProof/>
                <w:webHidden/>
              </w:rPr>
              <w:tab/>
            </w:r>
            <w:r>
              <w:rPr>
                <w:noProof/>
                <w:webHidden/>
              </w:rPr>
              <w:fldChar w:fldCharType="begin"/>
            </w:r>
            <w:r>
              <w:rPr>
                <w:noProof/>
                <w:webHidden/>
              </w:rPr>
              <w:instrText xml:space="preserve"> PAGEREF _Toc212646221 \h </w:instrText>
            </w:r>
            <w:r>
              <w:rPr>
                <w:noProof/>
                <w:webHidden/>
              </w:rPr>
            </w:r>
            <w:r>
              <w:rPr>
                <w:noProof/>
                <w:webHidden/>
              </w:rPr>
              <w:fldChar w:fldCharType="separate"/>
            </w:r>
            <w:r>
              <w:rPr>
                <w:noProof/>
                <w:webHidden/>
              </w:rPr>
              <w:t>4</w:t>
            </w:r>
            <w:r>
              <w:rPr>
                <w:noProof/>
                <w:webHidden/>
              </w:rPr>
              <w:fldChar w:fldCharType="end"/>
            </w:r>
          </w:hyperlink>
        </w:p>
        <w:p w14:paraId="28E3EB4D" w14:textId="72EEE95B" w:rsidR="00FF0BC9" w:rsidRDefault="00FF0BC9" w:rsidP="000B3CB0">
          <w:pPr>
            <w:jc w:val="both"/>
          </w:pPr>
          <w:r>
            <w:rPr>
              <w:b/>
              <w:bCs/>
            </w:rPr>
            <w:fldChar w:fldCharType="end"/>
          </w:r>
        </w:p>
      </w:sdtContent>
    </w:sdt>
    <w:p w14:paraId="4AC69F25" w14:textId="77777777" w:rsidR="00FF0BC9" w:rsidRDefault="00FF0BC9" w:rsidP="000B3CB0">
      <w:pPr>
        <w:jc w:val="both"/>
        <w:rPr>
          <w:highlight w:val="yellow"/>
        </w:rPr>
      </w:pPr>
    </w:p>
    <w:p w14:paraId="40D434CB" w14:textId="77777777" w:rsidR="00314D56" w:rsidRDefault="00314D56" w:rsidP="000B3CB0">
      <w:pPr>
        <w:jc w:val="both"/>
        <w:rPr>
          <w:highlight w:val="yellow"/>
        </w:rPr>
      </w:pPr>
      <w:r>
        <w:rPr>
          <w:highlight w:val="yellow"/>
        </w:rPr>
        <w:br w:type="page"/>
      </w:r>
    </w:p>
    <w:p w14:paraId="27FA2E3C" w14:textId="689B05A5" w:rsidR="007D7EDE" w:rsidRDefault="002E3514" w:rsidP="000B3CB0">
      <w:pPr>
        <w:pStyle w:val="Ttulo1"/>
        <w:numPr>
          <w:ilvl w:val="0"/>
          <w:numId w:val="2"/>
        </w:numPr>
        <w:jc w:val="both"/>
      </w:pPr>
      <w:bookmarkStart w:id="0" w:name="_Toc127352746"/>
      <w:bookmarkStart w:id="1" w:name="_Toc127369450"/>
      <w:bookmarkStart w:id="2" w:name="_Toc127866084"/>
      <w:bookmarkStart w:id="3" w:name="_Toc127871470"/>
      <w:bookmarkStart w:id="4" w:name="_Toc212646220"/>
      <w:bookmarkEnd w:id="0"/>
      <w:bookmarkEnd w:id="1"/>
      <w:bookmarkEnd w:id="2"/>
      <w:bookmarkEnd w:id="3"/>
      <w:r>
        <w:lastRenderedPageBreak/>
        <w:t>INTRODUCCIÓN</w:t>
      </w:r>
      <w:bookmarkEnd w:id="4"/>
    </w:p>
    <w:p w14:paraId="43CC6925" w14:textId="3688FBAC" w:rsidR="00B614BD" w:rsidRDefault="00B614BD" w:rsidP="00B614BD">
      <w:pPr>
        <w:spacing w:before="120" w:after="120" w:line="276" w:lineRule="auto"/>
        <w:jc w:val="both"/>
      </w:pPr>
      <w:r>
        <w:t xml:space="preserve">El presente informe se elabora de acuerdo con lo establecido en el apartado 8.2 de la memoria del Plan Especial de Actuación en situaciones de alerta y eventual sequía vigente (en adelante PES) aprobado por la Orden TEC/1399/2018, de 28 de noviembre y se centra en la </w:t>
      </w:r>
      <w:r w:rsidRPr="004B2B9F">
        <w:rPr>
          <w:b/>
        </w:rPr>
        <w:t xml:space="preserve">evolución de los indicadores de </w:t>
      </w:r>
      <w:r>
        <w:rPr>
          <w:b/>
        </w:rPr>
        <w:t>escasez</w:t>
      </w:r>
      <w:r w:rsidRPr="004B2B9F">
        <w:rPr>
          <w:b/>
        </w:rPr>
        <w:t xml:space="preserve"> en el ámbito de la Demarcación Hidrográfica del Cantábrico Occidental</w:t>
      </w:r>
      <w:r>
        <w:t xml:space="preserve">, </w:t>
      </w:r>
      <w:r w:rsidRPr="004B2B9F">
        <w:rPr>
          <w:b/>
        </w:rPr>
        <w:t xml:space="preserve">dividida en </w:t>
      </w:r>
      <w:r>
        <w:rPr>
          <w:b/>
        </w:rPr>
        <w:t>4</w:t>
      </w:r>
      <w:r w:rsidRPr="004B2B9F">
        <w:rPr>
          <w:b/>
        </w:rPr>
        <w:t xml:space="preserve"> unidades territoriales </w:t>
      </w:r>
      <w:r>
        <w:rPr>
          <w:b/>
        </w:rPr>
        <w:t>de escasez</w:t>
      </w:r>
      <w:r w:rsidR="008D3946">
        <w:rPr>
          <w:b/>
        </w:rPr>
        <w:t xml:space="preserve"> </w:t>
      </w:r>
      <w:r>
        <w:rPr>
          <w:b/>
        </w:rPr>
        <w:t>(UTE</w:t>
      </w:r>
      <w:r w:rsidRPr="004B2B9F">
        <w:rPr>
          <w:b/>
        </w:rPr>
        <w:t>).</w:t>
      </w:r>
      <w:r>
        <w:rPr>
          <w:b/>
        </w:rPr>
        <w:t xml:space="preserve"> </w:t>
      </w:r>
      <w:r w:rsidRPr="000342BC">
        <w:t>Estas UTE está</w:t>
      </w:r>
      <w:r>
        <w:t>n</w:t>
      </w:r>
      <w:r w:rsidRPr="000342BC">
        <w:t xml:space="preserve"> relacionada</w:t>
      </w:r>
      <w:r>
        <w:t>s</w:t>
      </w:r>
      <w:r w:rsidRPr="000342BC">
        <w:t xml:space="preserve"> con los sistemas y subsistemas de explotación recogidos en el Plan Hidrológico de la Demarcación (</w:t>
      </w:r>
      <w:r>
        <w:t>segundo</w:t>
      </w:r>
      <w:r w:rsidRPr="000342BC">
        <w:t xml:space="preserve"> ciclo).</w:t>
      </w:r>
    </w:p>
    <w:p w14:paraId="13EA96DF" w14:textId="77777777" w:rsidR="00B614BD" w:rsidRPr="0077028E" w:rsidRDefault="00B614BD" w:rsidP="00B614BD">
      <w:pPr>
        <w:jc w:val="both"/>
      </w:pPr>
      <w:r>
        <w:t xml:space="preserve">La </w:t>
      </w:r>
      <w:r w:rsidRPr="000342BC">
        <w:rPr>
          <w:b/>
        </w:rPr>
        <w:t>escasez coyuntural</w:t>
      </w:r>
      <w:r>
        <w:t xml:space="preserve"> se define en el PES como la situación de escasez no continuada que, aun permitiendo el cumplimiento de los criterios de garantía en la atención de las demandas reconocidas en el correspondiente plan hidrológico, limita temporalmente el suministro de manera significativa. No debe confundirse con la escasez estructural, que sería aquella que impide la atención de las demandas </w:t>
      </w:r>
      <w:proofErr w:type="gramStart"/>
      <w:r>
        <w:t>de acuerdo a</w:t>
      </w:r>
      <w:proofErr w:type="gramEnd"/>
      <w:r>
        <w:t xml:space="preserve"> los criterios de garantía establecidos, y que debe ser analizada y resuelta en el ámbito de la planificación hidrológica, quedando por tanto fuera del objeto del PES y por consiguiente del presente informe de seguimiento.</w:t>
      </w:r>
    </w:p>
    <w:p w14:paraId="29AAA81A" w14:textId="77777777" w:rsidR="00B614BD" w:rsidRDefault="00B614BD" w:rsidP="00B614BD">
      <w:pPr>
        <w:jc w:val="both"/>
      </w:pPr>
      <w:r>
        <w:t xml:space="preserve">Los </w:t>
      </w:r>
      <w:r w:rsidRPr="00F277FC">
        <w:rPr>
          <w:b/>
        </w:rPr>
        <w:t>indicadores de escasez</w:t>
      </w:r>
      <w:r>
        <w:t xml:space="preserve"> deben reflejar la imposibilidad coyuntural de atender las demandas y a la vez, servir como instrumento de ayuda en la toma de decisiones relativas a la gestión de los recursos hídricos. Para ello, en cada unidad territorial se debe elegir uno o varios indicadores combinados, relacionados con la evolución de la disponibilidad de recursos, de forma que reflejen el riesgo de no satisfacer la demanda de la actividad humana habiendo descontado previamente los requerimientos ambientales.</w:t>
      </w:r>
      <w:r w:rsidRPr="00F277FC">
        <w:t xml:space="preserve"> </w:t>
      </w:r>
      <w:r>
        <w:t xml:space="preserve">Las </w:t>
      </w:r>
      <w:r w:rsidRPr="00EC1BC1">
        <w:rPr>
          <w:b/>
        </w:rPr>
        <w:t xml:space="preserve">variables </w:t>
      </w:r>
      <w:r w:rsidRPr="00EC1BC1">
        <w:t>consideradas</w:t>
      </w:r>
      <w:r>
        <w:t xml:space="preserve"> en el sistema de indicadores de escasez incluyen: datos de aportaciones en una selección estaciones de aforos relevantes, aportaciones de entrada a los embalses más relevantes y volúmenes embalsados. La combinación y ponderación de las variables de cada estación seleccionada configuran un único indicador de paso mensual por UTE.</w:t>
      </w:r>
    </w:p>
    <w:p w14:paraId="12FFC50A" w14:textId="77777777" w:rsidR="00B614BD" w:rsidRDefault="00B614BD" w:rsidP="00B614BD">
      <w:pPr>
        <w:jc w:val="both"/>
      </w:pPr>
      <w:bookmarkStart w:id="5" w:name="_Hlk208394976"/>
      <w:r>
        <w:t>En función de los resultados de los indicadores de escasez de cada UTE se definen 4 escenarios:</w:t>
      </w:r>
    </w:p>
    <w:bookmarkEnd w:id="5"/>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1452"/>
        <w:gridCol w:w="1362"/>
        <w:gridCol w:w="1446"/>
        <w:gridCol w:w="1497"/>
      </w:tblGrid>
      <w:tr w:rsidR="00B614BD" w:rsidRPr="00182C16" w14:paraId="628BC536" w14:textId="77777777" w:rsidTr="005E4DF7">
        <w:trPr>
          <w:jc w:val="center"/>
        </w:trPr>
        <w:tc>
          <w:tcPr>
            <w:tcW w:w="2261" w:type="dxa"/>
          </w:tcPr>
          <w:p w14:paraId="7936D111" w14:textId="77777777" w:rsidR="00B614BD" w:rsidRPr="00182C16" w:rsidRDefault="00B614BD" w:rsidP="00A23709">
            <w:pPr>
              <w:jc w:val="center"/>
            </w:pPr>
          </w:p>
        </w:tc>
        <w:tc>
          <w:tcPr>
            <w:tcW w:w="1452" w:type="dxa"/>
            <w:tcBorders>
              <w:top w:val="outset" w:sz="6" w:space="0" w:color="auto"/>
              <w:left w:val="outset" w:sz="6" w:space="0" w:color="auto"/>
            </w:tcBorders>
            <w:shd w:val="clear" w:color="auto" w:fill="00B050"/>
          </w:tcPr>
          <w:p w14:paraId="46FF8178" w14:textId="77777777" w:rsidR="00B614BD" w:rsidRPr="00220F32" w:rsidRDefault="00B614BD" w:rsidP="00A23709">
            <w:pPr>
              <w:jc w:val="center"/>
              <w:rPr>
                <w:b/>
              </w:rPr>
            </w:pPr>
            <w:r w:rsidRPr="00220F32">
              <w:rPr>
                <w:b/>
              </w:rPr>
              <w:t>Normalidad</w:t>
            </w:r>
          </w:p>
          <w:p w14:paraId="5316C204" w14:textId="77777777" w:rsidR="00B614BD" w:rsidRPr="00182C16" w:rsidRDefault="00B614BD" w:rsidP="00A23709">
            <w:pPr>
              <w:jc w:val="center"/>
              <w:rPr>
                <w:sz w:val="20"/>
              </w:rPr>
            </w:pPr>
            <w:r w:rsidRPr="00182C16">
              <w:rPr>
                <w:sz w:val="20"/>
              </w:rPr>
              <w:t>(ausencia de escasez)</w:t>
            </w:r>
          </w:p>
        </w:tc>
        <w:tc>
          <w:tcPr>
            <w:tcW w:w="1362" w:type="dxa"/>
            <w:tcBorders>
              <w:top w:val="outset" w:sz="6" w:space="0" w:color="auto"/>
            </w:tcBorders>
            <w:shd w:val="clear" w:color="auto" w:fill="FFFF00"/>
          </w:tcPr>
          <w:p w14:paraId="2B1E0319" w14:textId="77777777" w:rsidR="00B614BD" w:rsidRPr="00220F32" w:rsidRDefault="00B614BD" w:rsidP="00A23709">
            <w:pPr>
              <w:jc w:val="center"/>
              <w:rPr>
                <w:b/>
              </w:rPr>
            </w:pPr>
            <w:r w:rsidRPr="00220F32">
              <w:rPr>
                <w:b/>
              </w:rPr>
              <w:t>Prealerta</w:t>
            </w:r>
          </w:p>
          <w:p w14:paraId="3969A249" w14:textId="77777777" w:rsidR="00B614BD" w:rsidRPr="00182C16" w:rsidRDefault="00B614BD" w:rsidP="00A23709">
            <w:pPr>
              <w:jc w:val="center"/>
              <w:rPr>
                <w:sz w:val="20"/>
              </w:rPr>
            </w:pPr>
            <w:r w:rsidRPr="00182C16">
              <w:rPr>
                <w:sz w:val="20"/>
              </w:rPr>
              <w:t>(escasez moderada)</w:t>
            </w:r>
          </w:p>
        </w:tc>
        <w:tc>
          <w:tcPr>
            <w:tcW w:w="1446" w:type="dxa"/>
            <w:tcBorders>
              <w:top w:val="outset" w:sz="6" w:space="0" w:color="auto"/>
            </w:tcBorders>
            <w:shd w:val="clear" w:color="auto" w:fill="F79646"/>
          </w:tcPr>
          <w:p w14:paraId="248399F2" w14:textId="77777777" w:rsidR="00B614BD" w:rsidRPr="00220F32" w:rsidRDefault="00B614BD" w:rsidP="00A23709">
            <w:pPr>
              <w:jc w:val="center"/>
              <w:rPr>
                <w:b/>
              </w:rPr>
            </w:pPr>
            <w:r w:rsidRPr="00220F32">
              <w:rPr>
                <w:b/>
              </w:rPr>
              <w:t>Alerta</w:t>
            </w:r>
          </w:p>
          <w:p w14:paraId="67B5A111" w14:textId="77777777" w:rsidR="00B614BD" w:rsidRPr="00182C16" w:rsidRDefault="00B614BD" w:rsidP="00A23709">
            <w:pPr>
              <w:jc w:val="center"/>
              <w:rPr>
                <w:sz w:val="20"/>
              </w:rPr>
            </w:pPr>
            <w:r w:rsidRPr="00182C16">
              <w:rPr>
                <w:sz w:val="20"/>
              </w:rPr>
              <w:t>(escasez severa)</w:t>
            </w:r>
          </w:p>
        </w:tc>
        <w:tc>
          <w:tcPr>
            <w:tcW w:w="1497" w:type="dxa"/>
            <w:tcBorders>
              <w:top w:val="outset" w:sz="6" w:space="0" w:color="auto"/>
              <w:right w:val="inset" w:sz="6" w:space="0" w:color="auto"/>
            </w:tcBorders>
            <w:shd w:val="clear" w:color="auto" w:fill="FF0000"/>
          </w:tcPr>
          <w:p w14:paraId="3DF1064E" w14:textId="77777777" w:rsidR="00B614BD" w:rsidRPr="00182C16" w:rsidRDefault="00B614BD" w:rsidP="00A23709">
            <w:pPr>
              <w:jc w:val="center"/>
            </w:pPr>
            <w:r w:rsidRPr="00220F32">
              <w:rPr>
                <w:b/>
              </w:rPr>
              <w:t>Emergencia</w:t>
            </w:r>
            <w:r w:rsidRPr="00220F32">
              <w:rPr>
                <w:b/>
                <w:sz w:val="20"/>
              </w:rPr>
              <w:t xml:space="preserve"> </w:t>
            </w:r>
            <w:r w:rsidRPr="00182C16">
              <w:rPr>
                <w:sz w:val="20"/>
              </w:rPr>
              <w:t>(escasez grave)</w:t>
            </w:r>
          </w:p>
        </w:tc>
      </w:tr>
      <w:tr w:rsidR="00B614BD" w:rsidRPr="00182C16" w14:paraId="04982F85" w14:textId="77777777" w:rsidTr="004F2336">
        <w:trPr>
          <w:jc w:val="center"/>
        </w:trPr>
        <w:tc>
          <w:tcPr>
            <w:tcW w:w="2261" w:type="dxa"/>
            <w:shd w:val="clear" w:color="auto" w:fill="F2F2F2" w:themeFill="background1" w:themeFillShade="F2"/>
          </w:tcPr>
          <w:p w14:paraId="27199185" w14:textId="77777777" w:rsidR="00B614BD" w:rsidRDefault="00B614BD" w:rsidP="00A23709">
            <w:pPr>
              <w:rPr>
                <w:sz w:val="20"/>
              </w:rPr>
            </w:pPr>
            <w:r>
              <w:rPr>
                <w:sz w:val="20"/>
              </w:rPr>
              <w:t>Valor del Índice de estado de la UTE</w:t>
            </w:r>
          </w:p>
        </w:tc>
        <w:tc>
          <w:tcPr>
            <w:tcW w:w="1452" w:type="dxa"/>
            <w:tcBorders>
              <w:left w:val="outset" w:sz="6" w:space="0" w:color="auto"/>
              <w:bottom w:val="inset" w:sz="6" w:space="0" w:color="auto"/>
            </w:tcBorders>
            <w:vAlign w:val="center"/>
          </w:tcPr>
          <w:p w14:paraId="1AF05A2F" w14:textId="77777777" w:rsidR="00B614BD" w:rsidRPr="00182C16" w:rsidRDefault="00B614BD" w:rsidP="00A23709">
            <w:pPr>
              <w:jc w:val="center"/>
              <w:rPr>
                <w:sz w:val="20"/>
              </w:rPr>
            </w:pPr>
            <w:r>
              <w:rPr>
                <w:sz w:val="20"/>
              </w:rPr>
              <w:t xml:space="preserve">1≤ </w:t>
            </w:r>
            <w:proofErr w:type="spellStart"/>
            <w:r>
              <w:rPr>
                <w:sz w:val="20"/>
              </w:rPr>
              <w:t>Ie</w:t>
            </w:r>
            <w:proofErr w:type="spellEnd"/>
            <w:r>
              <w:rPr>
                <w:sz w:val="20"/>
              </w:rPr>
              <w:t xml:space="preserve"> &lt;0,5</w:t>
            </w:r>
          </w:p>
        </w:tc>
        <w:tc>
          <w:tcPr>
            <w:tcW w:w="1362" w:type="dxa"/>
            <w:tcBorders>
              <w:bottom w:val="inset" w:sz="6" w:space="0" w:color="auto"/>
            </w:tcBorders>
            <w:vAlign w:val="center"/>
          </w:tcPr>
          <w:p w14:paraId="11C07FC3" w14:textId="77777777" w:rsidR="00B614BD" w:rsidRPr="00182C16" w:rsidRDefault="00B614BD" w:rsidP="00A23709">
            <w:pPr>
              <w:jc w:val="center"/>
              <w:rPr>
                <w:sz w:val="20"/>
              </w:rPr>
            </w:pPr>
            <w:r>
              <w:rPr>
                <w:sz w:val="20"/>
              </w:rPr>
              <w:t xml:space="preserve">0,5≤ </w:t>
            </w:r>
            <w:proofErr w:type="spellStart"/>
            <w:r>
              <w:rPr>
                <w:sz w:val="20"/>
              </w:rPr>
              <w:t>Ie</w:t>
            </w:r>
            <w:proofErr w:type="spellEnd"/>
            <w:r>
              <w:rPr>
                <w:sz w:val="20"/>
              </w:rPr>
              <w:t xml:space="preserve"> &lt;0,3</w:t>
            </w:r>
          </w:p>
        </w:tc>
        <w:tc>
          <w:tcPr>
            <w:tcW w:w="1446" w:type="dxa"/>
            <w:tcBorders>
              <w:bottom w:val="inset" w:sz="6" w:space="0" w:color="auto"/>
            </w:tcBorders>
            <w:vAlign w:val="center"/>
          </w:tcPr>
          <w:p w14:paraId="20F228A5" w14:textId="77777777" w:rsidR="00B614BD" w:rsidRPr="00182C16" w:rsidRDefault="00B614BD" w:rsidP="00A23709">
            <w:pPr>
              <w:jc w:val="center"/>
              <w:rPr>
                <w:sz w:val="20"/>
              </w:rPr>
            </w:pPr>
            <w:r>
              <w:rPr>
                <w:sz w:val="20"/>
              </w:rPr>
              <w:t xml:space="preserve">0,3≤ </w:t>
            </w:r>
            <w:proofErr w:type="spellStart"/>
            <w:r>
              <w:rPr>
                <w:sz w:val="20"/>
              </w:rPr>
              <w:t>Ie</w:t>
            </w:r>
            <w:proofErr w:type="spellEnd"/>
            <w:r>
              <w:rPr>
                <w:sz w:val="20"/>
              </w:rPr>
              <w:t xml:space="preserve"> &lt;0,15</w:t>
            </w:r>
          </w:p>
        </w:tc>
        <w:tc>
          <w:tcPr>
            <w:tcW w:w="1497" w:type="dxa"/>
            <w:tcBorders>
              <w:bottom w:val="inset" w:sz="6" w:space="0" w:color="auto"/>
              <w:right w:val="inset" w:sz="6" w:space="0" w:color="auto"/>
            </w:tcBorders>
            <w:vAlign w:val="center"/>
          </w:tcPr>
          <w:p w14:paraId="050DFC64" w14:textId="77777777" w:rsidR="00B614BD" w:rsidRPr="00182C16" w:rsidRDefault="00B614BD" w:rsidP="00A23709">
            <w:pPr>
              <w:jc w:val="center"/>
              <w:rPr>
                <w:sz w:val="20"/>
              </w:rPr>
            </w:pPr>
            <w:r>
              <w:rPr>
                <w:sz w:val="20"/>
              </w:rPr>
              <w:t xml:space="preserve">0,15≤ </w:t>
            </w:r>
            <w:proofErr w:type="spellStart"/>
            <w:r>
              <w:rPr>
                <w:sz w:val="20"/>
              </w:rPr>
              <w:t>Ie</w:t>
            </w:r>
            <w:proofErr w:type="spellEnd"/>
            <w:r>
              <w:rPr>
                <w:sz w:val="20"/>
              </w:rPr>
              <w:t xml:space="preserve"> &lt;0</w:t>
            </w:r>
          </w:p>
        </w:tc>
      </w:tr>
    </w:tbl>
    <w:p w14:paraId="655BDA01" w14:textId="77777777" w:rsidR="00B614BD" w:rsidRDefault="00B614BD" w:rsidP="00B614BD">
      <w:pPr>
        <w:jc w:val="both"/>
      </w:pPr>
    </w:p>
    <w:p w14:paraId="0FC74430" w14:textId="77777777" w:rsidR="00B614BD" w:rsidRDefault="00B614BD" w:rsidP="00B614BD">
      <w:r w:rsidRPr="00294547">
        <w:t xml:space="preserve">Las condiciones de entrada y salida de los escenarios </w:t>
      </w:r>
      <w:r>
        <w:t>se muestran a continuación</w:t>
      </w:r>
      <w:r w:rsidRPr="00294547">
        <w:t xml:space="preserve">: </w:t>
      </w:r>
    </w:p>
    <w:p w14:paraId="6A8FA786" w14:textId="77777777" w:rsidR="00B614BD" w:rsidRDefault="00B614BD" w:rsidP="00B614BD"/>
    <w:p w14:paraId="241AA177" w14:textId="77777777" w:rsidR="00B614BD" w:rsidRDefault="00B614BD" w:rsidP="00B614BD"/>
    <w:p w14:paraId="2CB10748" w14:textId="77777777" w:rsidR="00B614BD" w:rsidRDefault="00B614BD" w:rsidP="00B614BD"/>
    <w:p w14:paraId="1E711FB6" w14:textId="77777777" w:rsidR="00B614BD" w:rsidRDefault="00B614BD" w:rsidP="00B614BD"/>
    <w:p w14:paraId="74DA58B0"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0"/>
        <w:gridCol w:w="4929"/>
        <w:gridCol w:w="2089"/>
      </w:tblGrid>
      <w:tr w:rsidR="00B614BD" w14:paraId="03DB868E" w14:textId="77777777" w:rsidTr="00A23709">
        <w:tc>
          <w:tcPr>
            <w:tcW w:w="1350" w:type="dxa"/>
            <w:tcBorders>
              <w:top w:val="nil"/>
              <w:left w:val="nil"/>
              <w:bottom w:val="nil"/>
            </w:tcBorders>
            <w:vAlign w:val="center"/>
          </w:tcPr>
          <w:p w14:paraId="77895464" w14:textId="77777777" w:rsidR="00B614BD" w:rsidRDefault="00B614BD" w:rsidP="00A23709"/>
        </w:tc>
        <w:tc>
          <w:tcPr>
            <w:tcW w:w="7018" w:type="dxa"/>
            <w:gridSpan w:val="2"/>
            <w:vAlign w:val="center"/>
          </w:tcPr>
          <w:p w14:paraId="6A77754A" w14:textId="627F62C0" w:rsidR="00B614BD" w:rsidRPr="00A2209A" w:rsidRDefault="00B614BD" w:rsidP="00A23709">
            <w:pPr>
              <w:jc w:val="center"/>
              <w:rPr>
                <w:b/>
              </w:rPr>
            </w:pPr>
            <w:r w:rsidRPr="00A2209A">
              <w:rPr>
                <w:b/>
              </w:rPr>
              <w:t>CONDICIONES DE ENTRADA</w:t>
            </w:r>
            <w:r w:rsidR="004F2336">
              <w:rPr>
                <w:b/>
              </w:rPr>
              <w:t xml:space="preserve"> A LOS ESCENARIOS</w:t>
            </w:r>
          </w:p>
        </w:tc>
      </w:tr>
      <w:tr w:rsidR="00B614BD" w14:paraId="2F877651" w14:textId="77777777" w:rsidTr="00A23709">
        <w:tc>
          <w:tcPr>
            <w:tcW w:w="1350" w:type="dxa"/>
            <w:tcBorders>
              <w:top w:val="nil"/>
              <w:left w:val="nil"/>
            </w:tcBorders>
            <w:vAlign w:val="center"/>
          </w:tcPr>
          <w:p w14:paraId="17C5B3EE" w14:textId="77777777" w:rsidR="00B614BD" w:rsidRDefault="00B614BD" w:rsidP="00A23709"/>
        </w:tc>
        <w:tc>
          <w:tcPr>
            <w:tcW w:w="4929" w:type="dxa"/>
            <w:vAlign w:val="center"/>
          </w:tcPr>
          <w:p w14:paraId="169469BC" w14:textId="77777777" w:rsidR="00B614BD" w:rsidRPr="00A2209A" w:rsidRDefault="00B614BD" w:rsidP="00A23709">
            <w:pPr>
              <w:jc w:val="center"/>
              <w:rPr>
                <w:b/>
              </w:rPr>
            </w:pPr>
            <w:r w:rsidRPr="00A2209A">
              <w:rPr>
                <w:b/>
              </w:rPr>
              <w:t>Valor del índice y periodo a considerar</w:t>
            </w:r>
          </w:p>
        </w:tc>
        <w:tc>
          <w:tcPr>
            <w:tcW w:w="2049" w:type="dxa"/>
            <w:vAlign w:val="center"/>
          </w:tcPr>
          <w:p w14:paraId="56A91495" w14:textId="77777777" w:rsidR="00B614BD" w:rsidRPr="00A2209A" w:rsidRDefault="00B614BD" w:rsidP="00A23709">
            <w:pPr>
              <w:jc w:val="center"/>
              <w:rPr>
                <w:b/>
              </w:rPr>
            </w:pPr>
            <w:r w:rsidRPr="00A2209A">
              <w:rPr>
                <w:b/>
              </w:rPr>
              <w:t>Escenario de entrada</w:t>
            </w:r>
          </w:p>
        </w:tc>
      </w:tr>
      <w:tr w:rsidR="00B614BD" w14:paraId="6836CD70" w14:textId="77777777" w:rsidTr="005E4DF7">
        <w:tc>
          <w:tcPr>
            <w:tcW w:w="1350" w:type="dxa"/>
            <w:vMerge w:val="restart"/>
            <w:shd w:val="clear" w:color="auto" w:fill="00B050"/>
            <w:vAlign w:val="center"/>
          </w:tcPr>
          <w:p w14:paraId="7AD2C143" w14:textId="77777777" w:rsidR="00B614BD" w:rsidRDefault="00B614BD" w:rsidP="00B33D6B">
            <w:pPr>
              <w:jc w:val="center"/>
            </w:pPr>
            <w:r>
              <w:t>Normalidad</w:t>
            </w:r>
          </w:p>
        </w:tc>
        <w:tc>
          <w:tcPr>
            <w:tcW w:w="4929" w:type="dxa"/>
            <w:vAlign w:val="center"/>
          </w:tcPr>
          <w:p w14:paraId="024D1E41" w14:textId="77777777" w:rsidR="00B614BD" w:rsidRDefault="00B614BD" w:rsidP="00A23709">
            <w:r>
              <w:t>[0,5;0,3] durante 2 meses consecutivos o &lt;0,3 uno de ellos</w:t>
            </w:r>
          </w:p>
        </w:tc>
        <w:tc>
          <w:tcPr>
            <w:tcW w:w="2049" w:type="dxa"/>
            <w:shd w:val="clear" w:color="auto" w:fill="FFFF00"/>
            <w:vAlign w:val="center"/>
          </w:tcPr>
          <w:p w14:paraId="638E6147" w14:textId="77777777" w:rsidR="00B614BD" w:rsidRDefault="00B614BD" w:rsidP="00B33D6B">
            <w:pPr>
              <w:jc w:val="center"/>
            </w:pPr>
            <w:r>
              <w:t>Prealerta</w:t>
            </w:r>
          </w:p>
        </w:tc>
      </w:tr>
      <w:tr w:rsidR="00B614BD" w14:paraId="039132D4" w14:textId="77777777" w:rsidTr="00E452B0">
        <w:tc>
          <w:tcPr>
            <w:tcW w:w="1350" w:type="dxa"/>
            <w:vMerge/>
            <w:shd w:val="clear" w:color="auto" w:fill="00B050"/>
            <w:vAlign w:val="center"/>
          </w:tcPr>
          <w:p w14:paraId="19744111" w14:textId="77777777" w:rsidR="00B614BD" w:rsidRDefault="00B614BD" w:rsidP="00B33D6B">
            <w:pPr>
              <w:jc w:val="center"/>
            </w:pPr>
          </w:p>
        </w:tc>
        <w:tc>
          <w:tcPr>
            <w:tcW w:w="4929" w:type="dxa"/>
            <w:vAlign w:val="center"/>
          </w:tcPr>
          <w:p w14:paraId="1BF0FAED" w14:textId="77777777" w:rsidR="00B614BD" w:rsidRDefault="00B614BD" w:rsidP="00A23709">
            <w:r>
              <w:t>[0,5;0,3] durante 2 meses consecutivos o &lt;0,15 uno de ellos</w:t>
            </w:r>
          </w:p>
        </w:tc>
        <w:tc>
          <w:tcPr>
            <w:tcW w:w="2049" w:type="dxa"/>
            <w:shd w:val="clear" w:color="auto" w:fill="F79646"/>
            <w:vAlign w:val="center"/>
          </w:tcPr>
          <w:p w14:paraId="06D71019" w14:textId="77777777" w:rsidR="00B614BD" w:rsidRDefault="00B614BD" w:rsidP="00B33D6B">
            <w:pPr>
              <w:jc w:val="center"/>
            </w:pPr>
            <w:r>
              <w:t>Alerta</w:t>
            </w:r>
          </w:p>
        </w:tc>
      </w:tr>
      <w:tr w:rsidR="00B614BD" w14:paraId="0D2562D4" w14:textId="77777777" w:rsidTr="005E4DF7">
        <w:tc>
          <w:tcPr>
            <w:tcW w:w="1350" w:type="dxa"/>
            <w:vMerge/>
            <w:shd w:val="clear" w:color="auto" w:fill="00B050"/>
            <w:vAlign w:val="center"/>
          </w:tcPr>
          <w:p w14:paraId="745794C7" w14:textId="77777777" w:rsidR="00B614BD" w:rsidRDefault="00B614BD" w:rsidP="00B33D6B">
            <w:pPr>
              <w:jc w:val="center"/>
            </w:pPr>
          </w:p>
        </w:tc>
        <w:tc>
          <w:tcPr>
            <w:tcW w:w="4929" w:type="dxa"/>
            <w:vAlign w:val="center"/>
          </w:tcPr>
          <w:p w14:paraId="5EF3851C" w14:textId="77777777" w:rsidR="00B614BD" w:rsidRDefault="00B614BD" w:rsidP="00A23709">
            <w:r>
              <w:t>&lt;0,15 durante 2 meses consecutivos</w:t>
            </w:r>
          </w:p>
        </w:tc>
        <w:tc>
          <w:tcPr>
            <w:tcW w:w="2049" w:type="dxa"/>
            <w:shd w:val="clear" w:color="auto" w:fill="FF0000"/>
            <w:vAlign w:val="center"/>
          </w:tcPr>
          <w:p w14:paraId="3F4675E3" w14:textId="77777777" w:rsidR="00B614BD" w:rsidRDefault="00B614BD" w:rsidP="00B33D6B">
            <w:pPr>
              <w:jc w:val="center"/>
            </w:pPr>
            <w:r>
              <w:t>Emergencia</w:t>
            </w:r>
          </w:p>
        </w:tc>
      </w:tr>
      <w:tr w:rsidR="00B614BD" w14:paraId="7D7709B8" w14:textId="77777777" w:rsidTr="00E452B0">
        <w:tc>
          <w:tcPr>
            <w:tcW w:w="1350" w:type="dxa"/>
            <w:vMerge w:val="restart"/>
            <w:shd w:val="clear" w:color="auto" w:fill="FFFF00"/>
            <w:vAlign w:val="center"/>
          </w:tcPr>
          <w:p w14:paraId="6E4D1EED" w14:textId="77777777" w:rsidR="00B614BD" w:rsidRDefault="00B614BD" w:rsidP="00B33D6B">
            <w:pPr>
              <w:jc w:val="center"/>
            </w:pPr>
            <w:r>
              <w:t>Prealerta</w:t>
            </w:r>
          </w:p>
        </w:tc>
        <w:tc>
          <w:tcPr>
            <w:tcW w:w="4929" w:type="dxa"/>
            <w:vAlign w:val="center"/>
          </w:tcPr>
          <w:p w14:paraId="1FA867FB" w14:textId="77777777" w:rsidR="00B614BD" w:rsidRDefault="00B614BD" w:rsidP="00A23709">
            <w:r>
              <w:t>[0,3;0,15] durante 2 meses consecutivos o &lt;0,15 uno de ellos</w:t>
            </w:r>
          </w:p>
        </w:tc>
        <w:tc>
          <w:tcPr>
            <w:tcW w:w="2049" w:type="dxa"/>
            <w:shd w:val="clear" w:color="auto" w:fill="F79646"/>
            <w:vAlign w:val="center"/>
          </w:tcPr>
          <w:p w14:paraId="1AA9C1A8" w14:textId="77777777" w:rsidR="00B614BD" w:rsidRDefault="00B614BD" w:rsidP="00B33D6B">
            <w:pPr>
              <w:jc w:val="center"/>
            </w:pPr>
            <w:r>
              <w:t>Alerta</w:t>
            </w:r>
          </w:p>
        </w:tc>
      </w:tr>
      <w:tr w:rsidR="00B614BD" w14:paraId="36681EDE" w14:textId="77777777" w:rsidTr="005E4DF7">
        <w:tc>
          <w:tcPr>
            <w:tcW w:w="1350" w:type="dxa"/>
            <w:vMerge/>
            <w:shd w:val="clear" w:color="auto" w:fill="FFFF00"/>
            <w:vAlign w:val="center"/>
          </w:tcPr>
          <w:p w14:paraId="5ABCC0D1" w14:textId="77777777" w:rsidR="00B614BD" w:rsidRDefault="00B614BD" w:rsidP="00B33D6B">
            <w:pPr>
              <w:jc w:val="center"/>
            </w:pPr>
          </w:p>
        </w:tc>
        <w:tc>
          <w:tcPr>
            <w:tcW w:w="4929" w:type="dxa"/>
            <w:vAlign w:val="center"/>
          </w:tcPr>
          <w:p w14:paraId="163DFE33" w14:textId="77777777" w:rsidR="00B614BD" w:rsidRDefault="00B614BD" w:rsidP="00A23709">
            <w:r>
              <w:t>&lt;0,15 durante 2 meses consecutivos</w:t>
            </w:r>
          </w:p>
        </w:tc>
        <w:tc>
          <w:tcPr>
            <w:tcW w:w="2049" w:type="dxa"/>
            <w:shd w:val="clear" w:color="auto" w:fill="FF0000"/>
            <w:vAlign w:val="center"/>
          </w:tcPr>
          <w:p w14:paraId="634DB00F" w14:textId="77777777" w:rsidR="00B614BD" w:rsidRDefault="00B614BD" w:rsidP="00B33D6B">
            <w:pPr>
              <w:jc w:val="center"/>
            </w:pPr>
            <w:r>
              <w:t>Emergencia</w:t>
            </w:r>
          </w:p>
        </w:tc>
      </w:tr>
      <w:tr w:rsidR="00B614BD" w14:paraId="1A32F463" w14:textId="77777777" w:rsidTr="005E4DF7">
        <w:tc>
          <w:tcPr>
            <w:tcW w:w="1350" w:type="dxa"/>
            <w:shd w:val="clear" w:color="auto" w:fill="F79646"/>
            <w:vAlign w:val="center"/>
          </w:tcPr>
          <w:p w14:paraId="5375084F" w14:textId="77777777" w:rsidR="00B614BD" w:rsidRDefault="00B614BD" w:rsidP="00B33D6B">
            <w:pPr>
              <w:jc w:val="center"/>
            </w:pPr>
            <w:r>
              <w:t>Alerta</w:t>
            </w:r>
          </w:p>
        </w:tc>
        <w:tc>
          <w:tcPr>
            <w:tcW w:w="4929" w:type="dxa"/>
            <w:vAlign w:val="center"/>
          </w:tcPr>
          <w:p w14:paraId="4BCC9A7C" w14:textId="77777777" w:rsidR="00B614BD" w:rsidRDefault="00B614BD" w:rsidP="00A23709">
            <w:r>
              <w:t>&lt;0,15 durante 2 meses consecutivos</w:t>
            </w:r>
          </w:p>
        </w:tc>
        <w:tc>
          <w:tcPr>
            <w:tcW w:w="2049" w:type="dxa"/>
            <w:shd w:val="clear" w:color="auto" w:fill="FF0000"/>
            <w:vAlign w:val="center"/>
          </w:tcPr>
          <w:p w14:paraId="034F7472" w14:textId="77777777" w:rsidR="00B614BD" w:rsidRDefault="00B614BD" w:rsidP="00B33D6B">
            <w:pPr>
              <w:jc w:val="center"/>
            </w:pPr>
            <w:r>
              <w:t>Emergencia</w:t>
            </w:r>
          </w:p>
        </w:tc>
      </w:tr>
      <w:tr w:rsidR="00B614BD" w14:paraId="44FC8E2C" w14:textId="77777777" w:rsidTr="005E4DF7">
        <w:tc>
          <w:tcPr>
            <w:tcW w:w="1350" w:type="dxa"/>
            <w:shd w:val="clear" w:color="auto" w:fill="FF0000"/>
            <w:vAlign w:val="center"/>
          </w:tcPr>
          <w:p w14:paraId="2FD62B92" w14:textId="77777777" w:rsidR="00B614BD" w:rsidRDefault="00B614BD" w:rsidP="00B33D6B">
            <w:pPr>
              <w:jc w:val="center"/>
            </w:pPr>
            <w:r>
              <w:t>Emergencia</w:t>
            </w:r>
          </w:p>
        </w:tc>
        <w:tc>
          <w:tcPr>
            <w:tcW w:w="4929" w:type="dxa"/>
            <w:vAlign w:val="center"/>
          </w:tcPr>
          <w:p w14:paraId="465253F5" w14:textId="77777777" w:rsidR="00B614BD" w:rsidRDefault="00B614BD" w:rsidP="00B33D6B">
            <w:pPr>
              <w:jc w:val="center"/>
            </w:pPr>
            <w:r>
              <w:t>---</w:t>
            </w:r>
          </w:p>
        </w:tc>
        <w:tc>
          <w:tcPr>
            <w:tcW w:w="2049" w:type="dxa"/>
            <w:shd w:val="clear" w:color="auto" w:fill="FF0000"/>
            <w:vAlign w:val="center"/>
          </w:tcPr>
          <w:p w14:paraId="5F6BC8A0" w14:textId="77777777" w:rsidR="00B614BD" w:rsidRDefault="00B614BD" w:rsidP="00B33D6B">
            <w:pPr>
              <w:jc w:val="center"/>
            </w:pPr>
            <w:r>
              <w:t>---</w:t>
            </w:r>
          </w:p>
        </w:tc>
      </w:tr>
    </w:tbl>
    <w:p w14:paraId="27E704FA"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8"/>
        <w:gridCol w:w="2086"/>
        <w:gridCol w:w="2781"/>
        <w:gridCol w:w="2143"/>
      </w:tblGrid>
      <w:tr w:rsidR="00B614BD" w14:paraId="75625303" w14:textId="77777777" w:rsidTr="00A23709">
        <w:tc>
          <w:tcPr>
            <w:tcW w:w="1358" w:type="dxa"/>
            <w:tcBorders>
              <w:top w:val="nil"/>
              <w:left w:val="nil"/>
              <w:bottom w:val="nil"/>
            </w:tcBorders>
            <w:vAlign w:val="center"/>
          </w:tcPr>
          <w:p w14:paraId="64B6C03D" w14:textId="77777777" w:rsidR="00B614BD" w:rsidRDefault="00B614BD" w:rsidP="00A23709"/>
        </w:tc>
        <w:tc>
          <w:tcPr>
            <w:tcW w:w="7010" w:type="dxa"/>
            <w:gridSpan w:val="3"/>
            <w:vAlign w:val="center"/>
          </w:tcPr>
          <w:p w14:paraId="51F9C0B2" w14:textId="74DB364B" w:rsidR="00B614BD" w:rsidRPr="00A2209A" w:rsidRDefault="00B614BD" w:rsidP="00A23709">
            <w:pPr>
              <w:jc w:val="center"/>
              <w:rPr>
                <w:b/>
              </w:rPr>
            </w:pPr>
            <w:r w:rsidRPr="00A2209A">
              <w:rPr>
                <w:b/>
              </w:rPr>
              <w:t>CONDICIONES DE SALIDA</w:t>
            </w:r>
            <w:r w:rsidR="004F2336">
              <w:rPr>
                <w:b/>
              </w:rPr>
              <w:t xml:space="preserve"> DE LOS ESCENARIOS</w:t>
            </w:r>
          </w:p>
        </w:tc>
      </w:tr>
      <w:tr w:rsidR="00B614BD" w14:paraId="1FCDEC03" w14:textId="77777777" w:rsidTr="00A23709">
        <w:tc>
          <w:tcPr>
            <w:tcW w:w="1358" w:type="dxa"/>
            <w:tcBorders>
              <w:top w:val="nil"/>
              <w:left w:val="nil"/>
            </w:tcBorders>
            <w:vAlign w:val="center"/>
          </w:tcPr>
          <w:p w14:paraId="58179EF0" w14:textId="77777777" w:rsidR="00B614BD" w:rsidRDefault="00B614BD" w:rsidP="00A23709"/>
        </w:tc>
        <w:tc>
          <w:tcPr>
            <w:tcW w:w="2086" w:type="dxa"/>
            <w:vAlign w:val="center"/>
          </w:tcPr>
          <w:p w14:paraId="1D3938FA" w14:textId="77777777" w:rsidR="00B614BD" w:rsidRPr="00A2209A" w:rsidRDefault="00B614BD" w:rsidP="00A23709">
            <w:pPr>
              <w:jc w:val="center"/>
              <w:rPr>
                <w:b/>
              </w:rPr>
            </w:pPr>
            <w:r w:rsidRPr="00A2209A">
              <w:rPr>
                <w:b/>
              </w:rPr>
              <w:t>Durante</w:t>
            </w:r>
          </w:p>
        </w:tc>
        <w:tc>
          <w:tcPr>
            <w:tcW w:w="2781" w:type="dxa"/>
            <w:vAlign w:val="center"/>
          </w:tcPr>
          <w:p w14:paraId="374B95DA" w14:textId="77777777" w:rsidR="00B614BD" w:rsidRPr="00A2209A" w:rsidRDefault="00B614BD" w:rsidP="00A23709">
            <w:pPr>
              <w:jc w:val="center"/>
              <w:rPr>
                <w:b/>
              </w:rPr>
            </w:pPr>
            <w:r w:rsidRPr="00A2209A">
              <w:rPr>
                <w:b/>
              </w:rPr>
              <w:t>Condición Índice de Estado</w:t>
            </w:r>
          </w:p>
        </w:tc>
        <w:tc>
          <w:tcPr>
            <w:tcW w:w="2063" w:type="dxa"/>
            <w:vAlign w:val="center"/>
          </w:tcPr>
          <w:p w14:paraId="69C0AD86" w14:textId="77777777" w:rsidR="00B614BD" w:rsidRPr="00A2209A" w:rsidRDefault="00B614BD" w:rsidP="00A23709">
            <w:pPr>
              <w:jc w:val="center"/>
              <w:rPr>
                <w:b/>
              </w:rPr>
            </w:pPr>
            <w:r w:rsidRPr="00A2209A">
              <w:rPr>
                <w:b/>
              </w:rPr>
              <w:t>Escenario de salida</w:t>
            </w:r>
          </w:p>
        </w:tc>
      </w:tr>
      <w:tr w:rsidR="00B614BD" w14:paraId="09557E72" w14:textId="77777777" w:rsidTr="005E4DF7">
        <w:tc>
          <w:tcPr>
            <w:tcW w:w="1358" w:type="dxa"/>
            <w:shd w:val="clear" w:color="auto" w:fill="00B050"/>
            <w:vAlign w:val="center"/>
          </w:tcPr>
          <w:p w14:paraId="39E3EC02" w14:textId="77777777" w:rsidR="00B614BD" w:rsidRDefault="00B614BD" w:rsidP="00B33D6B">
            <w:pPr>
              <w:jc w:val="center"/>
            </w:pPr>
            <w:r>
              <w:t>Normalidad</w:t>
            </w:r>
          </w:p>
        </w:tc>
        <w:tc>
          <w:tcPr>
            <w:tcW w:w="2086" w:type="dxa"/>
            <w:vAlign w:val="center"/>
          </w:tcPr>
          <w:p w14:paraId="77E1D60D" w14:textId="77777777" w:rsidR="00B614BD" w:rsidRDefault="00B614BD" w:rsidP="00A23709">
            <w:pPr>
              <w:jc w:val="center"/>
            </w:pPr>
            <w:r>
              <w:t>--</w:t>
            </w:r>
          </w:p>
        </w:tc>
        <w:tc>
          <w:tcPr>
            <w:tcW w:w="2781" w:type="dxa"/>
            <w:vAlign w:val="center"/>
          </w:tcPr>
          <w:p w14:paraId="2DDD9BF2" w14:textId="1B451F2D" w:rsidR="00B614BD" w:rsidRDefault="00B614BD" w:rsidP="00A23709">
            <w:pPr>
              <w:jc w:val="center"/>
            </w:pPr>
            <w:r>
              <w:t>--</w:t>
            </w:r>
          </w:p>
        </w:tc>
        <w:tc>
          <w:tcPr>
            <w:tcW w:w="2063" w:type="dxa"/>
            <w:shd w:val="clear" w:color="auto" w:fill="00B050"/>
            <w:vAlign w:val="center"/>
          </w:tcPr>
          <w:p w14:paraId="29B46A0F" w14:textId="580D8F73" w:rsidR="00B614BD" w:rsidRDefault="00085C5F" w:rsidP="00A23709">
            <w:pPr>
              <w:jc w:val="center"/>
            </w:pPr>
            <w:r>
              <w:t>--</w:t>
            </w:r>
          </w:p>
        </w:tc>
      </w:tr>
      <w:tr w:rsidR="00B614BD" w14:paraId="54287188" w14:textId="77777777" w:rsidTr="005E4DF7">
        <w:tc>
          <w:tcPr>
            <w:tcW w:w="1358" w:type="dxa"/>
            <w:shd w:val="clear" w:color="auto" w:fill="FFFF00"/>
            <w:vAlign w:val="center"/>
          </w:tcPr>
          <w:p w14:paraId="2FE08959" w14:textId="77777777" w:rsidR="00B614BD" w:rsidRDefault="00B614BD" w:rsidP="00B33D6B">
            <w:pPr>
              <w:jc w:val="center"/>
            </w:pPr>
            <w:r>
              <w:t>Prealerta</w:t>
            </w:r>
          </w:p>
        </w:tc>
        <w:tc>
          <w:tcPr>
            <w:tcW w:w="2086" w:type="dxa"/>
            <w:vAlign w:val="center"/>
          </w:tcPr>
          <w:p w14:paraId="5401DC12" w14:textId="77777777" w:rsidR="00B614BD" w:rsidRDefault="00B614BD" w:rsidP="00A23709">
            <w:pPr>
              <w:jc w:val="center"/>
            </w:pPr>
            <w:r>
              <w:t>1 mes</w:t>
            </w:r>
          </w:p>
        </w:tc>
        <w:tc>
          <w:tcPr>
            <w:tcW w:w="2781" w:type="dxa"/>
            <w:vAlign w:val="center"/>
          </w:tcPr>
          <w:p w14:paraId="666475FA" w14:textId="77777777" w:rsidR="00B614BD" w:rsidRDefault="00B614BD" w:rsidP="00A23709">
            <w:pPr>
              <w:jc w:val="center"/>
            </w:pPr>
            <w:r>
              <w:t>≥ 0,5</w:t>
            </w:r>
          </w:p>
        </w:tc>
        <w:tc>
          <w:tcPr>
            <w:tcW w:w="2063" w:type="dxa"/>
            <w:shd w:val="clear" w:color="auto" w:fill="00B050"/>
            <w:vAlign w:val="center"/>
          </w:tcPr>
          <w:p w14:paraId="370EF70D" w14:textId="77777777" w:rsidR="00B614BD" w:rsidRDefault="00B614BD" w:rsidP="00A23709">
            <w:pPr>
              <w:jc w:val="center"/>
            </w:pPr>
            <w:r>
              <w:t>Normalidad</w:t>
            </w:r>
          </w:p>
        </w:tc>
      </w:tr>
      <w:tr w:rsidR="00B614BD" w14:paraId="18DE5ED4" w14:textId="77777777" w:rsidTr="00E452B0">
        <w:tc>
          <w:tcPr>
            <w:tcW w:w="1358" w:type="dxa"/>
            <w:vMerge w:val="restart"/>
            <w:shd w:val="clear" w:color="auto" w:fill="F79646"/>
            <w:vAlign w:val="center"/>
          </w:tcPr>
          <w:p w14:paraId="2E985702" w14:textId="77777777" w:rsidR="00B614BD" w:rsidRDefault="00B614BD" w:rsidP="00B33D6B">
            <w:pPr>
              <w:jc w:val="center"/>
            </w:pPr>
            <w:r>
              <w:t>Alerta</w:t>
            </w:r>
          </w:p>
        </w:tc>
        <w:tc>
          <w:tcPr>
            <w:tcW w:w="2086" w:type="dxa"/>
            <w:vAlign w:val="center"/>
          </w:tcPr>
          <w:p w14:paraId="254EB115" w14:textId="77777777" w:rsidR="00B614BD" w:rsidRDefault="00B614BD" w:rsidP="00A23709">
            <w:pPr>
              <w:jc w:val="center"/>
            </w:pPr>
            <w:r>
              <w:t>1 mes</w:t>
            </w:r>
          </w:p>
        </w:tc>
        <w:tc>
          <w:tcPr>
            <w:tcW w:w="2781" w:type="dxa"/>
            <w:vAlign w:val="center"/>
          </w:tcPr>
          <w:p w14:paraId="56EC45CC" w14:textId="77777777" w:rsidR="00B614BD" w:rsidRDefault="00B614BD" w:rsidP="00A23709">
            <w:pPr>
              <w:jc w:val="center"/>
            </w:pPr>
            <w:r>
              <w:t>≥ 0,5</w:t>
            </w:r>
          </w:p>
        </w:tc>
        <w:tc>
          <w:tcPr>
            <w:tcW w:w="2063" w:type="dxa"/>
            <w:shd w:val="clear" w:color="auto" w:fill="00B050"/>
            <w:vAlign w:val="center"/>
          </w:tcPr>
          <w:p w14:paraId="413E94C7" w14:textId="77777777" w:rsidR="00B614BD" w:rsidRDefault="00B614BD" w:rsidP="00A23709">
            <w:pPr>
              <w:jc w:val="center"/>
            </w:pPr>
            <w:r>
              <w:t>Normalidad</w:t>
            </w:r>
          </w:p>
        </w:tc>
      </w:tr>
      <w:tr w:rsidR="00B614BD" w14:paraId="42785D18" w14:textId="77777777" w:rsidTr="00E452B0">
        <w:tc>
          <w:tcPr>
            <w:tcW w:w="1358" w:type="dxa"/>
            <w:vMerge/>
            <w:shd w:val="clear" w:color="auto" w:fill="F79646"/>
            <w:vAlign w:val="center"/>
          </w:tcPr>
          <w:p w14:paraId="25E897E6" w14:textId="77777777" w:rsidR="00B614BD" w:rsidRDefault="00B614BD" w:rsidP="00B33D6B">
            <w:pPr>
              <w:jc w:val="center"/>
            </w:pPr>
          </w:p>
        </w:tc>
        <w:tc>
          <w:tcPr>
            <w:tcW w:w="2086" w:type="dxa"/>
            <w:vAlign w:val="center"/>
          </w:tcPr>
          <w:p w14:paraId="671824D3" w14:textId="77777777" w:rsidR="00B614BD" w:rsidRDefault="00B614BD" w:rsidP="00A23709">
            <w:pPr>
              <w:jc w:val="center"/>
            </w:pPr>
            <w:r>
              <w:t>1 mes</w:t>
            </w:r>
          </w:p>
        </w:tc>
        <w:tc>
          <w:tcPr>
            <w:tcW w:w="2781" w:type="dxa"/>
            <w:vAlign w:val="center"/>
          </w:tcPr>
          <w:p w14:paraId="24499D6D" w14:textId="77777777" w:rsidR="00B614BD" w:rsidRDefault="00B614BD" w:rsidP="00A23709">
            <w:pPr>
              <w:jc w:val="center"/>
            </w:pPr>
            <w:r>
              <w:t>[0,5;0,3]</w:t>
            </w:r>
          </w:p>
        </w:tc>
        <w:tc>
          <w:tcPr>
            <w:tcW w:w="2063" w:type="dxa"/>
            <w:shd w:val="clear" w:color="auto" w:fill="FFFF00"/>
            <w:vAlign w:val="center"/>
          </w:tcPr>
          <w:p w14:paraId="37293238" w14:textId="77777777" w:rsidR="00B614BD" w:rsidRDefault="00B614BD" w:rsidP="00A23709">
            <w:pPr>
              <w:jc w:val="center"/>
            </w:pPr>
            <w:r>
              <w:t>Prealerta</w:t>
            </w:r>
          </w:p>
        </w:tc>
      </w:tr>
      <w:tr w:rsidR="00B614BD" w14:paraId="372A3E5D" w14:textId="77777777" w:rsidTr="005E4DF7">
        <w:tc>
          <w:tcPr>
            <w:tcW w:w="1358" w:type="dxa"/>
            <w:vMerge w:val="restart"/>
            <w:shd w:val="clear" w:color="auto" w:fill="FF0000"/>
            <w:vAlign w:val="center"/>
          </w:tcPr>
          <w:p w14:paraId="1E9837E3" w14:textId="77777777" w:rsidR="00B614BD" w:rsidRDefault="00B614BD" w:rsidP="00B33D6B">
            <w:pPr>
              <w:jc w:val="center"/>
            </w:pPr>
            <w:r>
              <w:t>Emergencia</w:t>
            </w:r>
          </w:p>
        </w:tc>
        <w:tc>
          <w:tcPr>
            <w:tcW w:w="2086" w:type="dxa"/>
            <w:vAlign w:val="center"/>
          </w:tcPr>
          <w:p w14:paraId="50A4D4F5" w14:textId="77777777" w:rsidR="00B614BD" w:rsidRDefault="00B614BD" w:rsidP="00A23709">
            <w:pPr>
              <w:jc w:val="center"/>
            </w:pPr>
            <w:r>
              <w:t>1 mes</w:t>
            </w:r>
          </w:p>
        </w:tc>
        <w:tc>
          <w:tcPr>
            <w:tcW w:w="2781" w:type="dxa"/>
            <w:vAlign w:val="center"/>
          </w:tcPr>
          <w:p w14:paraId="5E8A9E82" w14:textId="77777777" w:rsidR="00B614BD" w:rsidRDefault="00B614BD" w:rsidP="00A23709">
            <w:pPr>
              <w:jc w:val="center"/>
            </w:pPr>
            <w:r>
              <w:t>≥ 0,5</w:t>
            </w:r>
          </w:p>
        </w:tc>
        <w:tc>
          <w:tcPr>
            <w:tcW w:w="2063" w:type="dxa"/>
            <w:shd w:val="clear" w:color="auto" w:fill="00B050"/>
            <w:vAlign w:val="center"/>
          </w:tcPr>
          <w:p w14:paraId="06EFC376" w14:textId="22F4C670" w:rsidR="00B614BD" w:rsidRDefault="00085C5F" w:rsidP="00A23709">
            <w:pPr>
              <w:jc w:val="center"/>
            </w:pPr>
            <w:r>
              <w:t>Normalidad</w:t>
            </w:r>
          </w:p>
        </w:tc>
      </w:tr>
      <w:tr w:rsidR="00B614BD" w14:paraId="36232E35" w14:textId="77777777" w:rsidTr="005E4DF7">
        <w:tc>
          <w:tcPr>
            <w:tcW w:w="1358" w:type="dxa"/>
            <w:vMerge/>
            <w:shd w:val="clear" w:color="auto" w:fill="FF0000"/>
            <w:vAlign w:val="center"/>
          </w:tcPr>
          <w:p w14:paraId="6AA74DF9" w14:textId="77777777" w:rsidR="00B614BD" w:rsidRDefault="00B614BD" w:rsidP="00A23709"/>
        </w:tc>
        <w:tc>
          <w:tcPr>
            <w:tcW w:w="2086" w:type="dxa"/>
            <w:vAlign w:val="center"/>
          </w:tcPr>
          <w:p w14:paraId="2F6741A5" w14:textId="77777777" w:rsidR="00B614BD" w:rsidRDefault="00B614BD" w:rsidP="00A23709">
            <w:pPr>
              <w:jc w:val="center"/>
            </w:pPr>
            <w:r>
              <w:t>1 mes</w:t>
            </w:r>
          </w:p>
        </w:tc>
        <w:tc>
          <w:tcPr>
            <w:tcW w:w="2781" w:type="dxa"/>
            <w:vAlign w:val="center"/>
          </w:tcPr>
          <w:p w14:paraId="274E17E8" w14:textId="77777777" w:rsidR="00B614BD" w:rsidRDefault="00B614BD" w:rsidP="00A23709">
            <w:pPr>
              <w:jc w:val="center"/>
            </w:pPr>
            <w:r>
              <w:t>[0,5;0,3]</w:t>
            </w:r>
          </w:p>
        </w:tc>
        <w:tc>
          <w:tcPr>
            <w:tcW w:w="2063" w:type="dxa"/>
            <w:shd w:val="clear" w:color="auto" w:fill="FFFF00"/>
            <w:vAlign w:val="center"/>
          </w:tcPr>
          <w:p w14:paraId="79F7E543" w14:textId="77777777" w:rsidR="00B614BD" w:rsidRDefault="00B614BD" w:rsidP="00A23709">
            <w:pPr>
              <w:jc w:val="center"/>
            </w:pPr>
            <w:r>
              <w:t>Prealerta</w:t>
            </w:r>
          </w:p>
        </w:tc>
      </w:tr>
      <w:tr w:rsidR="00B614BD" w14:paraId="4EB47AB6" w14:textId="77777777" w:rsidTr="00E452B0">
        <w:tc>
          <w:tcPr>
            <w:tcW w:w="1358" w:type="dxa"/>
            <w:vMerge/>
            <w:shd w:val="clear" w:color="auto" w:fill="FF0000"/>
            <w:vAlign w:val="center"/>
          </w:tcPr>
          <w:p w14:paraId="7EB06C42" w14:textId="77777777" w:rsidR="00B614BD" w:rsidRDefault="00B614BD" w:rsidP="00A23709"/>
        </w:tc>
        <w:tc>
          <w:tcPr>
            <w:tcW w:w="2086" w:type="dxa"/>
            <w:vAlign w:val="center"/>
          </w:tcPr>
          <w:p w14:paraId="51362B58" w14:textId="77777777" w:rsidR="00B614BD" w:rsidRDefault="00B614BD" w:rsidP="00A23709">
            <w:pPr>
              <w:jc w:val="center"/>
            </w:pPr>
            <w:r>
              <w:t>1 mes</w:t>
            </w:r>
          </w:p>
        </w:tc>
        <w:tc>
          <w:tcPr>
            <w:tcW w:w="2781" w:type="dxa"/>
            <w:vAlign w:val="center"/>
          </w:tcPr>
          <w:p w14:paraId="2629A31D" w14:textId="77777777" w:rsidR="00B614BD" w:rsidRDefault="00B614BD" w:rsidP="00A23709">
            <w:pPr>
              <w:jc w:val="center"/>
            </w:pPr>
            <w:r>
              <w:t>[0,3;0,15]</w:t>
            </w:r>
          </w:p>
        </w:tc>
        <w:tc>
          <w:tcPr>
            <w:tcW w:w="2063" w:type="dxa"/>
            <w:shd w:val="clear" w:color="auto" w:fill="F79646"/>
            <w:vAlign w:val="center"/>
          </w:tcPr>
          <w:p w14:paraId="266368B4" w14:textId="77777777" w:rsidR="00B614BD" w:rsidRDefault="00B614BD" w:rsidP="00A23709">
            <w:pPr>
              <w:jc w:val="center"/>
            </w:pPr>
            <w:r>
              <w:t>Alerta</w:t>
            </w:r>
          </w:p>
        </w:tc>
      </w:tr>
    </w:tbl>
    <w:p w14:paraId="7CD4703B" w14:textId="77777777" w:rsidR="007D7EDE" w:rsidRPr="000B3CB0" w:rsidRDefault="007D7EDE" w:rsidP="000B3CB0">
      <w:pPr>
        <w:jc w:val="both"/>
      </w:pPr>
    </w:p>
    <w:p w14:paraId="173B63D4" w14:textId="356CCAA8" w:rsidR="00B614BD" w:rsidRDefault="002B3D12" w:rsidP="000B3CB0">
      <w:pPr>
        <w:pStyle w:val="Ttulo1"/>
        <w:numPr>
          <w:ilvl w:val="0"/>
          <w:numId w:val="2"/>
        </w:numPr>
        <w:jc w:val="both"/>
      </w:pPr>
      <w:bookmarkStart w:id="6" w:name="_Toc212646221"/>
      <w:r>
        <w:t xml:space="preserve">MAPA DE ESTADO DE LOS </w:t>
      </w:r>
      <w:bookmarkStart w:id="7" w:name="_Hlk207891697"/>
      <w:r w:rsidR="00AA6851">
        <w:t>ESCENARIOS DE ESCASEZ</w:t>
      </w:r>
      <w:bookmarkEnd w:id="7"/>
      <w:r>
        <w:t xml:space="preserve"> </w:t>
      </w:r>
      <w:r w:rsidR="003E656B">
        <w:t>Y EVOLUCIÓN DE LOS INDICADORES POR UT</w:t>
      </w:r>
      <w:r w:rsidR="00B614BD">
        <w:t>E</w:t>
      </w:r>
      <w:bookmarkEnd w:id="6"/>
    </w:p>
    <w:p w14:paraId="3A16520C" w14:textId="77777777" w:rsidR="000E0B46" w:rsidRDefault="000E0B46" w:rsidP="000B3CB0">
      <w:pPr>
        <w:jc w:val="both"/>
      </w:pPr>
    </w:p>
    <w:p w14:paraId="0A94DAFF" w14:textId="76141822" w:rsidR="00CF6F4F" w:rsidRDefault="00B614BD" w:rsidP="000B3CB0">
      <w:pPr>
        <w:jc w:val="both"/>
        <w:sectPr w:rsidR="00CF6F4F" w:rsidSect="000B3CB0">
          <w:headerReference w:type="default" r:id="rId9"/>
          <w:footerReference w:type="default" r:id="rId10"/>
          <w:headerReference w:type="first" r:id="rId11"/>
          <w:pgSz w:w="11906" w:h="16838"/>
          <w:pgMar w:top="2410" w:right="1701" w:bottom="1417" w:left="1701" w:header="708" w:footer="708" w:gutter="0"/>
          <w:cols w:space="708"/>
          <w:titlePg/>
          <w:docGrid w:linePitch="360"/>
        </w:sectPr>
      </w:pPr>
      <w:r w:rsidRPr="00B614BD">
        <w:t xml:space="preserve">A continuación, se incluye un mapa de la demarcación en el que se representan las diferentes UTE en función del </w:t>
      </w:r>
      <w:r w:rsidR="00E104B1">
        <w:t>escenario de</w:t>
      </w:r>
      <w:r w:rsidRPr="00B614BD">
        <w:t xml:space="preserve"> escasez </w:t>
      </w:r>
      <w:bookmarkStart w:id="8" w:name="_Hlk209104264"/>
      <w:r w:rsidR="00085C5F">
        <w:t>alcanzado durante el</w:t>
      </w:r>
      <w:r w:rsidRPr="00B614BD">
        <w:t xml:space="preserve"> mes objeto del presente informe y una tabla que recoge la evolución de los indicadores desde el inicio del año hidrológic</w:t>
      </w:r>
      <w:bookmarkEnd w:id="8"/>
      <w:r w:rsidR="00804EA9">
        <w:t>o.</w:t>
      </w:r>
    </w:p>
    <w:p w14:paraId="2B7BE994" w14:textId="77777777" w:rsidR="00B015FB" w:rsidRDefault="00B015FB"/>
    <w:p>
      <w:r>
        <w:br w:type="page"/>
      </w:r>
    </w:p>
    <w:tbl>
      <w:tblPr>
        <w:tblW w:w="5000" w:type="pct"/>
        <w:tblBorders>
          <w:top w:val="single"/>
          <w:left w:val="single"/>
          <w:bottom w:val="single"/>
          <w:right w:val="single"/>
          <w:insideH w:val="single"/>
          <w:insideV w:val="single"/>
        </w:tblBorders>
      </w:tblPr>
      <w:tr>
        <w:tc>
          <w:tcPr>
            <w:shd w:color="auto" w:val="clear" w:fill="4472C4"/>
          </w:tcPr>
          <w:tcPr>
            <w:gridSpan w:val="4"/>
          </w:tcPr>
          <w:p>
            <w:pPr>
              <w:jc w:val="center"/>
            </w:pPr>
            <w:r>
              <w:rPr>
                <w:b w:val="on"/>
                <w:color w:val="FFFFFF"/>
              </w:rPr>
              <w:t>Reporte de Ventas 2025</w:t>
            </w:r>
          </w:p>
        </w:tc>
      </w:tr>
      <w:tr>
        <w:tc>
          <w:tcPr>
            <w:shd w:color="auto" w:val="clear" w:fill="D9E1F2"/>
          </w:tcPr>
          <w:p>
            <w:pPr>
              <w:jc w:val="center"/>
            </w:pPr>
            <w:r>
              <w:rPr>
                <w:b w:val="on"/>
              </w:rPr>
              <w:t>Región</w:t>
            </w:r>
          </w:p>
        </w:tc>
        <w:tc>
          <w:tcPr>
            <w:shd w:color="auto" w:val="clear" w:fill="D9E1F2"/>
          </w:tcPr>
          <w:p>
            <w:pPr>
              <w:jc w:val="center"/>
            </w:pPr>
            <w:r>
              <w:rPr>
                <w:b w:val="on"/>
              </w:rPr>
              <w:t>Producto</w:t>
            </w:r>
          </w:p>
        </w:tc>
        <w:tc>
          <w:tcPr>
            <w:shd w:color="auto" w:val="clear" w:fill="D9E1F2"/>
          </w:tcPr>
          <w:p>
            <w:pPr>
              <w:jc w:val="center"/>
            </w:pPr>
            <w:r>
              <w:rPr>
                <w:b w:val="on"/>
              </w:rPr>
              <w:t>Cantidad</w:t>
            </w:r>
          </w:p>
        </w:tc>
        <w:tc>
          <w:tcPr>
            <w:shd w:color="auto" w:val="clear" w:fill="D9E1F2"/>
          </w:tcPr>
          <w:p>
            <w:pPr>
              <w:jc w:val="center"/>
            </w:pPr>
            <w:r>
              <w:rPr>
                <w:b w:val="on"/>
              </w:rPr>
              <w:t>Total</w:t>
            </w:r>
          </w:p>
        </w:tc>
      </w:tr>
      <w:tr>
        <w:tc>
          <w:tcPr>
            <w:vMerge w:val="restart"/>
          </w:tcPr>
          <w:p>
            <w:r>
              <w:t>Norte</w:t>
            </w:r>
          </w:p>
        </w:tc>
        <w:tc>
          <w:p>
            <w:r>
              <w:t>Laptop</w:t>
            </w:r>
          </w:p>
        </w:tc>
        <w:tc>
          <w:p>
            <w:r>
              <w:t>150</w:t>
            </w:r>
          </w:p>
        </w:tc>
        <w:tc>
          <w:p>
            <w:r>
              <w:t>$225,000</w:t>
            </w:r>
          </w:p>
        </w:tc>
      </w:tr>
      <w:tr>
        <w:tc>
          <w:tcPr>
            <w:vMerge w:val="continue"/>
          </w:tcPr>
          <w:p/>
        </w:tc>
        <w:tc>
          <w:p>
            <w:r>
              <w:t>Mouse</w:t>
            </w:r>
          </w:p>
        </w:tc>
        <w:tc>
          <w:p>
            <w:r>
              <w:t>500</w:t>
            </w:r>
          </w:p>
        </w:tc>
        <w:tc>
          <w:p>
            <w:r>
              <w:t>$15,000</w:t>
            </w:r>
          </w:p>
        </w:tc>
      </w:tr>
      <w:tr>
        <w:tc>
          <w:p>
            <w:r>
              <w:t>Sur</w:t>
            </w:r>
          </w:p>
        </w:tc>
        <w:tc>
          <w:p>
            <w:r>
              <w:t>Teclado</w:t>
            </w:r>
          </w:p>
        </w:tc>
        <w:tc>
          <w:p>
            <w:r>
              <w:t>300</w:t>
            </w:r>
          </w:p>
        </w:tc>
        <w:tc>
          <w:p>
            <w:r>
              <w:t>$45,000</w:t>
            </w:r>
          </w:p>
        </w:tc>
      </w:tr>
    </w:tbl>
    <w:p>
      <w:pPr>
        <w:pStyle w:val="Ttulo1"/>
        <w:jc w:val="both"/>
      </w:pPr>
      <w:r>
        <w:t>Nuevo Texto de Encabezado</w:t>
      </w:r>
    </w:p>
    <w:p/>
    <w:tbl>
      <w:tblPr>
        <w:tblW w:w="5000" w:type="pct"/>
        <w:tblBorders>
          <w:top w:val="single"/>
          <w:left w:val="single"/>
          <w:bottom w:val="single"/>
          <w:right w:val="single"/>
          <w:insideH w:val="single"/>
          <w:insideV w:val="single"/>
        </w:tblBorders>
      </w:tblPr>
      <w:tr>
        <w:tc>
          <w:tcPr>
            <w:shd w:color="auto" w:val="clear" w:fill="4472C4"/>
          </w:tcPr>
          <w:tcPr>
            <w:gridSpan w:val="4"/>
          </w:tcPr>
          <w:p>
            <w:pPr>
              <w:jc w:val="center"/>
            </w:pPr>
            <w:r>
              <w:rPr>
                <w:b w:val="on"/>
                <w:color w:val="FFFFFF"/>
              </w:rPr>
              <w:t>Reporte de Ventas 2025</w:t>
            </w:r>
          </w:p>
        </w:tc>
      </w:tr>
      <w:tr>
        <w:tc>
          <w:tcPr>
            <w:shd w:color="auto" w:val="clear" w:fill="D9E1F2"/>
          </w:tcPr>
          <w:p>
            <w:pPr>
              <w:jc w:val="center"/>
            </w:pPr>
            <w:r>
              <w:rPr>
                <w:b w:val="on"/>
              </w:rPr>
              <w:t>Región</w:t>
            </w:r>
          </w:p>
        </w:tc>
        <w:tc>
          <w:tcPr>
            <w:shd w:color="auto" w:val="clear" w:fill="D9E1F2"/>
          </w:tcPr>
          <w:p>
            <w:pPr>
              <w:jc w:val="center"/>
            </w:pPr>
            <w:r>
              <w:rPr>
                <w:b w:val="on"/>
              </w:rPr>
              <w:t>Producto</w:t>
            </w:r>
          </w:p>
        </w:tc>
        <w:tc>
          <w:tcPr>
            <w:shd w:color="auto" w:val="clear" w:fill="D9E1F2"/>
          </w:tcPr>
          <w:p>
            <w:pPr>
              <w:jc w:val="center"/>
            </w:pPr>
            <w:r>
              <w:rPr>
                <w:b w:val="on"/>
              </w:rPr>
              <w:t>Cantidad</w:t>
            </w:r>
          </w:p>
        </w:tc>
        <w:tc>
          <w:tcPr>
            <w:shd w:color="auto" w:val="clear" w:fill="D9E1F2"/>
          </w:tcPr>
          <w:p>
            <w:pPr>
              <w:jc w:val="center"/>
            </w:pPr>
            <w:r>
              <w:rPr>
                <w:b w:val="on"/>
              </w:rPr>
              <w:t>Total</w:t>
            </w:r>
          </w:p>
        </w:tc>
      </w:tr>
      <w:tr>
        <w:tc>
          <w:tcPr>
            <w:vMerge w:val="restart"/>
          </w:tcPr>
          <w:p>
            <w:r>
              <w:t>Norte</w:t>
            </w:r>
          </w:p>
        </w:tc>
        <w:tc>
          <w:p>
            <w:r>
              <w:t>Laptop</w:t>
            </w:r>
          </w:p>
        </w:tc>
        <w:tc>
          <w:p>
            <w:r>
              <w:t>150</w:t>
            </w:r>
          </w:p>
        </w:tc>
        <w:tc>
          <w:p>
            <w:r>
              <w:t>$225,000</w:t>
            </w:r>
          </w:p>
        </w:tc>
      </w:tr>
      <w:tr>
        <w:tc>
          <w:tcPr>
            <w:vMerge w:val="continue"/>
          </w:tcPr>
          <w:p/>
        </w:tc>
        <w:tc>
          <w:p>
            <w:r>
              <w:t>Mouse</w:t>
            </w:r>
          </w:p>
        </w:tc>
        <w:tc>
          <w:p>
            <w:r>
              <w:t>500</w:t>
            </w:r>
          </w:p>
        </w:tc>
        <w:tc>
          <w:p>
            <w:r>
              <w:t>$15,000</w:t>
            </w:r>
          </w:p>
        </w:tc>
      </w:tr>
      <w:tr>
        <w:tc>
          <w:p>
            <w:r>
              <w:t>Sur</w:t>
            </w:r>
          </w:p>
        </w:tc>
        <w:tc>
          <w:p>
            <w:r>
              <w:t>Teclado</w:t>
            </w:r>
          </w:p>
        </w:tc>
        <w:tc>
          <w:p>
            <w:r>
              <w:t>300</w:t>
            </w:r>
          </w:p>
        </w:tc>
        <w:tc>
          <w:p>
            <w:r>
              <w:t>$45,000</w:t>
            </w:r>
          </w:p>
        </w:tc>
      </w:tr>
    </w:tbl>
    <w:p>
      <w:pPr>
        <w:sectPr>
          <w:pgSz w:orient="landscape" w:w="15840" w:h="11906"/>
        </w:sectPr>
      </w:pPr>
    </w:p>
    <w:tbl>
      <w:tblPr>
        <w:tblW w:w="5000" w:type="pct"/>
        <w:tblBorders>
          <w:top w:val="single"/>
          <w:left w:val="single"/>
          <w:bottom w:val="single"/>
          <w:right w:val="single"/>
          <w:insideH w:val="single"/>
          <w:insideV w:val="single"/>
        </w:tblBorders>
      </w:tblPr>
      <w:tr>
        <w:tc>
          <w:tcPr>
            <w:shd w:color="auto" w:val="clear" w:fill="4472C4"/>
          </w:tcPr>
          <w:tcPr>
            <w:gridSpan w:val="4"/>
          </w:tcPr>
          <w:p>
            <w:pPr>
              <w:jc w:val="center"/>
            </w:pPr>
            <w:r>
              <w:rPr>
                <w:b w:val="on"/>
                <w:color w:val="FFFFFF"/>
              </w:rPr>
              <w:t>Reporte de Ventas 2025</w:t>
            </w:r>
          </w:p>
        </w:tc>
      </w:tr>
      <w:tr>
        <w:tc>
          <w:tcPr>
            <w:shd w:color="auto" w:val="clear" w:fill="D9E1F2"/>
          </w:tcPr>
          <w:p>
            <w:pPr>
              <w:jc w:val="center"/>
            </w:pPr>
            <w:r>
              <w:rPr>
                <w:b w:val="on"/>
              </w:rPr>
              <w:t>Región</w:t>
            </w:r>
          </w:p>
        </w:tc>
        <w:tc>
          <w:tcPr>
            <w:shd w:color="auto" w:val="clear" w:fill="D9E1F2"/>
          </w:tcPr>
          <w:p>
            <w:pPr>
              <w:jc w:val="center"/>
            </w:pPr>
            <w:r>
              <w:rPr>
                <w:b w:val="on"/>
              </w:rPr>
              <w:t>Producto</w:t>
            </w:r>
          </w:p>
        </w:tc>
        <w:tc>
          <w:tcPr>
            <w:shd w:color="auto" w:val="clear" w:fill="D9E1F2"/>
          </w:tcPr>
          <w:p>
            <w:pPr>
              <w:jc w:val="center"/>
            </w:pPr>
            <w:r>
              <w:rPr>
                <w:b w:val="on"/>
              </w:rPr>
              <w:t>Cantidad</w:t>
            </w:r>
          </w:p>
        </w:tc>
        <w:tc>
          <w:tcPr>
            <w:shd w:color="auto" w:val="clear" w:fill="D9E1F2"/>
          </w:tcPr>
          <w:p>
            <w:pPr>
              <w:jc w:val="center"/>
            </w:pPr>
            <w:r>
              <w:rPr>
                <w:b w:val="on"/>
              </w:rPr>
              <w:t>Total</w:t>
            </w:r>
          </w:p>
        </w:tc>
      </w:tr>
      <w:tr>
        <w:tc>
          <w:tcPr>
            <w:vMerge w:val="restart"/>
          </w:tcPr>
          <w:p>
            <w:r>
              <w:t>Norte</w:t>
            </w:r>
          </w:p>
        </w:tc>
        <w:tc>
          <w:p>
            <w:r>
              <w:t>Laptop</w:t>
            </w:r>
          </w:p>
        </w:tc>
        <w:tc>
          <w:p>
            <w:r>
              <w:t>150</w:t>
            </w:r>
          </w:p>
        </w:tc>
        <w:tc>
          <w:p>
            <w:r>
              <w:t>$225,000</w:t>
            </w:r>
          </w:p>
        </w:tc>
      </w:tr>
      <w:tr>
        <w:tc>
          <w:tcPr>
            <w:vMerge w:val="continue"/>
          </w:tcPr>
          <w:p/>
        </w:tc>
        <w:tc>
          <w:p>
            <w:r>
              <w:t>Mouse</w:t>
            </w:r>
          </w:p>
        </w:tc>
        <w:tc>
          <w:p>
            <w:r>
              <w:t>500</w:t>
            </w:r>
          </w:p>
        </w:tc>
        <w:tc>
          <w:p>
            <w:r>
              <w:t>$15,000</w:t>
            </w:r>
          </w:p>
        </w:tc>
      </w:tr>
      <w:tr>
        <w:tc>
          <w:p>
            <w:r>
              <w:t>Sur</w:t>
            </w:r>
          </w:p>
        </w:tc>
        <w:tc>
          <w:p>
            <w:r>
              <w:t>Teclado</w:t>
            </w:r>
          </w:p>
        </w:tc>
        <w:tc>
          <w:p>
            <w:r>
              <w:t>300</w:t>
            </w:r>
          </w:p>
        </w:tc>
        <w:tc>
          <w:p>
            <w:r>
              <w:t>$45,000</w:t>
            </w:r>
          </w:p>
        </w:tc>
      </w:tr>
    </w:tbl>
    <w:sectPr w:rsidR="00B015FB" w:rsidSect="000B3CB0">
      <w:headerReference w:type="default" r:id="rId12"/>
      <w:pgSz w:w="11906" w:h="16838"/>
      <w:pgMar w:top="851" w:right="1701" w:bottom="567" w:left="1701" w:header="708"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6CA17" w14:textId="77777777" w:rsidR="009D05E0" w:rsidRDefault="009D05E0" w:rsidP="007D7EDE">
      <w:pPr>
        <w:spacing w:after="0" w:line="240" w:lineRule="auto"/>
      </w:pPr>
      <w:r>
        <w:separator/>
      </w:r>
    </w:p>
  </w:endnote>
  <w:endnote w:type="continuationSeparator" w:id="0">
    <w:p w14:paraId="5B347B7D" w14:textId="77777777" w:rsidR="009D05E0" w:rsidRDefault="009D05E0" w:rsidP="007D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916208"/>
      <w:docPartObj>
        <w:docPartGallery w:val="Page Numbers (Bottom of Page)"/>
        <w:docPartUnique/>
      </w:docPartObj>
    </w:sdtPr>
    <w:sdtContent>
      <w:p w14:paraId="57F2AF96" w14:textId="77777777" w:rsidR="00475181" w:rsidRDefault="00475181" w:rsidP="000B3CB0">
        <w:pPr>
          <w:pStyle w:val="Piedepgina"/>
          <w:jc w:val="center"/>
        </w:pPr>
        <w:r>
          <w:fldChar w:fldCharType="begin"/>
        </w:r>
        <w:r>
          <w:instrText>PAGE   \* MERGEFORMAT</w:instrText>
        </w:r>
        <w:r>
          <w:fldChar w:fldCharType="separate"/>
        </w:r>
        <w:r w:rsidR="00474E35">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679AB" w14:textId="77777777" w:rsidR="009D05E0" w:rsidRDefault="009D05E0" w:rsidP="007D7EDE">
      <w:pPr>
        <w:spacing w:after="0" w:line="240" w:lineRule="auto"/>
      </w:pPr>
      <w:r>
        <w:separator/>
      </w:r>
    </w:p>
  </w:footnote>
  <w:footnote w:type="continuationSeparator" w:id="0">
    <w:p w14:paraId="09B67E89" w14:textId="77777777" w:rsidR="009D05E0" w:rsidRDefault="009D05E0" w:rsidP="007D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9B7C" w14:textId="77777777" w:rsidR="00475181" w:rsidRDefault="00475181" w:rsidP="00D82006">
    <w:pPr>
      <w:pStyle w:val="Encabezado"/>
    </w:pPr>
    <w:r>
      <w:rPr>
        <w:noProof/>
        <w:lang w:eastAsia="es-ES"/>
      </w:rPr>
      <mc:AlternateContent>
        <mc:Choice Requires="wps">
          <w:drawing>
            <wp:anchor distT="0" distB="0" distL="114300" distR="114300" simplePos="0" relativeHeight="251661312" behindDoc="0" locked="0" layoutInCell="1" allowOverlap="1" wp14:anchorId="458B0EBA" wp14:editId="02C0BD22">
              <wp:simplePos x="0" y="0"/>
              <wp:positionH relativeFrom="page">
                <wp:align>right</wp:align>
              </wp:positionH>
              <wp:positionV relativeFrom="paragraph">
                <wp:posOffset>-449580</wp:posOffset>
              </wp:positionV>
              <wp:extent cx="10675917" cy="895350"/>
              <wp:effectExtent l="0" t="0" r="11430" b="19050"/>
              <wp:wrapNone/>
              <wp:docPr id="12" name="Rectángulo 12"/>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B0EBA" id="Rectángulo 12" o:spid="_x0000_s1026" style="position:absolute;margin-left:789.4pt;margin-top:-35.4pt;width:840.6pt;height:70.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gUkzhQIAAEkFAAAOAAAAZHJzL2Uyb0RvYy54bWysVM1u2zAMvg/YOwi6r7azpj9BnCJI0WFA 0RZth54VWYoNSKImKbGzt9mz7MVKyY5btMUOw3JwSJH8SH4iNb/otCI74XwDpqTFUU6JMByqxmxK +uPx6ssZJT4wUzEFRpR0Lzy9WHz+NG/tTEygBlUJRxDE+FlrS1qHYGdZ5nktNPNHYIVBowSnWUDV bbLKsRbRtcomeX6SteAq64AL7/H0sjfSRcKXUvBwK6UXgaiSYm0hfV36ruM3W8zZbOOYrRs+lMH+ oQrNGoNJR6hLFhjZuuYdlG64Aw8yHHHQGUjZcJF6wG6K/E03DzWzIvWC5Hg70uT/Hyy/2d050lR4 dxNKDNN4R/fI2p/fZrNVQPAUKWqtn6Hng71zg+ZRjP120un4j52QLtG6H2kVXSAcD4v85HR6XpxS wtF4dj79Ok3EZy/h1vnwTYAmUSipwwoSnWx37QOmRNeDCyqxnL6AJIW9ErEGZe6FxF4w5SRFpykS K+XIjuH9M86FCUVvqlkl+uNpjr/YJSYZI5KWACOybJQasQeAOKHvsXuYwT+GijSEY3D+t8L64DEi ZQYTxmDdGHAfASjsasjc+x9I6qmJLIVu3aFLFNdQ7fHSHfTb4C2/apD2a+bDHXM4/rgouNLhFj9S QVtSGCRKanC/PjqP/jiVaKWkxXUqqf+5ZU5Qor4bnNfz4vg47l9SjqenE1Tca8v6tcVs9Qrwxgp8 PCxPYvQP6iBKB/oJN38Zs6KJGY65S8qDOyir0K85vh1cLJfJDXfOsnBtHiyP4JHgOFaP3RNzdpi9 gGN7A4fVY7M3I9j7xkgDy20A2aT5fOF1oB73Nc3Q8LbEB+G1nrxeXsDFMwAAAP//AwBQSwMEFAAG AAgAAAAhAGkxfu/bAAAACAEAAA8AAABkcnMvZG93bnJldi54bWxMj8tOwzAQRfdI/IM1SOxaJ1k0 VYhToUpskFi08AHTeIhD/Yhip0n+nukKlqM7uvec+rA4K240xj54Bfk2A0G+Dbr3nYKvz7fNHkRM 6DXa4EnBShEOzeNDjZUOsz/R7Zw6wSU+VqjApDRUUsbWkMO4DQN5zr7D6DDxOXZSjzhzubOyyLKd dNh7XjA40NFQez1PjkeQTmtezsfrh1nee7LrD02rUs9Py+sLiERL+nuGOz6jQ8NMlzB5HYVVwCJJ wabMWOAe7/Z5AeKioMwKkE0t/ws0vwAAAP//AwBQSwECLQAUAAYACAAAACEAtoM4kv4AAADhAQAA EwAAAAAAAAAAAAAAAAAAAAAAW0NvbnRlbnRfVHlwZXNdLnhtbFBLAQItABQABgAIAAAAIQA4/SH/ 1gAAAJQBAAALAAAAAAAAAAAAAAAAAC8BAABfcmVscy8ucmVsc1BLAQItABQABgAIAAAAIQAUgUkz hQIAAEkFAAAOAAAAAAAAAAAAAAAAAC4CAABkcnMvZTJvRG9jLnhtbFBLAQItABQABgAIAAAAIQBp MX7v2wAAAAgBAAAPAAAAAAAAAAAAAAAAAN8EAABkcnMvZG93bnJldi54bWxQSwUGAAAAAAQABADz AAAA5wUAAAAA " fillcolor="#5b9bd5 [3204]" strokecolor="#1f4d78 [1604]" strokeweight="1pt">
              <v:textbo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v:textbox>
              <w10:wrap anchorx="page"/>
            </v:rect>
          </w:pict>
        </mc:Fallback>
      </mc:AlternateContent>
    </w:r>
  </w:p>
  <w:p w14:paraId="06F299ED" w14:textId="77777777" w:rsidR="00475181" w:rsidRDefault="004751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3D8E7" w14:textId="77777777" w:rsidR="00475181" w:rsidRDefault="00475181">
    <w:pPr>
      <w:pStyle w:val="Encabezado"/>
    </w:pPr>
    <w:r>
      <w:rPr>
        <w:noProof/>
        <w:lang w:eastAsia="es-ES"/>
      </w:rPr>
      <mc:AlternateContent>
        <mc:Choice Requires="wps">
          <w:drawing>
            <wp:anchor distT="0" distB="0" distL="114300" distR="114300" simplePos="0" relativeHeight="251659264" behindDoc="0" locked="0" layoutInCell="1" allowOverlap="1" wp14:anchorId="3724605F" wp14:editId="0991FE00">
              <wp:simplePos x="0" y="0"/>
              <wp:positionH relativeFrom="page">
                <wp:align>left</wp:align>
              </wp:positionH>
              <wp:positionV relativeFrom="paragraph">
                <wp:posOffset>-448310</wp:posOffset>
              </wp:positionV>
              <wp:extent cx="7648575" cy="8953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4605F" id="Rectángulo 1" o:spid="_x0000_s1027" style="position:absolute;margin-left:0;margin-top:-35.3pt;width:602.25pt;height:70.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Iyq3hAIAAE0FAAAOAAAAZHJzL2Uyb0RvYy54bWysVM1u2zAMvg/YOwi6r06ypD9BnSJo0WFA 0QZth54VWYoNyKJGKbGzt9mz7MVKyY5btMUOw3JwRJH8SH4kdX7R1obtFPoKbM7HRyPOlJVQVHaT 8x+P119OOfNB2EIYsCrne+X5xeLzp/PGzdUESjCFQkYg1s8bl/MyBDfPMi9LVQt/BE5ZUmrAWgQS cZMVKBpCr002GY2OswawcAhSeU+3V52SLxK+1kqGO629CszknHIL6Yvpu47fbHEu5hsUrqxkn4b4 hyxqUVkKOkBdiSDYFqt3UHUlETzocCShzkDrSqpUA1UzHr2p5qEUTqVaiBzvBpr8/4OVt7sVsqqg 3nFmRU0tuifS/vy2m60BNo4ENc7Pye7BrbCXPB1jta3GOv5THaxNpO4HUlUbmKTLk+Pp6exkxpkk 3enZ7OsssZ69eDv04ZuCmsVDzpHiJy7F7sYHikimBxMSYjZd/HQKe6NiCsbeK02FUMRJ8k4jpC4N sp2g5gsplQ3jTlWKQnXXsxH9YpEUZPBIUgKMyLoyZsDuAeJ4vsfuYHr76KrSBA7Oo78l1jkPHiky 2DA415UF/AjAUFV95M7+QFJHTWQptOu2bzJZxps1FHtqPEK3Ed7J64rYvxE+rATSCtCy0FqHO/po A03OoT9xVgL++ug+2tNkkpazhlYq5/7nVqDizHy3NLNn4+k07mASprOTCQn4WrN+rbHb+hKocTSX lF06RvtgDkeNUD/R9i9jVFIJKyl2zmXAg3AZulWn90Oq5TKZ0d45EW7sg5MRPPIcp+uxfRLo+hEM NLy3cFg/MX8ziZ1t9LSw3AbQVRrTF177DtDOplHq35f4KLyWk9XLK7h4BgAA//8DAFBLAwQUAAYA CAAAACEAqe8ukNwAAAAIAQAADwAAAGRycy9kb3ducmV2LnhtbEyPwWrDMBBE74X+g9hAb4mUkMbF tRxKoJdCD0n7ARtrazuRVsaSY/vvq5za4zDDzJtiPzkrbtSH1rOG9UqBIK68abnW8P31vnwBESKy QeuZNMwUYF8+PhSYGz/ykW6nWItUwiFHDU2MXS5lqBpyGFa+I07ej+8dxiT7Wpoex1TurNwotZMO W04LDXZ0aKi6ngaXRpCO8zobD9fPZvpoyc4XGmatnxbT2yuISFP8C8MdP6FDmZjOfmAThNWQjkQN y0ztQNztjdo+gzhryNQWZFnI/wfKXwAAAP//AwBQSwECLQAUAAYACAAAACEAtoM4kv4AAADhAQAA EwAAAAAAAAAAAAAAAAAAAAAAW0NvbnRlbnRfVHlwZXNdLnhtbFBLAQItABQABgAIAAAAIQA4/SH/ 1gAAAJQBAAALAAAAAAAAAAAAAAAAAC8BAABfcmVscy8ucmVsc1BLAQItABQABgAIAAAAIQBBIyq3 hAIAAE0FAAAOAAAAAAAAAAAAAAAAAC4CAABkcnMvZTJvRG9jLnhtbFBLAQItABQABgAIAAAAIQCp 7y6Q3AAAAAgBAAAPAAAAAAAAAAAAAAAAAN4EAABkcnMvZG93bnJldi54bWxQSwUGAAAAAAQABADz AAAA5wUAAAAA " fillcolor="#5b9bd5 [3204]" strokecolor="#1f4d78 [1604]" strokeweight="1pt">
              <v:textbo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8906" w14:textId="77777777" w:rsidR="00475181" w:rsidRDefault="00475181" w:rsidP="00D82006">
    <w:pPr>
      <w:pStyle w:val="Encabezado"/>
    </w:pPr>
    <w:r>
      <w:rPr>
        <w:noProof/>
        <w:lang w:eastAsia="es-ES"/>
      </w:rPr>
      <mc:AlternateContent>
        <mc:Choice Requires="wps">
          <w:drawing>
            <wp:anchor distT="0" distB="0" distL="114300" distR="114300" simplePos="0" relativeHeight="251663360" behindDoc="0" locked="0" layoutInCell="1" allowOverlap="1" wp14:anchorId="61844C79" wp14:editId="0D614E30">
              <wp:simplePos x="0" y="0"/>
              <wp:positionH relativeFrom="page">
                <wp:align>left</wp:align>
              </wp:positionH>
              <wp:positionV relativeFrom="paragraph">
                <wp:posOffset>-577850</wp:posOffset>
              </wp:positionV>
              <wp:extent cx="7648575" cy="8953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44C79" id="Rectángulo 13" o:spid="_x0000_s1029" style="position:absolute;margin-left:0;margin-top:-45.5pt;width:602.25pt;height:70.5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p4H6hwIAAE8FAAAOAAAAZHJzL2Uyb0RvYy54bWysVM1u2zAMvg/YOwi6r07SpD9BnSJo0WFA 0QZth54VWYoNyKJGKbGzt9mz7MVGyY5btMUOw3JwRJH8SH4kdXHZ1obtFPoKbM7HRyPOlJVQVHaT 8+9PN1/OOPNB2EIYsCrne+X55eLzp4vGzdUESjCFQkYg1s8bl/MyBDfPMi9LVQt/BE5ZUmrAWgQS cZMVKBpCr002GY1OsgawcAhSeU+3152SLxK+1kqGe629CszknHIL6Yvpu47fbHEh5hsUrqxkn4b4 hyxqUVkKOkBdiyDYFqt3UHUlETzocCShzkDrSqpUA1UzHr2p5rEUTqVaiBzvBpr8/4OVd7sVsqqg 3h1zZkVNPXog1n7/sputAUa3RFHj/JwsH90Ke8nTMdbbaqzjP1XC2kTrfqBVtYFJujw9mZ7NTmec SdKdnc+OZ4n37MXboQ9fFdQsHnKOlEBiU+xufaCIZHowISFm08VPp7A3KqZg7IPSVApFnCTvNETq yiDbCWq/kFLZMO5UpShUdz0b0S8WSUEGjyQlwIisK2MG7B4gDuh77A6mt4+uKs3g4Dz6W2Kd8+CR IoMNg3NdWcCPAAxV1Ufu7A8kddRElkK7blObh36uodhT6xG6nfBO3lTE/q3wYSWQloDWhRY73NNH G2hyDv2JsxLw50f30Z5mk7ScNbRUOfc/tgIVZ+abpak9H0+ncQuTMJ2dTkjA15r1a43d1ldAjRvT E+JkOkb7YA5HjVA/0/4vY1RSCSspds5lwINwFbplpxdEquUymdHmORFu7aOTETzyHKfrqX0W6PoR DDS8d3BYQDF/M4mdbfS0sNwG0FUa08h0x2vfAdraNEr9CxOfhddysnp5Bxd/AAAA//8DAFBLAwQU AAYACAAAACEAKAhUwdwAAAAIAQAADwAAAGRycy9kb3ducmV2LnhtbEyPzWrDMBCE74W+g9hCb4nk 0PTHsRxKoJdCD0n6ABtrY7vRj7Hk2H77bk7tbZcZZr4ptpOz4kp9bIPXkC0VCPJVMK2vNXwfPxav IGJCb9AGTxpmirAt7+8KzE0Y/Z6uh1QLDvExRw1NSl0uZawachiXoSPP2jn0DhO/fS1NjyOHOytX Sj1Lh63nhgY72jVUXQ6D4xKk/Zy9jLvLVzN9tmTnHxpmrR8fpvcNiERT+jPDDZ/RoWSmUxi8icJq 4CFJw+It4+Mmr9TTGsRJw1opkGUh/w8ofwEAAP//AwBQSwECLQAUAAYACAAAACEAtoM4kv4AAADh AQAAEwAAAAAAAAAAAAAAAAAAAAAAW0NvbnRlbnRfVHlwZXNdLnhtbFBLAQItABQABgAIAAAAIQA4 /SH/1gAAAJQBAAALAAAAAAAAAAAAAAAAAC8BAABfcmVscy8ucmVsc1BLAQItABQABgAIAAAAIQDr p4H6hwIAAE8FAAAOAAAAAAAAAAAAAAAAAC4CAABkcnMvZTJvRG9jLnhtbFBLAQItABQABgAIAAAA IQAoCFTB3AAAAAgBAAAPAAAAAAAAAAAAAAAAAOEEAABkcnMvZG93bnJldi54bWxQSwUGAAAAAAQA BADzAAAA6gUAAAAA " fillcolor="#5b9bd5 [3204]" strokecolor="#1f4d78 [1604]" strokeweight="1pt">
              <v:textbo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v:textbox>
              <w10:wrap anchorx="page"/>
            </v:rect>
          </w:pict>
        </mc:Fallback>
      </mc:AlternateContent>
    </w:r>
  </w:p>
  <w:p w14:paraId="6FA56E2A" w14:textId="77777777" w:rsidR="00475181" w:rsidRDefault="004751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0E1B"/>
    <w:multiLevelType w:val="hybridMultilevel"/>
    <w:tmpl w:val="86DE9B7A"/>
    <w:lvl w:ilvl="0" w:tplc="9D16CF16">
      <w:start w:val="1"/>
      <w:numFmt w:val="decimal"/>
      <w:lvlText w:val="%1."/>
      <w:lvlJc w:val="left"/>
      <w:pPr>
        <w:ind w:left="720" w:hanging="360"/>
      </w:pPr>
      <w:rPr>
        <w:rFonts w:hint="default"/>
      </w:rPr>
    </w:lvl>
    <w:lvl w:ilvl="1" w:tplc="9D16CF1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D78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2519D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4D10B2"/>
    <w:multiLevelType w:val="hybridMultilevel"/>
    <w:tmpl w:val="FA82ED40"/>
    <w:lvl w:ilvl="0" w:tplc="9692F9C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F76D06"/>
    <w:multiLevelType w:val="hybridMultilevel"/>
    <w:tmpl w:val="A8821EE6"/>
    <w:lvl w:ilvl="0" w:tplc="9D16CF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0265812">
    <w:abstractNumId w:val="4"/>
  </w:num>
  <w:num w:numId="2" w16cid:durableId="1165051149">
    <w:abstractNumId w:val="2"/>
  </w:num>
  <w:num w:numId="3" w16cid:durableId="967708318">
    <w:abstractNumId w:val="0"/>
  </w:num>
  <w:num w:numId="4" w16cid:durableId="1765027605">
    <w:abstractNumId w:val="1"/>
  </w:num>
  <w:num w:numId="5" w16cid:durableId="169568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4F"/>
    <w:rsid w:val="00015971"/>
    <w:rsid w:val="00017ABC"/>
    <w:rsid w:val="00022D06"/>
    <w:rsid w:val="00023688"/>
    <w:rsid w:val="00055A18"/>
    <w:rsid w:val="000606B1"/>
    <w:rsid w:val="00063ACA"/>
    <w:rsid w:val="00063CB5"/>
    <w:rsid w:val="00077664"/>
    <w:rsid w:val="00085C5F"/>
    <w:rsid w:val="000A7091"/>
    <w:rsid w:val="000B3CB0"/>
    <w:rsid w:val="000E0B46"/>
    <w:rsid w:val="00111235"/>
    <w:rsid w:val="0011172B"/>
    <w:rsid w:val="00123ADF"/>
    <w:rsid w:val="00144E2A"/>
    <w:rsid w:val="001462BB"/>
    <w:rsid w:val="00147531"/>
    <w:rsid w:val="001538CD"/>
    <w:rsid w:val="00170B86"/>
    <w:rsid w:val="0017519B"/>
    <w:rsid w:val="00177AA8"/>
    <w:rsid w:val="0018038E"/>
    <w:rsid w:val="00185AC3"/>
    <w:rsid w:val="00186B91"/>
    <w:rsid w:val="001A15FC"/>
    <w:rsid w:val="001B2EBA"/>
    <w:rsid w:val="001C78EB"/>
    <w:rsid w:val="001D14C3"/>
    <w:rsid w:val="001D184F"/>
    <w:rsid w:val="001D56B0"/>
    <w:rsid w:val="001D5AE8"/>
    <w:rsid w:val="001E4E42"/>
    <w:rsid w:val="001E570F"/>
    <w:rsid w:val="0020099F"/>
    <w:rsid w:val="00251703"/>
    <w:rsid w:val="002551DC"/>
    <w:rsid w:val="00272D04"/>
    <w:rsid w:val="00280A3B"/>
    <w:rsid w:val="0029464D"/>
    <w:rsid w:val="002B3D12"/>
    <w:rsid w:val="002B5FC3"/>
    <w:rsid w:val="002D0EB0"/>
    <w:rsid w:val="002D2CF7"/>
    <w:rsid w:val="002D328B"/>
    <w:rsid w:val="002E22AA"/>
    <w:rsid w:val="002E3514"/>
    <w:rsid w:val="002F4BE0"/>
    <w:rsid w:val="00312ABD"/>
    <w:rsid w:val="00314D56"/>
    <w:rsid w:val="003249B5"/>
    <w:rsid w:val="0032522A"/>
    <w:rsid w:val="00327A72"/>
    <w:rsid w:val="00346C98"/>
    <w:rsid w:val="00363272"/>
    <w:rsid w:val="003D24E0"/>
    <w:rsid w:val="003D4E6B"/>
    <w:rsid w:val="003E2F5A"/>
    <w:rsid w:val="003E489F"/>
    <w:rsid w:val="003E64E2"/>
    <w:rsid w:val="003E656B"/>
    <w:rsid w:val="003E6E6B"/>
    <w:rsid w:val="003F3421"/>
    <w:rsid w:val="003F4C6A"/>
    <w:rsid w:val="00417A21"/>
    <w:rsid w:val="0043157E"/>
    <w:rsid w:val="0043262C"/>
    <w:rsid w:val="0045298F"/>
    <w:rsid w:val="00474E35"/>
    <w:rsid w:val="00475181"/>
    <w:rsid w:val="004768D6"/>
    <w:rsid w:val="00492B60"/>
    <w:rsid w:val="004A669B"/>
    <w:rsid w:val="004A7723"/>
    <w:rsid w:val="004C034A"/>
    <w:rsid w:val="004F2336"/>
    <w:rsid w:val="00504F3D"/>
    <w:rsid w:val="00507D43"/>
    <w:rsid w:val="00536F13"/>
    <w:rsid w:val="00571758"/>
    <w:rsid w:val="00571B46"/>
    <w:rsid w:val="00576284"/>
    <w:rsid w:val="00581E79"/>
    <w:rsid w:val="005909D9"/>
    <w:rsid w:val="005C670A"/>
    <w:rsid w:val="005C7B42"/>
    <w:rsid w:val="005D2F9B"/>
    <w:rsid w:val="005E0D64"/>
    <w:rsid w:val="005E4B3A"/>
    <w:rsid w:val="005E4DF7"/>
    <w:rsid w:val="005E7E60"/>
    <w:rsid w:val="00615008"/>
    <w:rsid w:val="00615CC7"/>
    <w:rsid w:val="006202A6"/>
    <w:rsid w:val="00621FEB"/>
    <w:rsid w:val="006331AB"/>
    <w:rsid w:val="00636107"/>
    <w:rsid w:val="006479AB"/>
    <w:rsid w:val="00652A1A"/>
    <w:rsid w:val="00657DC4"/>
    <w:rsid w:val="006632AA"/>
    <w:rsid w:val="00690230"/>
    <w:rsid w:val="006A0A7F"/>
    <w:rsid w:val="006A0F77"/>
    <w:rsid w:val="006A754A"/>
    <w:rsid w:val="006C232D"/>
    <w:rsid w:val="006C437B"/>
    <w:rsid w:val="006D1090"/>
    <w:rsid w:val="006D4F9F"/>
    <w:rsid w:val="006E3595"/>
    <w:rsid w:val="006F1E15"/>
    <w:rsid w:val="00723741"/>
    <w:rsid w:val="00732DA9"/>
    <w:rsid w:val="00765417"/>
    <w:rsid w:val="00766EAA"/>
    <w:rsid w:val="00767544"/>
    <w:rsid w:val="0078658F"/>
    <w:rsid w:val="00790089"/>
    <w:rsid w:val="007974FC"/>
    <w:rsid w:val="007D6EE3"/>
    <w:rsid w:val="007D75E4"/>
    <w:rsid w:val="007D7EDE"/>
    <w:rsid w:val="007E0BAA"/>
    <w:rsid w:val="007F5DA7"/>
    <w:rsid w:val="00802543"/>
    <w:rsid w:val="00802A8E"/>
    <w:rsid w:val="00804EA9"/>
    <w:rsid w:val="00806484"/>
    <w:rsid w:val="00835CB0"/>
    <w:rsid w:val="008447A2"/>
    <w:rsid w:val="008470B9"/>
    <w:rsid w:val="00856E35"/>
    <w:rsid w:val="008572BD"/>
    <w:rsid w:val="008723FE"/>
    <w:rsid w:val="008813A8"/>
    <w:rsid w:val="00885A9F"/>
    <w:rsid w:val="008871E8"/>
    <w:rsid w:val="0089700D"/>
    <w:rsid w:val="008B4D9B"/>
    <w:rsid w:val="008C53FE"/>
    <w:rsid w:val="008D044C"/>
    <w:rsid w:val="008D3946"/>
    <w:rsid w:val="008E79A8"/>
    <w:rsid w:val="00907868"/>
    <w:rsid w:val="00950F41"/>
    <w:rsid w:val="0097000A"/>
    <w:rsid w:val="00971B6D"/>
    <w:rsid w:val="00974845"/>
    <w:rsid w:val="00974DF5"/>
    <w:rsid w:val="00990DF1"/>
    <w:rsid w:val="009A7AE4"/>
    <w:rsid w:val="009B4457"/>
    <w:rsid w:val="009C5613"/>
    <w:rsid w:val="009D05E0"/>
    <w:rsid w:val="009D6EDC"/>
    <w:rsid w:val="00A041E2"/>
    <w:rsid w:val="00A10A0F"/>
    <w:rsid w:val="00A14C09"/>
    <w:rsid w:val="00A17A0A"/>
    <w:rsid w:val="00A20D6C"/>
    <w:rsid w:val="00A23709"/>
    <w:rsid w:val="00A506B1"/>
    <w:rsid w:val="00A6187D"/>
    <w:rsid w:val="00A76FA8"/>
    <w:rsid w:val="00A84BCD"/>
    <w:rsid w:val="00A9312C"/>
    <w:rsid w:val="00A95C2A"/>
    <w:rsid w:val="00A96BBD"/>
    <w:rsid w:val="00AA6851"/>
    <w:rsid w:val="00AB0848"/>
    <w:rsid w:val="00AB133A"/>
    <w:rsid w:val="00AB7470"/>
    <w:rsid w:val="00AC1C2A"/>
    <w:rsid w:val="00AD6C34"/>
    <w:rsid w:val="00AE2E0C"/>
    <w:rsid w:val="00AF499F"/>
    <w:rsid w:val="00B015FB"/>
    <w:rsid w:val="00B33D6B"/>
    <w:rsid w:val="00B33E8D"/>
    <w:rsid w:val="00B3574C"/>
    <w:rsid w:val="00B36C56"/>
    <w:rsid w:val="00B4522E"/>
    <w:rsid w:val="00B46BBE"/>
    <w:rsid w:val="00B572F4"/>
    <w:rsid w:val="00B614BD"/>
    <w:rsid w:val="00B76868"/>
    <w:rsid w:val="00B808D6"/>
    <w:rsid w:val="00B81107"/>
    <w:rsid w:val="00B84A9A"/>
    <w:rsid w:val="00B92A69"/>
    <w:rsid w:val="00B97F4C"/>
    <w:rsid w:val="00BA4A10"/>
    <w:rsid w:val="00BB1C33"/>
    <w:rsid w:val="00BD2E32"/>
    <w:rsid w:val="00BD523E"/>
    <w:rsid w:val="00BD6B0C"/>
    <w:rsid w:val="00BF14D4"/>
    <w:rsid w:val="00BF5653"/>
    <w:rsid w:val="00C03B23"/>
    <w:rsid w:val="00C13B2C"/>
    <w:rsid w:val="00C27382"/>
    <w:rsid w:val="00C35E0C"/>
    <w:rsid w:val="00C50C28"/>
    <w:rsid w:val="00C54054"/>
    <w:rsid w:val="00C64D0D"/>
    <w:rsid w:val="00C6786B"/>
    <w:rsid w:val="00C74F47"/>
    <w:rsid w:val="00C75F83"/>
    <w:rsid w:val="00C80660"/>
    <w:rsid w:val="00C82EF5"/>
    <w:rsid w:val="00C832F9"/>
    <w:rsid w:val="00C8385D"/>
    <w:rsid w:val="00C9575A"/>
    <w:rsid w:val="00CA0B06"/>
    <w:rsid w:val="00CB0753"/>
    <w:rsid w:val="00CC1354"/>
    <w:rsid w:val="00CC2DCF"/>
    <w:rsid w:val="00CD03AA"/>
    <w:rsid w:val="00CD30A9"/>
    <w:rsid w:val="00CD62EA"/>
    <w:rsid w:val="00CD6F1D"/>
    <w:rsid w:val="00CD7107"/>
    <w:rsid w:val="00CF2A9D"/>
    <w:rsid w:val="00CF5751"/>
    <w:rsid w:val="00CF6F4F"/>
    <w:rsid w:val="00CF7143"/>
    <w:rsid w:val="00D12ABA"/>
    <w:rsid w:val="00D20A68"/>
    <w:rsid w:val="00D20B18"/>
    <w:rsid w:val="00D22C76"/>
    <w:rsid w:val="00D31071"/>
    <w:rsid w:val="00D60B3A"/>
    <w:rsid w:val="00D6173A"/>
    <w:rsid w:val="00D80296"/>
    <w:rsid w:val="00D82006"/>
    <w:rsid w:val="00D97C0D"/>
    <w:rsid w:val="00DB594E"/>
    <w:rsid w:val="00DC271E"/>
    <w:rsid w:val="00DC5EC0"/>
    <w:rsid w:val="00DD09B0"/>
    <w:rsid w:val="00DD5499"/>
    <w:rsid w:val="00DE3CA7"/>
    <w:rsid w:val="00DE475B"/>
    <w:rsid w:val="00DF2E8F"/>
    <w:rsid w:val="00DF3738"/>
    <w:rsid w:val="00E104B1"/>
    <w:rsid w:val="00E412A1"/>
    <w:rsid w:val="00E452B0"/>
    <w:rsid w:val="00E52138"/>
    <w:rsid w:val="00E86662"/>
    <w:rsid w:val="00E91564"/>
    <w:rsid w:val="00E92F7B"/>
    <w:rsid w:val="00EB1594"/>
    <w:rsid w:val="00EC6E77"/>
    <w:rsid w:val="00ED0533"/>
    <w:rsid w:val="00ED4109"/>
    <w:rsid w:val="00EE4440"/>
    <w:rsid w:val="00EF2E49"/>
    <w:rsid w:val="00F06688"/>
    <w:rsid w:val="00F20704"/>
    <w:rsid w:val="00F2357E"/>
    <w:rsid w:val="00F23B29"/>
    <w:rsid w:val="00F25ACA"/>
    <w:rsid w:val="00F41D48"/>
    <w:rsid w:val="00F631E1"/>
    <w:rsid w:val="00F82A4F"/>
    <w:rsid w:val="00FA28CD"/>
    <w:rsid w:val="00FB1D53"/>
    <w:rsid w:val="00FB6BDB"/>
    <w:rsid w:val="00FC2066"/>
    <w:rsid w:val="00FE443F"/>
    <w:rsid w:val="00FF0BC9"/>
    <w:rsid w:val="00FF3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299"/>
  <w15:chartTrackingRefBased/>
  <w15:docId w15:val="{F03B5A76-CF9E-4E67-A7D7-B814CD0F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DE"/>
  </w:style>
  <w:style w:type="paragraph" w:styleId="Ttulo1">
    <w:name w:val="heading 1"/>
    <w:basedOn w:val="Normal"/>
    <w:next w:val="Normal"/>
    <w:link w:val="Ttulo1Car"/>
    <w:uiPriority w:val="9"/>
    <w:qFormat/>
    <w:rsid w:val="007D7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7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EDE"/>
  </w:style>
  <w:style w:type="paragraph" w:styleId="Piedepgina">
    <w:name w:val="footer"/>
    <w:basedOn w:val="Normal"/>
    <w:link w:val="PiedepginaCar"/>
    <w:uiPriority w:val="99"/>
    <w:unhideWhenUsed/>
    <w:rsid w:val="007D7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7EDE"/>
  </w:style>
  <w:style w:type="character" w:customStyle="1" w:styleId="Ttulo1Car">
    <w:name w:val="Título 1 Car"/>
    <w:basedOn w:val="Fuentedeprrafopredeter"/>
    <w:link w:val="Ttulo1"/>
    <w:uiPriority w:val="9"/>
    <w:rsid w:val="007D7EDE"/>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5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36C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F0BC9"/>
    <w:pPr>
      <w:outlineLvl w:val="9"/>
    </w:pPr>
    <w:rPr>
      <w:lang w:eastAsia="es-ES"/>
    </w:rPr>
  </w:style>
  <w:style w:type="paragraph" w:styleId="TDC1">
    <w:name w:val="toc 1"/>
    <w:basedOn w:val="Normal"/>
    <w:next w:val="Normal"/>
    <w:autoRedefine/>
    <w:uiPriority w:val="39"/>
    <w:unhideWhenUsed/>
    <w:rsid w:val="00FF0BC9"/>
    <w:pPr>
      <w:spacing w:after="100"/>
    </w:pPr>
  </w:style>
  <w:style w:type="paragraph" w:styleId="TDC2">
    <w:name w:val="toc 2"/>
    <w:basedOn w:val="Normal"/>
    <w:next w:val="Normal"/>
    <w:autoRedefine/>
    <w:uiPriority w:val="39"/>
    <w:unhideWhenUsed/>
    <w:rsid w:val="008D3946"/>
    <w:pPr>
      <w:tabs>
        <w:tab w:val="right" w:leader="dot" w:pos="8494"/>
      </w:tabs>
      <w:spacing w:after="100"/>
      <w:ind w:left="220"/>
    </w:pPr>
    <w:rPr>
      <w:noProof/>
    </w:rPr>
  </w:style>
  <w:style w:type="character" w:styleId="Hipervnculo">
    <w:name w:val="Hyperlink"/>
    <w:basedOn w:val="Fuentedeprrafopredeter"/>
    <w:uiPriority w:val="99"/>
    <w:unhideWhenUsed/>
    <w:rsid w:val="00FF0BC9"/>
    <w:rPr>
      <w:color w:val="0563C1" w:themeColor="hyperlink"/>
      <w:u w:val="single"/>
    </w:rPr>
  </w:style>
  <w:style w:type="table" w:customStyle="1" w:styleId="Estilo1">
    <w:name w:val="Estilo1"/>
    <w:basedOn w:val="Tablamoderna"/>
    <w:uiPriority w:val="99"/>
    <w:rsid w:val="00DD5499"/>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deglobo">
    <w:name w:val="Balloon Text"/>
    <w:basedOn w:val="Normal"/>
    <w:link w:val="TextodegloboCar"/>
    <w:uiPriority w:val="99"/>
    <w:semiHidden/>
    <w:unhideWhenUsed/>
    <w:rsid w:val="001538CD"/>
    <w:pPr>
      <w:spacing w:after="0" w:line="240" w:lineRule="auto"/>
    </w:pPr>
    <w:rPr>
      <w:rFonts w:ascii="Segoe UI" w:hAnsi="Segoe UI" w:cs="Segoe UI"/>
      <w:sz w:val="18"/>
      <w:szCs w:val="18"/>
    </w:rPr>
  </w:style>
  <w:style w:type="table" w:styleId="Tablamoderna">
    <w:name w:val="Table Contemporary"/>
    <w:basedOn w:val="Tablanormal"/>
    <w:uiPriority w:val="99"/>
    <w:semiHidden/>
    <w:unhideWhenUsed/>
    <w:rsid w:val="00DD54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extodegloboCar">
    <w:name w:val="Texto de globo Car"/>
    <w:basedOn w:val="Fuentedeprrafopredeter"/>
    <w:link w:val="Textodeglobo"/>
    <w:uiPriority w:val="99"/>
    <w:semiHidden/>
    <w:rsid w:val="001538CD"/>
    <w:rPr>
      <w:rFonts w:ascii="Segoe UI" w:hAnsi="Segoe UI" w:cs="Segoe UI"/>
      <w:sz w:val="18"/>
      <w:szCs w:val="18"/>
    </w:rPr>
  </w:style>
  <w:style w:type="paragraph" w:styleId="Prrafodelista">
    <w:name w:val="List Paragraph"/>
    <w:basedOn w:val="Normal"/>
    <w:uiPriority w:val="34"/>
    <w:qFormat/>
    <w:rsid w:val="002E22AA"/>
    <w:pPr>
      <w:ind w:left="720"/>
      <w:contextualSpacing/>
    </w:pPr>
  </w:style>
  <w:style w:type="table" w:customStyle="1" w:styleId="Estilo2">
    <w:name w:val="Estilo2"/>
    <w:basedOn w:val="Tablamoderna"/>
    <w:uiPriority w:val="99"/>
    <w:rsid w:val="00DC5EC0"/>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notapie">
    <w:name w:val="footnote text"/>
    <w:basedOn w:val="Normal"/>
    <w:link w:val="TextonotapieCar"/>
    <w:uiPriority w:val="99"/>
    <w:semiHidden/>
    <w:unhideWhenUsed/>
    <w:rsid w:val="007D75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D75E4"/>
    <w:rPr>
      <w:sz w:val="20"/>
      <w:szCs w:val="20"/>
    </w:rPr>
  </w:style>
  <w:style w:type="character" w:styleId="Refdenotaalpie">
    <w:name w:val="footnote reference"/>
    <w:basedOn w:val="Fuentedeprrafopredeter"/>
    <w:uiPriority w:val="99"/>
    <w:semiHidden/>
    <w:unhideWhenUsed/>
    <w:rsid w:val="007D75E4"/>
    <w:rPr>
      <w:vertAlign w:val="superscript"/>
    </w:rPr>
  </w:style>
  <w:style w:type="character" w:styleId="Hipervnculovisitado">
    <w:name w:val="FollowedHyperlink"/>
    <w:basedOn w:val="Fuentedeprrafopredeter"/>
    <w:uiPriority w:val="99"/>
    <w:semiHidden/>
    <w:unhideWhenUsed/>
    <w:rsid w:val="00AC1C2A"/>
    <w:rPr>
      <w:color w:val="954F72" w:themeColor="followedHyperlink"/>
      <w:u w:val="single"/>
    </w:rPr>
  </w:style>
  <w:style w:type="paragraph" w:styleId="Descripcin">
    <w:name w:val="caption"/>
    <w:basedOn w:val="Normal"/>
    <w:next w:val="Normal"/>
    <w:uiPriority w:val="35"/>
    <w:unhideWhenUsed/>
    <w:qFormat/>
    <w:rsid w:val="009A7A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FFA4-52F0-4B5B-AE8B-70ED41F2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TRGASA</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2025-09-18T10:29:00Z</dcterms:created>
  <dc:creator>Castañeiras Pereira, Joaquin</dc:creator>
  <cp:lastModifiedBy>Jhon Marreros Guzmán</cp:lastModifiedBy>
  <cp:lastPrinted>2023-03-02T15:22:00Z</cp:lastPrinted>
  <dcterms:modified xsi:type="dcterms:W3CDTF">2025-10-30T13:52:00Z</dcterms:modified>
  <cp:revision>18</cp:revision>
</cp:coreProperties>
</file>