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D8" w:rsidRPr="007F4DDC" w:rsidRDefault="00451BD8" w:rsidP="00451BD8">
      <w:pPr>
        <w:spacing w:after="240" w:line="360" w:lineRule="auto"/>
        <w:jc w:val="both"/>
      </w:pPr>
      <w:r>
        <w:t xml:space="preserve">We then investigated the relationship between habitat division and </w:t>
      </w:r>
      <w:proofErr w:type="spellStart"/>
      <w:r>
        <w:t>eRIDE</w:t>
      </w:r>
      <w:proofErr w:type="spellEnd"/>
      <w:r>
        <w:t xml:space="preserve"> in a reduced complexity system for </w:t>
      </w:r>
      <w:r w:rsidRPr="002277E8">
        <w:rPr>
          <w:i/>
        </w:rPr>
        <w:t>n</w:t>
      </w:r>
      <w:r>
        <w:t xml:space="preserve"> fragments of the same shape, to tease apart the impact of division independent of geometric effects and biodiversity (Figure 6). At Z = 0.28, we discovered that when </w:t>
      </w:r>
      <w:r w:rsidRPr="007F4DDC">
        <w:t xml:space="preserve">total biodiversity was fixed </w:t>
      </w:r>
      <w:proofErr w:type="spellStart"/>
      <w:r>
        <w:t>eRIDE</w:t>
      </w:r>
      <w:proofErr w:type="spellEnd"/>
      <w:r w:rsidRPr="007F4DDC">
        <w:t xml:space="preserve"> was predicted to increase with division (Figure </w:t>
      </w:r>
      <w:r>
        <w:t>6</w:t>
      </w:r>
      <w:r w:rsidRPr="007F4DDC">
        <w:t xml:space="preserve">a). </w:t>
      </w:r>
      <w:commentRangeStart w:id="0"/>
      <w:r w:rsidRPr="007F4DDC">
        <w:t xml:space="preserve">However within our model, this correlation is dependent on the value of Z, the rate of decline of the SAR. </w:t>
      </w:r>
      <w:commentRangeEnd w:id="0"/>
      <w:r>
        <w:rPr>
          <w:rStyle w:val="CommentReference"/>
        </w:rPr>
        <w:commentReference w:id="0"/>
      </w:r>
      <w:r w:rsidRPr="007F4DDC">
        <w:t xml:space="preserve">By fixing both risk and biodiversity and varying Z, we predict that fragmentation increases risk below Z values of 0.5 (Figure </w:t>
      </w:r>
      <w:r>
        <w:t>6</w:t>
      </w:r>
      <w:r w:rsidRPr="007F4DDC">
        <w:t>b). Analyses of inver</w:t>
      </w:r>
      <w:r>
        <w:t>tebrate (n = 20), plant (n = 8) and</w:t>
      </w:r>
      <w:r w:rsidRPr="007F4DDC">
        <w:t xml:space="preserve"> vertebrate (n = 69) systems using ISAR IN FULL (ISAR) and RANSAC IN FULL (RANSAC) models </w:t>
      </w:r>
      <w:r w:rsidRPr="007F4DDC">
        <w:fldChar w:fldCharType="begin"/>
      </w:r>
      <w:r>
        <w:instrText xml:space="preserve"> ADDIN EN.CITE &lt;EndNote&gt;&lt;Cite&gt;&lt;Author&gt;Matthews&lt;/Author&gt;&lt;Year&gt;2016&lt;/Year&gt;&lt;RecNum&gt;5566&lt;/RecNum&gt;&lt;DisplayText&gt;(8)&lt;/DisplayText&gt;&lt;record&gt;&lt;rec-number&gt;5566&lt;/rec-number&gt;&lt;foreign-keys&gt;&lt;key app="EN" db-id="st0readeu20za7eaefspfa9e95eaax0aps5t" timestamp="1467334125"&gt;5566&lt;/key&gt;&lt;/foreign-keys&gt;&lt;ref-type name="Journal Article"&gt;17&lt;/ref-type&gt;&lt;contributors&gt;&lt;authors&gt;&lt;author&gt;Matthews, Thomas J.&lt;/author&gt;&lt;author&gt;Triantis, Kostas A.&lt;/author&gt;&lt;author&gt;Rigal, François&lt;/author&gt;&lt;author&gt;Borregaard, Michael K.&lt;/author&gt;&lt;author&gt;Guilhaumon, François&lt;/author&gt;&lt;author&gt;Whittaker, Robert J.&lt;/author&gt;&lt;/authors&gt;&lt;/contributors&gt;&lt;titles&gt;&lt;title&gt;Island species–area relationships and species accumulation curves are not equivalent: an analysis of habitat island datasets&lt;/title&gt;&lt;secondary-title&gt;Global Ecology and Biogeography&lt;/secondary-title&gt;&lt;/titles&gt;&lt;periodical&gt;&lt;full-title&gt;Global Ecology and Biogeography&lt;/full-title&gt;&lt;/periodical&gt;&lt;pages&gt;607-618&lt;/pages&gt;&lt;volume&gt;25&lt;/volume&gt;&lt;number&gt;5&lt;/number&gt;&lt;keywords&gt;&lt;keyword&gt;Boosted regression trees&lt;/keyword&gt;&lt;keyword&gt;conservation biogeography&lt;/keyword&gt;&lt;keyword&gt;fragmentation&lt;/keyword&gt;&lt;keyword&gt;habitat islands&lt;/keyword&gt;&lt;keyword&gt;island biogeography&lt;/keyword&gt;&lt;keyword&gt;island species–area relationship&lt;/keyword&gt;&lt;keyword&gt;macroecology&lt;/keyword&gt;&lt;keyword&gt;nestedness&lt;/keyword&gt;&lt;keyword&gt;species accumulation curve&lt;/keyword&gt;&lt;keyword&gt;species–area relationship&lt;/keyword&gt;&lt;/keywords&gt;&lt;dates&gt;&lt;year&gt;2016&lt;/year&gt;&lt;/dates&gt;&lt;isbn&gt;1466-8238&lt;/isbn&gt;&lt;urls&gt;&lt;related-urls&gt;&lt;url&gt;http://dx.doi.org/10.1111/geb.12439&lt;/url&gt;&lt;/related-urls&gt;&lt;/urls&gt;&lt;electronic-resource-num&gt;10.1111/geb.12439&lt;/electronic-resource-num&gt;&lt;/record&gt;&lt;/Cite&gt;&lt;/EndNote&gt;</w:instrText>
      </w:r>
      <w:r w:rsidRPr="007F4DDC">
        <w:fldChar w:fldCharType="separate"/>
      </w:r>
      <w:r>
        <w:rPr>
          <w:noProof/>
        </w:rPr>
        <w:t>(8)</w:t>
      </w:r>
      <w:r w:rsidRPr="007F4DDC">
        <w:fldChar w:fldCharType="end"/>
      </w:r>
      <w:r w:rsidRPr="007F4DDC">
        <w:t xml:space="preserve"> </w:t>
      </w:r>
      <w:r>
        <w:t xml:space="preserve">as well as microbial systems (n = 1) </w:t>
      </w:r>
      <w:r>
        <w:fldChar w:fldCharType="begin"/>
      </w:r>
      <w:r>
        <w:instrText xml:space="preserve"> ADDIN EN.CITE &lt;EndNote&gt;&lt;Cite&gt;&lt;Author&gt;Bell&lt;/Author&gt;&lt;Year&gt;2005&lt;/Year&gt;&lt;RecNum&gt;5567&lt;/RecNum&gt;&lt;DisplayText&gt;(9)&lt;/DisplayText&gt;&lt;record&gt;&lt;rec-number&gt;5567&lt;/rec-number&gt;&lt;foreign-keys&gt;&lt;key app="EN" db-id="st0readeu20za7eaefspfa9e95eaax0aps5t" timestamp="1467334219"&gt;5567&lt;/key&gt;&lt;/foreign-keys&gt;&lt;ref-type name="Journal Article"&gt;17&lt;/ref-type&gt;&lt;contributors&gt;&lt;authors&gt;&lt;author&gt;Bell, T.&lt;/author&gt;&lt;author&gt;Ager, D.&lt;/author&gt;&lt;author&gt;Song, J. I.&lt;/author&gt;&lt;author&gt;Newman, J. A.&lt;/author&gt;&lt;author&gt;Thompson, I. P.&lt;/author&gt;&lt;author&gt;Lilley, A. K.&lt;/author&gt;&lt;author&gt;van der Gast, C. J.&lt;/author&gt;&lt;/authors&gt;&lt;/contributors&gt;&lt;auth-address&gt;Molecular Microbial Ecology Section, Natural Environment Research Council (NERC) Centre for Ecology and Hydrology, Mansfield Road, Oxford, OX1 3SR, UK.&lt;/auth-address&gt;&lt;titles&gt;&lt;title&gt;Larger islands house more bacterial taxa&lt;/title&gt;&lt;secondary-title&gt;Science&lt;/secondary-title&gt;&lt;/titles&gt;&lt;periodical&gt;&lt;full-title&gt;Science&lt;/full-title&gt;&lt;/periodical&gt;&lt;pages&gt;1884&lt;/pages&gt;&lt;volume&gt;308&lt;/volume&gt;&lt;number&gt;5730&lt;/number&gt;&lt;keywords&gt;&lt;keyword&gt;Bacteria/classification/genetics/*growth &amp;amp; development&lt;/keyword&gt;&lt;keyword&gt;*Biodiversity&lt;/keyword&gt;&lt;keyword&gt;*Ecosystem&lt;/keyword&gt;&lt;keyword&gt;Environment&lt;/keyword&gt;&lt;keyword&gt;Fagus/microbiology&lt;/keyword&gt;&lt;keyword&gt;Genetic Variation&lt;/keyword&gt;&lt;keyword&gt;Water Microbiology&lt;/keyword&gt;&lt;/keywords&gt;&lt;dates&gt;&lt;year&gt;2005&lt;/year&gt;&lt;pub-dates&gt;&lt;date&gt;Jun 24&lt;/date&gt;&lt;/pub-dates&gt;&lt;/dates&gt;&lt;isbn&gt;1095-9203 (Electronic)&amp;#xD;0036-8075 (Linking)&lt;/isbn&gt;&lt;accession-num&gt;15976296&lt;/accession-num&gt;&lt;urls&gt;&lt;related-urls&gt;&lt;url&gt;http://www.ncbi.nlm.nih.gov/pubmed/15976296&lt;/url&gt;&lt;/related-urls&gt;&lt;/urls&gt;&lt;electronic-resource-num&gt;10.1126/science.1111318&lt;/electronic-resource-num&gt;&lt;/record&gt;&lt;/Cite&gt;&lt;/EndNote&gt;</w:instrText>
      </w:r>
      <w:r>
        <w:fldChar w:fldCharType="separate"/>
      </w:r>
      <w:r>
        <w:rPr>
          <w:noProof/>
        </w:rPr>
        <w:t>(9)</w:t>
      </w:r>
      <w:r>
        <w:fldChar w:fldCharType="end"/>
      </w:r>
      <w:r>
        <w:t xml:space="preserve"> </w:t>
      </w:r>
      <w:r w:rsidRPr="007F4DDC">
        <w:t>suggest that Z is unlikely to reach 0.5 in ecology, ranging from 0.14 ± 0.09 standard deviations (SD, ISAR) for plants to 0.36 ± 0.09 SD (RANSAC) for invertebrates (</w:t>
      </w:r>
      <w:r w:rsidRPr="007F4DDC">
        <w:rPr>
          <w:szCs w:val="24"/>
        </w:rPr>
        <w:t>Table 1)</w:t>
      </w:r>
      <w:r w:rsidRPr="007F4DDC">
        <w:t xml:space="preserve">. Thus, we predict that habitat division will increase </w:t>
      </w:r>
      <w:proofErr w:type="spellStart"/>
      <w:r>
        <w:t>eRIDE</w:t>
      </w:r>
      <w:proofErr w:type="spellEnd"/>
      <w:r w:rsidRPr="007F4DDC">
        <w:t xml:space="preserve"> in all biologically relevant scenarios.</w:t>
      </w:r>
    </w:p>
    <w:p w:rsidR="00451BD8" w:rsidRPr="007F4DDC" w:rsidRDefault="00451BD8" w:rsidP="00451BD8">
      <w:pPr>
        <w:spacing w:after="240" w:line="360" w:lineRule="auto"/>
        <w:jc w:val="both"/>
      </w:pPr>
      <w:r w:rsidRPr="007F4DDC">
        <w:t xml:space="preserve">Furthermore, upon scaling the relative prevalence of patch-associated disease to reflect the presence of a dilution or amplification effect, </w:t>
      </w:r>
      <w:commentRangeStart w:id="1"/>
      <w:r w:rsidRPr="007F4DDC">
        <w:t xml:space="preserve">we observed that increasing dilution increased the extent to which division influenced </w:t>
      </w:r>
      <w:proofErr w:type="spellStart"/>
      <w:r>
        <w:t>eRIDE</w:t>
      </w:r>
      <w:commentRangeEnd w:id="1"/>
      <w:proofErr w:type="spellEnd"/>
      <w:r>
        <w:rPr>
          <w:rStyle w:val="CommentReference"/>
        </w:rPr>
        <w:commentReference w:id="1"/>
      </w:r>
      <w:r>
        <w:t xml:space="preserve">, whereas amplification diminished the effect of division on </w:t>
      </w:r>
      <w:proofErr w:type="spellStart"/>
      <w:r>
        <w:t>eRIDE</w:t>
      </w:r>
      <w:proofErr w:type="spellEnd"/>
      <w:r w:rsidRPr="007F4DDC">
        <w:t xml:space="preserve"> (Figure 4b).</w:t>
      </w:r>
    </w:p>
    <w:p w:rsidR="00451BD8" w:rsidRPr="007F4DDC" w:rsidRDefault="00451BD8" w:rsidP="00451BD8">
      <w:pPr>
        <w:spacing w:after="240" w:line="360" w:lineRule="auto"/>
        <w:jc w:val="both"/>
      </w:pPr>
      <w:r w:rsidRPr="007F4DDC">
        <w:t xml:space="preserve">We then investigated the link between geometric effects and </w:t>
      </w:r>
      <w:proofErr w:type="spellStart"/>
      <w:r>
        <w:t>eRIDE</w:t>
      </w:r>
      <w:proofErr w:type="spellEnd"/>
      <w:r>
        <w:t xml:space="preserve"> </w:t>
      </w:r>
      <w:r w:rsidRPr="007F4DDC">
        <w:t>in a reduced complexity system, by examining a single shape of increasing “shape complexity”. Shape area was kept constant while complexity was altere</w:t>
      </w:r>
      <w:bookmarkStart w:id="2" w:name="_GoBack"/>
      <w:bookmarkEnd w:id="2"/>
      <w:r w:rsidRPr="007F4DDC">
        <w:t xml:space="preserve">d by varying petal number and wave amplitude of De Broglie’s circles (Figure </w:t>
      </w:r>
      <w:r>
        <w:t>7</w:t>
      </w:r>
      <w:r w:rsidRPr="007F4DDC">
        <w:t>a). “Core habitat” was defined as the proportion of the area of the total shape that was contained within the largest circle that could fall entirely within the generated shape</w:t>
      </w:r>
      <w:r>
        <w:t xml:space="preserve"> (which for de Broglie’s </w:t>
      </w:r>
      <w:proofErr w:type="spellStart"/>
      <w:r>
        <w:t>cirlces</w:t>
      </w:r>
      <w:proofErr w:type="spellEnd"/>
      <w:r>
        <w:t xml:space="preserve"> has its centre in the centre of the defined shape)</w:t>
      </w:r>
      <w:r w:rsidRPr="007F4DDC">
        <w:t xml:space="preserve">. The definition of solidity for this analysis </w:t>
      </w:r>
      <w:r>
        <w:t>was modified to be the</w:t>
      </w:r>
      <w:r w:rsidRPr="007F4DDC">
        <w:t xml:space="preserve"> proportion of the smallest circle that entirely enclosed the defined shape (circular convex hull) that was occupied by the defined shape. As shape area was fixed, </w:t>
      </w:r>
      <w:proofErr w:type="spellStart"/>
      <w:r>
        <w:t>eRIDE</w:t>
      </w:r>
      <w:proofErr w:type="spellEnd"/>
      <w:r>
        <w:t xml:space="preserve"> </w:t>
      </w:r>
      <w:r w:rsidRPr="007F4DDC">
        <w:t xml:space="preserve">values were directly proportional to the shape’s total perimeter. </w:t>
      </w:r>
      <w:commentRangeStart w:id="3"/>
      <w:r w:rsidRPr="007F4DDC">
        <w:t>Using these definitions, solidity and core habitat demonstrate</w:t>
      </w:r>
      <w:r>
        <w:t>d</w:t>
      </w:r>
      <w:r w:rsidRPr="007F4DDC">
        <w:t xml:space="preserve"> a strong correlation which is independent of </w:t>
      </w:r>
      <w:r>
        <w:t xml:space="preserve">changes in </w:t>
      </w:r>
      <w:r w:rsidRPr="007F4DDC">
        <w:t xml:space="preserve">shape (Figure </w:t>
      </w:r>
      <w:r>
        <w:t>7</w:t>
      </w:r>
      <w:r w:rsidRPr="007F4DDC">
        <w:t xml:space="preserve">b), </w:t>
      </w:r>
      <w:commentRangeEnd w:id="3"/>
      <w:r>
        <w:rPr>
          <w:rStyle w:val="CommentReference"/>
        </w:rPr>
        <w:commentReference w:id="3"/>
      </w:r>
      <w:r w:rsidRPr="007F4DDC">
        <w:t xml:space="preserve">showing that solidity is a good summary statistic for the proportion of core habitat </w:t>
      </w:r>
      <w:r>
        <w:t>in</w:t>
      </w:r>
      <w:r w:rsidRPr="007F4DDC">
        <w:t xml:space="preserve"> simple habitat shapes.  Increasing wave amplitude and petal number resulted in decreased shape solidity. Solidity demonstrated a strong negative correlation with </w:t>
      </w:r>
      <w:proofErr w:type="spellStart"/>
      <w:r>
        <w:t>eRIDE</w:t>
      </w:r>
      <w:proofErr w:type="spellEnd"/>
      <w:r w:rsidRPr="007F4DDC">
        <w:t xml:space="preserve"> (Figure </w:t>
      </w:r>
      <w:r>
        <w:t>7</w:t>
      </w:r>
      <w:r w:rsidRPr="007F4DDC">
        <w:t>c).</w:t>
      </w:r>
    </w:p>
    <w:p w:rsidR="00B17C39" w:rsidRDefault="00B17C39"/>
    <w:sectPr w:rsidR="00B1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lkinson, David" w:date="2017-02-03T12:41:00Z" w:initials="WD">
    <w:p w:rsidR="00451BD8" w:rsidRDefault="00451BD8">
      <w:pPr>
        <w:pStyle w:val="CommentText"/>
      </w:pPr>
      <w:r>
        <w:rPr>
          <w:rStyle w:val="CommentReference"/>
        </w:rPr>
        <w:annotationRef/>
      </w:r>
      <w:r>
        <w:t>This bit.</w:t>
      </w:r>
    </w:p>
  </w:comment>
  <w:comment w:id="1" w:author="Wilkinson, David" w:date="2017-02-03T12:41:00Z" w:initials="WD">
    <w:p w:rsidR="00451BD8" w:rsidRDefault="00451BD8">
      <w:pPr>
        <w:pStyle w:val="CommentText"/>
      </w:pPr>
      <w:r>
        <w:rPr>
          <w:rStyle w:val="CommentReference"/>
        </w:rPr>
        <w:annotationRef/>
      </w:r>
      <w:r>
        <w:t>This bit.</w:t>
      </w:r>
    </w:p>
  </w:comment>
  <w:comment w:id="3" w:author="Wilkinson, David" w:date="2017-02-03T12:41:00Z" w:initials="WD">
    <w:p w:rsidR="00451BD8" w:rsidRDefault="00451BD8">
      <w:pPr>
        <w:pStyle w:val="CommentText"/>
      </w:pPr>
      <w:r>
        <w:rPr>
          <w:rStyle w:val="CommentReference"/>
        </w:rPr>
        <w:annotationRef/>
      </w:r>
      <w:r>
        <w:t>This bit.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D8"/>
    <w:rsid w:val="00451BD8"/>
    <w:rsid w:val="00B1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Wilkinson, David</dc:creator>
  <cp:lastModifiedBy>Wilkinson, David</cp:lastModifiedBy>
  <cp:revision>1</cp:revision>
  <dcterms:created xsi:type="dcterms:W3CDTF">2017-02-02T23:41:00Z</dcterms:created>
  <dcterms:modified xsi:type="dcterms:W3CDTF">2017-02-02T23:42:00Z</dcterms:modified>
</cp:coreProperties>
</file>