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Quantitative Modeling of Tennis Hall of Fame Eligibility</w:t>
      </w:r>
    </w:p>
    <w:p>
      <w:pPr>
        <w:jc w:val="center"/>
      </w:pPr>
      <w:r>
        <w:t>Independent Academic Research Project Brief - Version 0.2</w:t>
      </w:r>
    </w:p>
    <w:p>
      <w:pPr>
        <w:jc w:val="center"/>
      </w:pPr>
      <w:r>
        <w:rPr>
          <w:i/>
        </w:rPr>
        <w:t>Prepared as background for a University of Chicago student research team with faculty guidance | October 2026</w:t>
      </w:r>
    </w:p>
    <w:tbl>
      <w:tblPr>
        <w:tblStyle w:val="TableGrid"/>
        <w:tblW w:type="auto" w:w="0"/>
        <w:jc w:val="center"/>
        <w:tblLook w:firstColumn="1" w:firstRow="1" w:lastColumn="0" w:lastRow="0" w:noHBand="0" w:noVBand="1" w:val="04A0"/>
      </w:tblPr>
      <w:tblGrid>
        <w:gridCol w:w="9994"/>
      </w:tblGrid>
      <w:tr>
        <w:tc>
          <w:tcPr>
            <w:tcW w:type="dxa" w:w="9994"/>
            <w:shd w:fill="E9EEF5"/>
            <w:vAlign w:val="center"/>
          </w:tcPr>
          <w:p>
            <w:pPr>
              <w:jc w:val="center"/>
            </w:pPr>
            <w:r>
              <w:rPr>
                <w:b/>
                <w:sz w:val="22"/>
              </w:rPr>
              <w:t>CORE RESEARCH QUESTION</w:t>
            </w:r>
          </w:p>
          <w:p>
            <w:pPr>
              <w:jc w:val="center"/>
            </w:pPr>
            <w:r>
              <w:rPr>
                <w:b/>
                <w:sz w:val="24"/>
              </w:rPr>
              <w:t>Can a transparent, statistically defensible framework determine whether a player's actual competitive career achievements meet a Hall-of-Fame-caliber standard?</w:t>
            </w:r>
          </w:p>
          <w:p>
            <w:pPr>
              <w:jc w:val="center"/>
            </w:pPr>
            <w:r>
              <w:rPr>
                <w:i/>
              </w:rPr>
              <w:t>The project is not intended to rank the GOAT, reward hypothetical injury-free careers, or reproduce prior Hall voting decisions.</w:t>
            </w:r>
          </w:p>
        </w:tc>
      </w:tr>
    </w:tbl>
    <w:p>
      <w:pPr>
        <w:pStyle w:val="Heading1"/>
      </w:pPr>
      <w:r>
        <w:t>1. Project Status and Independence</w:t>
      </w:r>
    </w:p>
    <w:p>
      <w:r>
        <w:t>This is intended to be an independent academic research project conducted by University of Chicago students with meaningful faculty methodological guidance. It is not, at this stage, an International Tennis Hall of Fame (ITHF) initiative, commissioned study, or endorsed methodology.</w:t>
      </w:r>
    </w:p>
    <w:p>
      <w:r>
        <w:t>Tennis experts and Hall personnel may provide factual and historical context. The research team should remain free to reject the preliminary framework, choose different variables or methods, and reach conclusions that differ from the working hypotheses in the accompanying paper.</w:t>
      </w:r>
    </w:p>
    <w:p>
      <w:pPr>
        <w:pStyle w:val="Heading1"/>
      </w:pPr>
      <w:r>
        <w:t>2. Research Scope: Singles and the Open Era</w:t>
      </w:r>
    </w:p>
    <w:p>
      <w:pPr/>
      <w:r>
        <w:t>For a singles-focused player with noteworthy doubles achievements, doubles results may be retained as contextual or exploratory data if the research team believes they could add independent information. They should not, however, redefine the primary outcome being studied: singles Hall eligibility.</w:t>
      </w:r>
    </w:p>
    <w:p>
      <w:pPr/>
      <w:r>
        <w:t>The principal historical universe is the Open Era, beginning in 1968. Researchers should also recognize an important data-availability breakpoint: the ATP era begins in 1972 and the WTA was founded in 1973, after which systematic tracking of tour-level results generally becomes more complete. The appropriate treatment of 1968-71 should be determined by the research team after a data audit rather than assumed in advance.</w:t>
      </w:r>
    </w:p>
    <w:p>
      <w:pPr/>
      <w:r>
        <w:t>The primary research target is Hall-caliber achievement in SINGLES. The development population should therefore focus on players whose significant competitive results were primarily in singles. Doubles specialists and uniquely accomplished doubles teams are outside the primary scope and may warrant a separate future research project.</w:t>
      </w:r>
    </w:p>
    <w:p>
      <w:pPr>
        <w:pStyle w:val="Heading1"/>
      </w:pPr>
      <w:r>
        <w:t>3. Why This Question Is Interesting</w:t>
      </w:r>
    </w:p>
    <w:p>
      <w:r>
        <w:t>Hall-of-Fame careers come in different shapes. Some players accumulate long periods of elite performance; some win multiple majors; some have brief but historically exceptional peaks; some perform unusually well against elite opponents; and some compile strong careers without ever winning a major. Conventional statistics can also change meaning across eras as tournament participation, surfaces, ranking systems, tour structures, and field strength change.</w:t>
      </w:r>
    </w:p>
    <w:p>
      <w:r>
        <w:t>The research opportunity is to determine whether those different career shapes can be evaluated within one coherent, reproducible framework without reducing the exercise to a subjective debate or a single conventional statistic such as major titles.</w:t>
      </w:r>
    </w:p>
    <w:p>
      <w:pPr>
        <w:pStyle w:val="Heading1"/>
      </w:pPr>
      <w:r>
        <w:t>4. What Is Being Measured - and What Is Not</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E9EEF5"/>
          </w:tcPr>
          <w:p>
            <w:r>
              <w:t>In scope</w:t>
            </w:r>
          </w:p>
        </w:tc>
        <w:tc>
          <w:tcPr>
            <w:tcW w:type="dxa" w:w="4997"/>
            <w:shd w:fill="E9EEF5"/>
          </w:tcPr>
          <w:p>
            <w:r>
              <w:t>Not the target</w:t>
            </w:r>
          </w:p>
        </w:tc>
      </w:tr>
      <w:tr>
        <w:tc>
          <w:tcPr>
            <w:tcW w:type="dxa" w:w="4997"/>
          </w:tcPr>
          <w:p>
            <w:r>
              <w:t>Actual competitive career achievement</w:t>
            </w:r>
          </w:p>
        </w:tc>
        <w:tc>
          <w:tcPr>
            <w:tcW w:type="dxa" w:w="4997"/>
          </w:tcPr>
          <w:p>
            <w:r>
              <w:t>Greatest player of all time ranking</w:t>
            </w:r>
          </w:p>
        </w:tc>
      </w:tr>
      <w:tr>
        <w:tc>
          <w:tcPr>
            <w:tcW w:type="dxa" w:w="4997"/>
          </w:tcPr>
          <w:p>
            <w:r>
              <w:t>Evidence of Hall-caliber performance across potentially different career shapes</w:t>
            </w:r>
          </w:p>
        </w:tc>
        <w:tc>
          <w:tcPr>
            <w:tcW w:type="dxa" w:w="4997"/>
          </w:tcPr>
          <w:p>
            <w:r>
              <w:t>A pure peak-performance ranking</w:t>
            </w:r>
          </w:p>
        </w:tc>
      </w:tr>
      <w:tr>
        <w:tc>
          <w:tcPr>
            <w:tcW w:type="dxa" w:w="4997"/>
          </w:tcPr>
          <w:p>
            <w:r>
              <w:t>Observed results, opponent quality, ranking and tournament achievement</w:t>
            </w:r>
          </w:p>
        </w:tc>
        <w:tc>
          <w:tcPr>
            <w:tcW w:type="dxa" w:w="4997"/>
          </w:tcPr>
          <w:p>
            <w:r>
              <w:t>Counterfactual results a player might have achieved without injury</w:t>
            </w:r>
          </w:p>
        </w:tc>
      </w:tr>
      <w:tr>
        <w:tc>
          <w:tcPr>
            <w:tcW w:type="dxa" w:w="4997"/>
          </w:tcPr>
          <w:p>
            <w:r>
              <w:t>Transparent treatment of historical context where the data supports it</w:t>
            </w:r>
          </w:p>
        </w:tc>
        <w:tc>
          <w:tcPr>
            <w:tcW w:type="dxa" w:w="4997"/>
          </w:tcPr>
          <w:p>
            <w:r>
              <w:t>Popularity, nationality, celebrity, cultural impact or personal preference</w:t>
            </w:r>
          </w:p>
        </w:tc>
      </w:tr>
      <w:tr>
        <w:tc>
          <w:tcPr>
            <w:tcW w:type="dxa" w:w="4997"/>
          </w:tcPr>
          <w:p>
            <w:r>
              <w:t>Robustness: whether a conclusion survives reasonable alternative specifications</w:t>
            </w:r>
          </w:p>
        </w:tc>
        <w:tc>
          <w:tcPr>
            <w:tcW w:type="dxa" w:w="4997"/>
          </w:tcPr>
          <w:p>
            <w:r>
              <w:t>A formula designed to reproduce every historical Hall decision</w:t>
            </w:r>
          </w:p>
        </w:tc>
      </w:tr>
    </w:tbl>
    <w:p>
      <w:pPr>
        <w:pStyle w:val="Heading1"/>
      </w:pPr>
      <w:r>
        <w:t>5. Starting Hypothesis - Not an Assignment to Validate</w:t>
      </w:r>
    </w:p>
    <w:p>
      <w:r>
        <w:t>A preliminary working paper identified six possible dimensions and illustrated them with a 100-point allocation. Treat that framework as a hypothesis generated before the academic analysis, not as the desired answer. The team should test whether these dimensions are distinct, whether important dimensions are missing, whether some should be combined, and whether a 100-point index is even the best final representation.</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E9EEF5"/>
          </w:tcPr>
          <w:p>
            <w:r>
              <w:t>Working dimension</w:t>
            </w:r>
          </w:p>
        </w:tc>
        <w:tc>
          <w:tcPr>
            <w:tcW w:type="dxa" w:w="3331"/>
            <w:shd w:fill="E9EEF5"/>
          </w:tcPr>
          <w:p>
            <w:r>
              <w:t>Illustrative starting weight</w:t>
            </w:r>
          </w:p>
        </w:tc>
        <w:tc>
          <w:tcPr>
            <w:tcW w:type="dxa" w:w="3331"/>
            <w:shd w:fill="E9EEF5"/>
          </w:tcPr>
          <w:p>
            <w:r>
              <w:t>Examples of candidate inputs</w:t>
            </w:r>
          </w:p>
        </w:tc>
      </w:tr>
      <w:tr>
        <w:tc>
          <w:tcPr>
            <w:tcW w:type="dxa" w:w="3331"/>
          </w:tcPr>
          <w:p>
            <w:r>
              <w:t>Career performance</w:t>
            </w:r>
          </w:p>
        </w:tc>
        <w:tc>
          <w:tcPr>
            <w:tcW w:type="dxa" w:w="3331"/>
          </w:tcPr>
          <w:p>
            <w:r>
              <w:t>25</w:t>
            </w:r>
          </w:p>
        </w:tc>
        <w:tc>
          <w:tcPr>
            <w:tcW w:type="dxa" w:w="3331"/>
          </w:tcPr>
          <w:p>
            <w:r>
              <w:t>Career W%; era/strength-adjusted W%; consistency</w:t>
            </w:r>
          </w:p>
        </w:tc>
      </w:tr>
      <w:tr>
        <w:tc>
          <w:tcPr>
            <w:tcW w:type="dxa" w:w="3331"/>
          </w:tcPr>
          <w:p>
            <w:r>
              <w:t>Major performance</w:t>
            </w:r>
          </w:p>
        </w:tc>
        <w:tc>
          <w:tcPr>
            <w:tcW w:type="dxa" w:w="3331"/>
          </w:tcPr>
          <w:p>
            <w:r>
              <w:t>25</w:t>
            </w:r>
          </w:p>
        </w:tc>
        <w:tc>
          <w:tcPr>
            <w:tcW w:type="dxa" w:w="3331"/>
          </w:tcPr>
          <w:p>
            <w:r>
              <w:t>Titles; finals/SF/QF depth; major-match W%; field strength</w:t>
            </w:r>
          </w:p>
        </w:tc>
      </w:tr>
      <w:tr>
        <w:tc>
          <w:tcPr>
            <w:tcW w:type="dxa" w:w="3331"/>
          </w:tcPr>
          <w:p>
            <w:r>
              <w:t>Ranking excellence</w:t>
            </w:r>
          </w:p>
        </w:tc>
        <w:tc>
          <w:tcPr>
            <w:tcW w:type="dxa" w:w="3331"/>
          </w:tcPr>
          <w:p>
            <w:r>
              <w:t>20</w:t>
            </w:r>
          </w:p>
        </w:tc>
        <w:tc>
          <w:tcPr>
            <w:tcW w:type="dxa" w:w="3331"/>
          </w:tcPr>
          <w:p>
            <w:r>
              <w:t>Peak rank; weeks No. 1; Top-5/Top-10 duration; year-end rank</w:t>
            </w:r>
          </w:p>
        </w:tc>
      </w:tr>
      <w:tr>
        <w:tc>
          <w:tcPr>
            <w:tcW w:type="dxa" w:w="3331"/>
          </w:tcPr>
          <w:p>
            <w:r>
              <w:t>Tournament achievement</w:t>
            </w:r>
          </w:p>
        </w:tc>
        <w:tc>
          <w:tcPr>
            <w:tcW w:type="dxa" w:w="3331"/>
          </w:tcPr>
          <w:p>
            <w:r>
              <w:t>15</w:t>
            </w:r>
          </w:p>
        </w:tc>
        <w:tc>
          <w:tcPr>
            <w:tcW w:type="dxa" w:w="3331"/>
          </w:tcPr>
          <w:p>
            <w:r>
              <w:t>Tour titles; title rate; Masters/equivalent events; tour context</w:t>
            </w:r>
          </w:p>
        </w:tc>
      </w:tr>
      <w:tr>
        <w:tc>
          <w:tcPr>
            <w:tcW w:type="dxa" w:w="3331"/>
          </w:tcPr>
          <w:p>
            <w:r>
              <w:t>Elite-opponent performance</w:t>
            </w:r>
          </w:p>
        </w:tc>
        <w:tc>
          <w:tcPr>
            <w:tcW w:type="dxa" w:w="3331"/>
          </w:tcPr>
          <w:p>
            <w:r>
              <w:t>10</w:t>
            </w:r>
          </w:p>
        </w:tc>
        <w:tc>
          <w:tcPr>
            <w:tcW w:type="dxa" w:w="3331"/>
          </w:tcPr>
          <w:p>
            <w:r>
              <w:t>Record vs Top 10/Top 5/No. 1; opponent strength; schedule strength</w:t>
            </w:r>
          </w:p>
        </w:tc>
      </w:tr>
      <w:tr>
        <w:tc>
          <w:tcPr>
            <w:tcW w:type="dxa" w:w="3331"/>
          </w:tcPr>
          <w:p>
            <w:r>
              <w:t>Peak performance</w:t>
            </w:r>
          </w:p>
        </w:tc>
        <w:tc>
          <w:tcPr>
            <w:tcW w:type="dxa" w:w="3331"/>
          </w:tcPr>
          <w:p>
            <w:r>
              <w:t>5</w:t>
            </w:r>
          </w:p>
        </w:tc>
        <w:tc>
          <w:tcPr>
            <w:tcW w:type="dxa" w:w="3331"/>
          </w:tcPr>
          <w:p>
            <w:r>
              <w:t>Best 1-, 3-, 5-year windows; peak rating/Elo; peak dominance</w:t>
            </w:r>
          </w:p>
        </w:tc>
      </w:tr>
    </w:tbl>
    <w:p>
      <w:pPr>
        <w:pStyle w:val="Heading1"/>
      </w:pPr>
      <w:r>
        <w:t>6. Key Research Problems</w:t>
      </w:r>
    </w:p>
    <w:p>
      <w:r>
        <w:rPr>
          <w:b/>
        </w:rPr>
        <w:t xml:space="preserve">Construct validity: </w:t>
      </w:r>
      <w:r>
        <w:t>What combination of observed statistics best represents Hall-caliber competitive achievement? Is a single index appropriate, or is an eligibility band/probability/stability measure more defensible?</w:t>
      </w:r>
    </w:p>
    <w:p>
      <w:r>
        <w:rPr>
          <w:b/>
        </w:rPr>
        <w:t xml:space="preserve">Granularity vs. double counting: </w:t>
      </w:r>
      <w:r>
        <w:t>Should career W%, major W%, Masters-level W%, peak-period W% and elite-opponent W% all enter? Which add independent information and which mostly restate the same underlying performance?</w:t>
      </w:r>
    </w:p>
    <w:p>
      <w:r>
        <w:rPr>
          <w:b/>
        </w:rPr>
        <w:t xml:space="preserve">Peak vs. longevity: </w:t>
      </w:r>
      <w:r>
        <w:t>How should an extraordinary short peak be compared with sustained excellence? Test one-, three- and five-year windows rather than assuming one definition of peak.</w:t>
      </w:r>
    </w:p>
    <w:p>
      <w:r>
        <w:rPr>
          <w:b/>
        </w:rPr>
        <w:t xml:space="preserve">Era and opponent strength: </w:t>
      </w:r>
      <w:r>
        <w:t>Do Elo, strength of schedule, field strength or other opponent-adjusted measures materially improve comparisons across periods? Treat this as an empirical question, not a predetermined era bonus.</w:t>
      </w:r>
    </w:p>
    <w:p>
      <w:r>
        <w:rPr>
          <w:b/>
        </w:rPr>
        <w:t xml:space="preserve">Tournament value over time: </w:t>
      </w:r>
      <w:r>
        <w:t>The Australian Open and, at times, Roland Garros did not always attract the same proportion of leading players. Tour Finals/Masters events also changed importance. Can field quality or participation be measured rather than assigned subjectively?</w:t>
      </w:r>
    </w:p>
    <w:p>
      <w:r>
        <w:rPr>
          <w:b/>
        </w:rPr>
        <w:t xml:space="preserve">Ranking timing: </w:t>
      </w:r>
      <w:r>
        <w:t>A career-high ranking is partly conditional on contemporaries. Can rating/opponent-strength information distinguish ranking achievement from the competitive environment without simply declaring one era stronger?</w:t>
      </w:r>
    </w:p>
    <w:p>
      <w:r>
        <w:rPr>
          <w:b/>
        </w:rPr>
        <w:t xml:space="preserve">Head-to-head timing: </w:t>
      </w:r>
      <w:r>
        <w:t>Raw H2H can be distorted when primes do not overlap. Explore age/prime-overlap or rating-at-match approaches and compare them with raw H2H.</w:t>
      </w:r>
    </w:p>
    <w:p>
      <w:r>
        <w:rPr>
          <w:b/>
        </w:rPr>
        <w:t xml:space="preserve">Historical comparability: </w:t>
      </w:r>
      <w:r>
        <w:t>How should changes in surfaces, ranking systems, tour structure, travel and event status be handled? When data is unavailable, prefer explicit missingness/limited comparability over invented proxies.</w:t>
      </w:r>
    </w:p>
    <w:p>
      <w:r>
        <w:rPr>
          <w:b/>
        </w:rPr>
        <w:t xml:space="preserve">Threshold discovery: </w:t>
      </w:r>
      <w:r>
        <w:t>Does the player population exhibit a stable Hall-caliber boundary or cluster? Do not choose the cutoff first and fit the model to it.</w:t>
      </w:r>
    </w:p>
    <w:p>
      <w:r>
        <w:rPr>
          <w:b/>
        </w:rPr>
        <w:t xml:space="preserve">Robustness: </w:t>
      </w:r>
      <w:r>
        <w:t>How often does a player qualify under reasonable alternative specifications? A stability measure may be more informative than a brittle single score.</w:t>
      </w:r>
    </w:p>
    <w:p>
      <w:pPr>
        <w:pStyle w:val="Heading1"/>
      </w:pPr>
      <w:r>
        <w:t>7. Injury: Proposed Research Treatment</w:t>
      </w:r>
    </w:p>
    <w:p>
      <w:r>
        <w:t>The working principle is to measure accomplishments, not counterfactuals. An injury should not itself create bonus points for what a player might have achieved. At the same time, a short career should not be mechanically penalized twice if its actual peak, major results, elite-opponent performance and other achievements independently demonstrate exceptional quality. The team should test whether the observed data can recognize such careers without an injury variable.</w:t>
      </w:r>
    </w:p>
    <w:p>
      <w:pPr>
        <w:pStyle w:val="Heading1"/>
      </w:pPr>
      <w:r>
        <w:t>8. Candidate Data Architecture</w:t>
      </w:r>
    </w:p>
    <w:p>
      <w:r>
        <w:t>Preserve raw data and provenance first; derive scores only afterward. A useful master dataset would include player-level, season-level and, where feasible, match-level information.</w:t>
      </w:r>
    </w:p>
    <w:p>
      <w:pPr>
        <w:pStyle w:val="ListBullet"/>
      </w:pPr>
      <w:r>
        <w:t>Primary singles-career scope flag; Open Era eligibility; data-coverage period (1968-71 vs. ATP/WTA-era coverage).</w:t>
      </w:r>
    </w:p>
    <w:p>
      <w:pPr>
        <w:pStyle w:val="ListBullet"/>
      </w:pPr>
      <w:r>
        <w:t>Player identifiers, gender, career span and birth year/age by season.</w:t>
      </w:r>
    </w:p>
    <w:p>
      <w:pPr>
        <w:pStyle w:val="ListBullet"/>
      </w:pPr>
      <w:r>
        <w:t>Career and season match W-L records and winning percentages.</w:t>
      </w:r>
    </w:p>
    <w:p>
      <w:pPr>
        <w:pStyle w:val="ListBullet"/>
      </w:pPr>
      <w:r>
        <w:t>Major-by-major results: titles, finals, semifinals, quarterfinals, match W-L and participation.</w:t>
      </w:r>
    </w:p>
    <w:p>
      <w:pPr>
        <w:pStyle w:val="ListBullet"/>
      </w:pPr>
      <w:r>
        <w:t>Tour titles, events entered and tournament tier/status where historically defensible.</w:t>
      </w:r>
    </w:p>
    <w:p>
      <w:pPr>
        <w:pStyle w:val="ListBullet"/>
      </w:pPr>
      <w:r>
        <w:t>Masters 1000 results and appropriate historical predecessor/equivalent events, with an explicit comparability rule.</w:t>
      </w:r>
    </w:p>
    <w:p>
      <w:pPr>
        <w:pStyle w:val="ListBullet"/>
      </w:pPr>
      <w:r>
        <w:t>Career-high ranking; weeks at No. 1; Top-5/Top-10 weeks or seasons; year-end rankings.</w:t>
      </w:r>
    </w:p>
    <w:p>
      <w:pPr>
        <w:pStyle w:val="ListBullet"/>
      </w:pPr>
      <w:r>
        <w:t>Records against Top-10, Top-5 and No. 1 opponents, ideally with match date and opponent ranking/rating.</w:t>
      </w:r>
    </w:p>
    <w:p>
      <w:pPr>
        <w:pStyle w:val="ListBullet"/>
      </w:pPr>
      <w:r>
        <w:t>Best 1-, 3- and 5-year windows for W%, ranking and/or rating.</w:t>
      </w:r>
    </w:p>
    <w:p>
      <w:pPr>
        <w:pStyle w:val="ListBullet"/>
      </w:pPr>
      <w:r>
        <w:t>Surface splits and tournament-surface mix.</w:t>
      </w:r>
    </w:p>
    <w:p>
      <w:pPr>
        <w:pStyle w:val="ListBullet"/>
      </w:pPr>
      <w:r>
        <w:t>Elo or another reproducible opponent-strength rating if historical coverage is adequate.</w:t>
      </w:r>
    </w:p>
    <w:p>
      <w:pPr>
        <w:pStyle w:val="ListBullet"/>
      </w:pPr>
      <w:r>
        <w:t>Field-strength indicators for important tournaments where reconstructable.</w:t>
      </w:r>
    </w:p>
    <w:p>
      <w:pPr>
        <w:pStyle w:val="ListBullet"/>
      </w:pPr>
      <w:r>
        <w:t>Hall status and induction year stored as validation metadata and hidden from unsupervised/blind model construction where appropriate.</w:t>
      </w:r>
    </w:p>
    <w:p>
      <w:pPr>
        <w:pStyle w:val="ListBullet"/>
      </w:pPr>
      <w:r>
        <w:t>Source URL/reference, extraction date, definition and quality flag for each variable or source family.</w:t>
      </w:r>
    </w:p>
    <w:p>
      <w:pPr>
        <w:pStyle w:val="Heading1"/>
      </w:pPr>
      <w:r>
        <w:t>9. Suggested Population and Pre-Specified Stress Tests</w:t>
      </w:r>
    </w:p>
    <w:p>
      <w:r>
        <w:t>Within the defined singles scope, the model should ultimately evaluate all eligible players under the same construct. Development should use a broad Open Era population rather than a hand-picked set of borderline cases. The research team should determine whether the 1968-71 period can be integrated directly with the better-documented ATP/WTA era or requires separate treatment.</w:t>
      </w:r>
    </w:p>
    <w:p>
      <w:r>
        <w:t>The following names are useful pre-specified stress tests because each exposes a methodological issue. They are not desired model outcomes: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E9EEF5"/>
          </w:tcPr>
          <w:p>
            <w:r>
              <w:t>Career</w:t>
            </w:r>
          </w:p>
        </w:tc>
        <w:tc>
          <w:tcPr>
            <w:tcW w:type="dxa" w:w="4997"/>
            <w:shd w:fill="E9EEF5"/>
          </w:tcPr>
          <w:p>
            <w:r>
              <w:t>Question exposed</w:t>
            </w:r>
          </w:p>
        </w:tc>
      </w:tr>
      <w:tr>
        <w:tc>
          <w:tcPr>
            <w:tcW w:type="dxa" w:w="4997"/>
          </w:tcPr>
          <w:p>
            <w:r>
              <w:t>Juan Martin del Potro</w:t>
            </w:r>
          </w:p>
        </w:tc>
        <w:tc>
          <w:tcPr>
            <w:tcW w:type="dxa" w:w="4997"/>
          </w:tcPr>
          <w:p>
            <w:r>
              <w:t>High-quality, injury-limited career; comparison with Hall-caliber peers such as Roddick/Stich.</w:t>
            </w:r>
          </w:p>
        </w:tc>
      </w:tr>
      <w:tr>
        <w:tc>
          <w:tcPr>
            <w:tcW w:type="dxa" w:w="4997"/>
          </w:tcPr>
          <w:p>
            <w:r>
              <w:t>Andy Roddick / Michael Stich</w:t>
            </w:r>
          </w:p>
        </w:tc>
        <w:tc>
          <w:tcPr>
            <w:tcW w:type="dxa" w:w="4997"/>
          </w:tcPr>
          <w:p>
            <w:r>
              <w:t>Different mixes of consistency, ranking and major depth; useful peer anchors.</w:t>
            </w:r>
          </w:p>
        </w:tc>
      </w:tr>
      <w:tr>
        <w:tc>
          <w:tcPr>
            <w:tcW w:type="dxa" w:w="4997"/>
          </w:tcPr>
          <w:p>
            <w:r>
              <w:t>Vitas Gerulaitis / Brian Gottfried</w:t>
            </w:r>
          </w:p>
        </w:tc>
        <w:tc>
          <w:tcPr>
            <w:tcW w:type="dxa" w:w="4997"/>
          </w:tcPr>
          <w:p>
            <w:r>
              <w:t>Tests whether reputation/emotion aligns with statistical career similarity.</w:t>
            </w:r>
          </w:p>
        </w:tc>
      </w:tr>
      <w:tr>
        <w:tc>
          <w:tcPr>
            <w:tcW w:type="dxa" w:w="4997"/>
          </w:tcPr>
          <w:p>
            <w:r>
              <w:t>Tracy Austin / Maureen Connolly</w:t>
            </w:r>
          </w:p>
        </w:tc>
        <w:tc>
          <w:tcPr>
            <w:tcW w:type="dxa" w:w="4997"/>
          </w:tcPr>
          <w:p>
            <w:r>
              <w:t>Tests whether extraordinary peak achievement can be recognized without injury or counterfactual bonuses.</w:t>
            </w:r>
          </w:p>
        </w:tc>
      </w:tr>
      <w:tr>
        <w:tc>
          <w:tcPr>
            <w:tcW w:type="dxa" w:w="4997"/>
          </w:tcPr>
          <w:p>
            <w:r>
              <w:t>John McEnroe (especially 1984)</w:t>
            </w:r>
          </w:p>
        </w:tc>
        <w:tc>
          <w:tcPr>
            <w:tcW w:type="dxa" w:w="4997"/>
          </w:tcPr>
          <w:p>
            <w:r>
              <w:t>Tests how GOAT-level peak should coexist with lower major accumulation than some peers.</w:t>
            </w:r>
          </w:p>
        </w:tc>
      </w:tr>
      <w:tr>
        <w:tc>
          <w:tcPr>
            <w:tcW w:type="dxa" w:w="4997"/>
          </w:tcPr>
          <w:p>
            <w:r>
              <w:t>Thomas Muster</w:t>
            </w:r>
          </w:p>
        </w:tc>
        <w:tc>
          <w:tcPr>
            <w:tcW w:type="dxa" w:w="4997"/>
          </w:tcPr>
          <w:p>
            <w:r>
              <w:t>Tests concentrated dominance, titles, No. 1 ranking and surface-heavy peak.</w:t>
            </w:r>
          </w:p>
        </w:tc>
      </w:tr>
      <w:tr>
        <w:tc>
          <w:tcPr>
            <w:tcW w:type="dxa" w:w="4997"/>
          </w:tcPr>
          <w:p>
            <w:r>
              <w:t>David Ferrer</w:t>
            </w:r>
          </w:p>
        </w:tc>
        <w:tc>
          <w:tcPr>
            <w:tcW w:type="dxa" w:w="4997"/>
          </w:tcPr>
          <w:p>
            <w:r>
              <w:t>Tests whether sustained elite achievement without a major can ever clear a Hall standard.</w:t>
            </w:r>
          </w:p>
        </w:tc>
      </w:tr>
      <w:tr>
        <w:tc>
          <w:tcPr>
            <w:tcW w:type="dxa" w:w="4997"/>
          </w:tcPr>
          <w:p>
            <w:r>
              <w:t>Marat Safin</w:t>
            </w:r>
          </w:p>
        </w:tc>
        <w:tc>
          <w:tcPr>
            <w:tcW w:type="dxa" w:w="4997"/>
          </w:tcPr>
          <w:p>
            <w:r>
              <w:t>Tests multiple majors/high ceiling against lower career consistency.</w:t>
            </w:r>
          </w:p>
        </w:tc>
      </w:tr>
      <w:tr>
        <w:tc>
          <w:tcPr>
            <w:tcW w:type="dxa" w:w="4997"/>
          </w:tcPr>
          <w:p>
            <w:r>
              <w:t>Lleyton Hewitt / Roddick / del Potro</w:t>
            </w:r>
          </w:p>
        </w:tc>
        <w:tc>
          <w:tcPr>
            <w:tcW w:type="dxa" w:w="4997"/>
          </w:tcPr>
          <w:p>
            <w:r>
              <w:t>Tests ranking timing and competitive-environment questions.</w:t>
            </w:r>
          </w:p>
        </w:tc>
      </w:tr>
      <w:tr>
        <w:tc>
          <w:tcPr>
            <w:tcW w:type="dxa" w:w="4997"/>
          </w:tcPr>
          <w:p>
            <w:r>
              <w:t>Sampras / Agassi; Evert / Navratilova</w:t>
            </w:r>
          </w:p>
        </w:tc>
        <w:tc>
          <w:tcPr>
            <w:tcW w:type="dxa" w:w="4997"/>
          </w:tcPr>
          <w:p>
            <w:r>
              <w:t>Near-age, overlapping-prime H2H examples for testing whether adjusted H2H adds information.</w:t>
            </w:r>
          </w:p>
        </w:tc>
      </w:tr>
    </w:tbl>
    <w:p>
      <w:pPr>
        <w:pStyle w:val="Heading1"/>
      </w:pPr>
      <w:r>
        <w:t>10. Methods Worth Considering - Not Required</w:t>
      </w:r>
    </w:p>
    <w:p>
      <w:r>
        <w:t>The faculty/student team should choose methods based on the research question. The following are possibilities rather than requirements:</w:t>
      </w:r>
    </w:p>
    <w:p>
      <w:pPr>
        <w:pStyle w:val="ListBullet"/>
      </w:pPr>
      <w:r>
        <w:t>An interpretable capped/diminishing-returns index for institutional usability.</w:t>
      </w:r>
    </w:p>
    <w:p>
      <w:pPr>
        <w:pStyle w:val="ListBullet"/>
      </w:pPr>
      <w:r>
        <w:t>Unsupervised clustering and dimensionality reduction performed without Hall labels.</w:t>
      </w:r>
    </w:p>
    <w:p>
      <w:pPr>
        <w:pStyle w:val="ListBullet"/>
      </w:pPr>
      <w:r>
        <w:t>Supervised classification used as a benchmark/sensitivity exercise, with caution that Hall status reflects historical human decisions rather than ground truth.</w:t>
      </w:r>
    </w:p>
    <w:p>
      <w:pPr>
        <w:pStyle w:val="ListBullet"/>
      </w:pPr>
      <w:r>
        <w:t>Elo or another dynamic rating model to account for opponent quality and timing.</w:t>
      </w:r>
    </w:p>
    <w:p>
      <w:pPr>
        <w:pStyle w:val="ListBullet"/>
      </w:pPr>
      <w:r>
        <w:t>Correlation, multicollinearity and feature-ablation analysis to identify redundant statistics.</w:t>
      </w:r>
    </w:p>
    <w:p>
      <w:pPr>
        <w:pStyle w:val="ListBullet"/>
      </w:pPr>
      <w:r>
        <w:t>Bootstrap/sensitivity analysis across plausible weights, variable definitions and thresholds.</w:t>
      </w:r>
    </w:p>
    <w:p>
      <w:pPr>
        <w:pStyle w:val="ListBullet"/>
      </w:pPr>
      <w:r>
        <w:t>Change-point, mixture or clustering methods to test whether a natural Hall-caliber boundary exists.</w:t>
      </w:r>
    </w:p>
    <w:p>
      <w:pPr>
        <w:pStyle w:val="ListBullet"/>
      </w:pPr>
      <w:r>
        <w:t>Out-of-sample or holdout validation where sample size permits.</w:t>
      </w:r>
    </w:p>
    <w:p>
      <w:pPr>
        <w:pStyle w:val="ListBullet"/>
      </w:pPr>
      <w:r>
        <w:t>Alternative men/women calibration under one conceptual framework if data-generating processes differ historically.</w:t>
      </w:r>
    </w:p>
    <w:p>
      <w:pPr>
        <w:pStyle w:val="Heading1"/>
      </w:pPr>
      <w:r>
        <w:t>11. Guardrails Against Result-Driven Modeling</w:t>
      </w:r>
    </w:p>
    <w:p>
      <w:pPr>
        <w:pStyle w:val="ListBullet"/>
      </w:pPr>
      <w:r>
        <w:t>Document core hypotheses, variable definitions and stress-test cases before final model results are examined.</w:t>
      </w:r>
    </w:p>
    <w:p>
      <w:pPr>
        <w:pStyle w:val="ListBullet"/>
      </w:pPr>
      <w:r>
        <w:t>Do not change a rule solely because a named player lands on the “wrong” side of the result.</w:t>
      </w:r>
    </w:p>
    <w:p>
      <w:pPr>
        <w:pStyle w:val="ListBullet"/>
      </w:pPr>
      <w:r>
        <w:t>Do not require the model to reproduce every historical induction or omission.</w:t>
      </w:r>
    </w:p>
    <w:p>
      <w:pPr>
        <w:pStyle w:val="ListBullet"/>
      </w:pPr>
      <w:r>
        <w:t>Do not award points for hypothetical injury-free results.</w:t>
      </w:r>
    </w:p>
    <w:p>
      <w:pPr>
        <w:pStyle w:val="ListBullet"/>
      </w:pPr>
      <w:r>
        <w:t>Do not silently substitute modern tournament categories for historically different events.</w:t>
      </w:r>
    </w:p>
    <w:p>
      <w:pPr>
        <w:pStyle w:val="ListBullet"/>
      </w:pPr>
      <w:r>
        <w:t>Prefer transparent missing-data treatment to fabricated historical proxies.</w:t>
      </w:r>
    </w:p>
    <w:p>
      <w:pPr>
        <w:pStyle w:val="ListBullet"/>
      </w:pPr>
      <w:r>
        <w:t>Report model disagreement and uncertainty rather than hiding it.</w:t>
      </w:r>
    </w:p>
    <w:p>
      <w:pPr>
        <w:pStyle w:val="ListBullet"/>
      </w:pPr>
      <w:r>
        <w:t>Keep the technical model separate from non-competitive Hall considerations such as character, sportsmanship or broader contribution.</w:t>
      </w:r>
    </w:p>
    <w:p>
      <w:pPr>
        <w:pStyle w:val="Heading1"/>
      </w:pPr>
      <w:r>
        <w:t>12. Proposed Deliverables</w:t>
      </w:r>
    </w:p>
    <w:p>
      <w:pPr>
        <w:pStyle w:val="ListNumber"/>
      </w:pPr>
      <w:r>
        <w:t>A short research design memo defining the outcome, population, variables, data limitations and planned methods before full modeling begins.</w:t>
      </w:r>
    </w:p>
    <w:p>
      <w:pPr>
        <w:pStyle w:val="ListNumber"/>
      </w:pPr>
      <w:r>
        <w:t>A documented master dataset/data dictionary with reproducible sources and definitions.</w:t>
      </w:r>
    </w:p>
    <w:p>
      <w:pPr>
        <w:pStyle w:val="ListNumber"/>
      </w:pPr>
      <w:r>
        <w:t>At least two materially different modeling approaches, ideally including one method that does not use Hall status during construction.</w:t>
      </w:r>
    </w:p>
    <w:p>
      <w:pPr>
        <w:pStyle w:val="ListNumber"/>
      </w:pPr>
      <w:r>
        <w:t>Robustness/sensitivity analysis showing how stable conclusions are to reasonable alternative specifications.</w:t>
      </w:r>
    </w:p>
    <w:p>
      <w:pPr>
        <w:pStyle w:val="ListNumber"/>
      </w:pPr>
      <w:r>
        <w:t>A technical paper describing methodology, assumptions, limitations and results.</w:t>
      </w:r>
    </w:p>
    <w:p>
      <w:pPr>
        <w:pStyle w:val="ListNumber"/>
      </w:pPr>
      <w:r>
        <w:t>A concise nontechnical summary explaining what the model can and cannot say.</w:t>
      </w:r>
    </w:p>
    <w:p>
      <w:pPr>
        <w:pStyle w:val="ListNumber"/>
      </w:pPr>
      <w:r>
        <w:t>If supported by the evidence, a proposed transparent Hall-facing framework or eligibility band. If the data does not support a stable threshold, that is also a valid research conclusion.</w:t>
      </w:r>
    </w:p>
    <w:p>
      <w:pPr>
        <w:pStyle w:val="Heading1"/>
      </w:pPr>
      <w:r>
        <w:t>13. Suggested First Phase</w:t>
      </w:r>
    </w:p>
    <w:p>
      <w:r>
        <w:t>1.  Faculty discussion: refine the research question and determine whether the project is methodologically interesting and appropriately scoped.</w:t>
      </w:r>
    </w:p>
    <w:p>
      <w:r>
        <w:t>2.  Research design: decide unit of analysis, population, time period, data sources and candidate model families.</w:t>
      </w:r>
    </w:p>
    <w:p>
      <w:r>
        <w:t>3.  Data audit: test availability and historical comparability on a small diverse sample before building the full dataset.</w:t>
      </w:r>
    </w:p>
    <w:p>
      <w:r>
        <w:t>4.  Pre-registration-style memo: record hypotheses, stress tests and planned analyses to reduce hindsight/result-driven choices.</w:t>
      </w:r>
    </w:p>
    <w:p>
      <w:r>
        <w:t>5.  Build the broader dataset and conduct exploratory analysis.</w:t>
      </w:r>
    </w:p>
    <w:p>
      <w:r>
        <w:t>6.  Only then develop, compare and stress-test models.</w:t>
      </w:r>
    </w:p>
    <w:p>
      <w:pPr>
        <w:pStyle w:val="Heading1"/>
      </w:pPr>
      <w:r>
        <w:t>14. Questions for the Faculty Adviser and Student Team</w:t>
      </w:r>
    </w:p>
    <w:p>
      <w:pPr>
        <w:pStyle w:val="ListBullet"/>
      </w:pPr>
      <w:r>
        <w:t>Is “Hall-caliber actual competitive career achievement” sufficiently well-defined to be modeled quantitatively?</w:t>
      </w:r>
    </w:p>
    <w:p>
      <w:pPr>
        <w:pStyle w:val="ListBullet"/>
      </w:pPr>
      <w:r>
        <w:t>What would constitute a defensible outcome variable if historical Hall status is not treated as ground truth?</w:t>
      </w:r>
    </w:p>
    <w:p>
      <w:pPr>
        <w:pStyle w:val="ListBullet"/>
      </w:pPr>
      <w:r>
        <w:t>What is the appropriate unit of analysis: career, season, match, or a hierarchical combination?</w:t>
      </w:r>
    </w:p>
    <w:p>
      <w:pPr>
        <w:pStyle w:val="ListBullet"/>
      </w:pPr>
      <w:r>
        <w:t>Can tournament and opponent strength be reconstructed reliably enough to improve historical comparisons?</w:t>
      </w:r>
    </w:p>
    <w:p>
      <w:pPr>
        <w:pStyle w:val="ListBullet"/>
      </w:pPr>
      <w:r>
        <w:t>How should missing historical data affect the scope of the claims?</w:t>
      </w:r>
    </w:p>
    <w:p>
      <w:pPr>
        <w:pStyle w:val="ListBullet"/>
      </w:pPr>
      <w:r>
        <w:t>Is a single score desirable, or would a multidimensional profile plus robustness band be more scientifically honest?</w:t>
      </w:r>
    </w:p>
    <w:p>
      <w:pPr>
        <w:pStyle w:val="ListBullet"/>
      </w:pPr>
      <w:r>
        <w:t>What analyses would most convincingly falsify the preliminary six-dimension hypothesis?</w:t>
      </w:r>
    </w:p>
    <w:p>
      <w:pPr>
        <w:pStyle w:val="Heading1"/>
      </w:pPr>
      <w:r>
        <w:t>15. Background Materials</w:t>
      </w:r>
    </w:p>
    <w:p>
      <w:r>
        <w:t>The following should be treated as context, not instructions:</w:t>
      </w:r>
    </w:p>
    <w:p>
      <w:pPr>
        <w:pStyle w:val="ListBullet"/>
      </w:pPr>
      <w:r>
        <w:t>Working paper: “A Quantitative Framework for International Tennis Hall of Fame Player Eligibility - Working Research Paper v0.1.”</w:t>
      </w:r>
    </w:p>
    <w:p>
      <w:pPr>
        <w:pStyle w:val="ListBullet"/>
      </w:pPr>
      <w:r>
        <w:t>Initial observations from tennis/Hall experts concerning singles scope, the 1968 Open Era boundary, the 1972-73 ATP/WTA data breakpoint, peak performance, tournament importance over time, ranking timing, head-to-head timing and candidate comparisons.</w:t>
      </w:r>
    </w:p>
    <w:p>
      <w:pPr>
        <w:pStyle w:val="ListBullet"/>
      </w:pPr>
      <w:r>
        <w:t>Authoritative ATP, WTA, Grand Slam and Hall records to be identified and documented during the data-design phase.</w:t>
      </w:r>
    </w:p>
    <w:p>
      <w:pPr>
        <w:pStyle w:val="Heading1"/>
      </w:pPr>
      <w:r>
        <w:t>16. Success Criterion</w:t>
      </w:r>
    </w:p>
    <w:p>
      <w:r>
        <w:t>The project succeeds if it produces a rigorous answer to the research question - including the possibility that no single stable Hall threshold exists. The objective is not to prove the preliminary 100-point framework correct. The objective is to learn what the data can support, make the assumptions explicit, and distinguish robust findings from subjective convention.</w:t>
      </w:r>
    </w:p>
    <w:sectPr w:rsidR="00FC693F" w:rsidRPr="0006063C" w:rsidSect="00034616">
      <w:footerReference w:type="default" r:id="rId9"/>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Independent Academic Research Project Brief | Tennis Hall Eligibility | v0.2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