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B2A4A"/>
          <w:sz w:val="64"/>
          <w:szCs w:val="64"/>
        </w:rPr>
        <w:t xml:space="preserve">Mahaska Drug</w:t>
      </w:r>
    </w:p>
    <w:p>
      <w:pPr>
        <w:jc w:val="center"/>
      </w:pPr>
      <w:r>
        <w:rPr>
          <w:rFonts w:ascii="Arial" w:cs="Arial" w:eastAsia="Arial" w:hAnsi="Arial"/>
          <w:color w:val="0D7377"/>
          <w:sz w:val="40"/>
          <w:szCs w:val="40"/>
        </w:rPr>
        <w:t xml:space="preserve">Reconciliation Dashboard</w:t>
      </w:r>
    </w:p>
    <w:p>
      <w:pPr>
        <w:pBdr>
          <w:bottom w:val="single" w:color="0D7377" w:sz="8" w:space="1"/>
        </w:pBdr>
        <w:spacing w:after="200"/>
        <w:jc w:val="center"/>
      </w:pPr>
      <w:r>
        <w:rPr>
          <w:rFonts w:ascii="Arial" w:cs="Arial" w:eastAsia="Arial" w:hAnsi="Arial"/>
          <w:i/>
          <w:iCs/>
          <w:color w:val="6B7A8D"/>
          <w:sz w:val="28"/>
          <w:szCs w:val="28"/>
        </w:rPr>
        <w:t xml:space="preserve">Technical &amp; Conceptual Reference Document</w:t>
      </w:r>
    </w:p>
    <w:p>
      <w:pPr>
        <w:spacing w:after="120" w:before="120"/>
      </w:pPr>
      <w:r>
        <w:t xml:space="preserve"/>
      </w:r>
    </w:p>
    <w:p>
      <w:pPr>
        <w:jc w:val="center"/>
      </w:pPr>
      <w:r>
        <w:rPr>
          <w:rFonts w:ascii="Arial" w:cs="Arial" w:eastAsia="Arial" w:hAnsi="Arial"/>
          <w:color w:val="6B7A8D"/>
          <w:sz w:val="22"/>
          <w:szCs w:val="22"/>
        </w:rPr>
        <w:t xml:space="preserve">April 2026  •  For Internal Use Only</w:t>
      </w:r>
    </w:p>
    <w:p>
      <w:r>
        <w:br w:type="page"/>
      </w:r>
    </w:p>
    <w:p>
      <w:pPr>
        <w:spacing w:before="2880"/>
      </w:pPr>
      <w:r>
        <w:t xml:space="preserve"/>
      </w:r>
    </w:p>
    <w:p>
      <w:pPr>
        <w:pBdr>
          <w:bottom w:val="single" w:color="0D7377" w:sz="4" w:space="4"/>
        </w:pBdr>
        <w:spacing w:after="240" w:before="0"/>
        <w:jc w:val="center"/>
      </w:pPr>
      <w:r>
        <w:rPr>
          <w:rFonts w:ascii="Arial" w:cs="Arial" w:eastAsia="Arial" w:hAnsi="Arial"/>
          <w:b/>
          <w:bCs/>
          <w:caps/>
          <w:color w:val="1B2A4A"/>
          <w:sz w:val="28"/>
          <w:szCs w:val="28"/>
        </w:rPr>
        <w:t xml:space="preserve">DISCLAIMER</w:t>
      </w:r>
    </w:p>
    <w:p>
      <w:pPr>
        <w:spacing w:after="80" w:before="0"/>
      </w:pPr>
      <w:r>
        <w:rPr>
          <w:rFonts w:ascii="Arial" w:cs="Arial" w:eastAsia="Arial" w:hAnsi="Arial"/>
          <w:b/>
          <w:bCs/>
          <w:color w:val="1B2A4A"/>
          <w:sz w:val="22"/>
          <w:szCs w:val="22"/>
        </w:rPr>
        <w:t xml:space="preserve">Professional Responsibility &amp; Third-Party Indemnification</w:t>
      </w:r>
    </w:p>
    <w:p>
      <w:pPr>
        <w:spacing w:after="240" w:before="0"/>
        <w:jc w:val="both"/>
      </w:pPr>
      <w:r>
        <w:rPr>
          <w:rFonts w:ascii="Arial" w:cs="Arial" w:eastAsia="Arial" w:hAnsi="Arial"/>
          <w:color w:val="1A1A2E"/>
          <w:sz w:val="22"/>
          <w:szCs w:val="22"/>
        </w:rPr>
        <w:t xml:space="preserve">This document and the product that it references has been produced in a personal capacity using publicly sourced data in conjunction with Mahaska Drug's own internal data. Should there be any opinions expressed, these opinions are held by Jeremiah Maudlin alone and do not represent any other individuals, organizations, or government entities. Any third party receiving or relying upon this document does so at their own risk and agrees to indemnify and hold harmless Jeremiah Maudlin, omegaIM, E² Construction, llc., and any other organization, entity, or government body with whom Jeremiah Maudlin holds a professional or personal relationship, from any claims, losses, or liabilities arising from such use.</w:t>
      </w:r>
    </w:p>
    <w:p>
      <w:pPr>
        <w:spacing w:after="80" w:before="0"/>
      </w:pPr>
      <w:r>
        <w:rPr>
          <w:rFonts w:ascii="Arial" w:cs="Arial" w:eastAsia="Arial" w:hAnsi="Arial"/>
          <w:b/>
          <w:bCs/>
          <w:color w:val="1B2A4A"/>
          <w:sz w:val="22"/>
          <w:szCs w:val="22"/>
        </w:rPr>
        <w:t xml:space="preserve">Data Accuracy &amp; Currency</w:t>
      </w:r>
    </w:p>
    <w:p>
      <w:pPr>
        <w:spacing w:after="240" w:before="0"/>
        <w:jc w:val="both"/>
      </w:pPr>
      <w:r>
        <w:rPr>
          <w:rFonts w:ascii="Arial" w:cs="Arial" w:eastAsia="Arial" w:hAnsi="Arial"/>
          <w:color w:val="1A1A2E"/>
          <w:sz w:val="22"/>
          <w:szCs w:val="22"/>
        </w:rPr>
        <w:t xml:space="preserve">The analysis contained herein is based on a single period’s data snapshot as provided. Results have not been independently audited and may differ from processor or insurer statements due to timing differences, data export methods, or system discrepancies. No representation is made that the figures presented are complete or error-free.</w:t>
      </w:r>
    </w:p>
    <w:p>
      <w:pPr>
        <w:spacing w:after="80" w:before="0"/>
      </w:pPr>
      <w:r>
        <w:rPr>
          <w:rFonts w:ascii="Arial" w:cs="Arial" w:eastAsia="Arial" w:hAnsi="Arial"/>
          <w:b/>
          <w:bCs/>
          <w:color w:val="1B2A4A"/>
          <w:sz w:val="22"/>
          <w:szCs w:val="22"/>
        </w:rPr>
        <w:t xml:space="preserve">Not Legal or Financial Advice</w:t>
      </w:r>
    </w:p>
    <w:p>
      <w:pPr>
        <w:spacing w:after="240" w:before="0"/>
        <w:jc w:val="both"/>
      </w:pPr>
      <w:r>
        <w:rPr>
          <w:rFonts w:ascii="Arial" w:cs="Arial" w:eastAsia="Arial" w:hAnsi="Arial"/>
          <w:color w:val="1A1A2E"/>
          <w:sz w:val="22"/>
          <w:szCs w:val="22"/>
        </w:rPr>
        <w:t xml:space="preserve">Nothing in this document constitutes legal, financial, regulatory, or professional advice of any kind. Any decisions made on the basis of this analysis — including but not limited to contract negotiations, regulatory filings, or financial planning — should be reviewed by qualified legal and financial professionals before action is taken.</w:t>
      </w:r>
    </w:p>
    <w:p>
      <w:pPr>
        <w:spacing w:after="80" w:before="0"/>
      </w:pPr>
      <w:r>
        <w:rPr>
          <w:rFonts w:ascii="Arial" w:cs="Arial" w:eastAsia="Arial" w:hAnsi="Arial"/>
          <w:b/>
          <w:bCs/>
          <w:color w:val="1B2A4A"/>
          <w:sz w:val="22"/>
          <w:szCs w:val="22"/>
        </w:rPr>
        <w:t xml:space="preserve">Confidentiality</w:t>
      </w:r>
    </w:p>
    <w:p>
      <w:pPr>
        <w:spacing w:after="240" w:before="0"/>
        <w:jc w:val="both"/>
      </w:pPr>
      <w:r>
        <w:rPr>
          <w:rFonts w:ascii="Arial" w:cs="Arial" w:eastAsia="Arial" w:hAnsi="Arial"/>
          <w:color w:val="1A1A2E"/>
          <w:sz w:val="22"/>
          <w:szCs w:val="22"/>
        </w:rPr>
        <w:t xml:space="preserve">This document contains proprietary business data belonging to Mahaska Drug and is intended solely for the named recipient and authorized personnel. Unauthorized distribution, reproduction, or disclosure to third parties without prior written consent is strictly prohibited.</w:t>
      </w:r>
    </w:p>
    <w:p>
      <w:pPr>
        <w:spacing w:after="80" w:before="0"/>
      </w:pPr>
      <w:r>
        <w:rPr>
          <w:rFonts w:ascii="Arial" w:cs="Arial" w:eastAsia="Arial" w:hAnsi="Arial"/>
          <w:b/>
          <w:bCs/>
          <w:color w:val="1B2A4A"/>
          <w:sz w:val="22"/>
          <w:szCs w:val="22"/>
        </w:rPr>
        <w:t xml:space="preserve">No Warranty</w:t>
      </w:r>
    </w:p>
    <w:p>
      <w:pPr>
        <w:spacing w:after="0" w:before="0"/>
        <w:jc w:val="both"/>
      </w:pPr>
      <w:r>
        <w:rPr>
          <w:rFonts w:ascii="Arial" w:cs="Arial" w:eastAsia="Arial" w:hAnsi="Arial"/>
          <w:color w:val="1A1A2E"/>
          <w:sz w:val="22"/>
          <w:szCs w:val="22"/>
        </w:rPr>
        <w:t xml:space="preserve">The analytical tool and this document are provided as-is without warranty of any kind, express or implied. No warranty is made regarding completeness, accuracy, timeliness, or fitness for a particular purpose. Use of this material is at the sole discretion and risk of the recipient.</w:t>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1. The Paradigm: Why This Dashboard Exists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Most pharmacy management systems tell you what you dispensed and what you billed. They do not tell you whether you were paid, how much you lost, or who is systematically underpaying you. This dashboard was built to close that gap.</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core problem is structural: insurance remittance data arrives separately from dispensing data, with different formats, different timing, and no built-in way to connect them. A prescription can be filled, billed, and silently denied without the pharmacy ever receiving a clear notification. Over a month of volume, this becomes hundreds of thousands of dollars sitting unrecovered.</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1.1 The Three Questions This Tool Answers</w:t>
      </w:r>
    </w:p>
    <w:p>
      <w:pPr>
        <w:spacing w:after="80" w:before="60"/>
        <w:jc w:val="left"/>
      </w:pPr>
      <w:r>
        <w:rPr>
          <w:rFonts w:ascii="Arial" w:cs="Arial" w:eastAsia="Arial" w:hAnsi="Arial"/>
          <w:b w:val="false"/>
          <w:bCs w:val="false"/>
          <w:i w:val="false"/>
          <w:iCs w:val="false"/>
          <w:color w:val="1A1A2E"/>
          <w:sz w:val="22"/>
          <w:szCs w:val="22"/>
        </w:rPr>
        <w:t xml:space="preserve">Every section of this dashboard exists to answer one of three questions:</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Are we getting paid for what we dispensed? (Reconciliation)</w:t>
      </w:r>
    </w:p>
    <w:p>
      <w:pPr>
        <w:pStyle w:val="ListParagraph"/>
        <w:numPr>
          <w:ilvl w:val="0"/>
          <w:numId w:val="2"/>
        </w:numPr>
        <w:spacing w:after="40" w:before="40"/>
      </w:pPr>
      <w:r>
        <w:rPr>
          <w:rFonts w:ascii="Arial" w:cs="Arial" w:eastAsia="Arial" w:hAnsi="Arial"/>
          <w:color w:val="1A1A2E"/>
          <w:sz w:val="22"/>
          <w:szCs w:val="22"/>
        </w:rPr>
        <w:t xml:space="preserve">Are we being paid fairly relative to our actual costs? (True Economics)</w:t>
      </w:r>
    </w:p>
    <w:p>
      <w:pPr>
        <w:pStyle w:val="ListParagraph"/>
        <w:numPr>
          <w:ilvl w:val="0"/>
          <w:numId w:val="2"/>
        </w:numPr>
        <w:spacing w:after="40" w:before="40"/>
      </w:pPr>
      <w:r>
        <w:rPr>
          <w:rFonts w:ascii="Arial" w:cs="Arial" w:eastAsia="Arial" w:hAnsi="Arial"/>
          <w:color w:val="1A1A2E"/>
          <w:sz w:val="22"/>
          <w:szCs w:val="22"/>
        </w:rPr>
        <w:t xml:space="preserve">Which specific business relationships are costing us money? (PBM Analysis)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1.2 The Problem With "Cost" in Pharmacy Systems</w:t>
      </w:r>
    </w:p>
    <w:p>
      <w:pPr>
        <w:spacing w:after="80" w:before="60"/>
        <w:jc w:val="left"/>
      </w:pPr>
      <w:r>
        <w:rPr>
          <w:rFonts w:ascii="Arial" w:cs="Arial" w:eastAsia="Arial" w:hAnsi="Arial"/>
          <w:b w:val="false"/>
          <w:bCs w:val="false"/>
          <w:i w:val="false"/>
          <w:iCs w:val="false"/>
          <w:color w:val="1A1A2E"/>
          <w:sz w:val="22"/>
          <w:szCs w:val="22"/>
        </w:rPr>
        <w:t xml:space="preserve">A central insight that shapes the entire dashboard: the "Cost" column generated by most pharmacy dispensing systems is an estimate, not a real number. It is based on stale AWP-based pricing and does not reflect actual contract acquisition costs.</w:t>
      </w:r>
    </w:p>
    <w:p>
      <w:pPr>
        <w:spacing w:after="120" w:before="120"/>
      </w:pPr>
      <w:r>
        <w:t xml:space="preserve"/>
      </w:r>
    </w:p>
    <w:p>
      <w:pPr>
        <w:spacing w:after="80" w:before="60"/>
      </w:pPr>
      <w:r>
        <w:rPr>
          <w:rFonts w:ascii="Arial" w:cs="Arial" w:eastAsia="Arial" w:hAnsi="Arial"/>
          <w:color w:val="1A1A2E"/>
          <w:sz w:val="22"/>
          <w:szCs w:val="22"/>
        </w:rPr>
        <w:t xml:space="preserve">This dashboard uses the </w:t>
      </w:r>
      <w:r>
        <w:rPr>
          <w:rFonts w:ascii="Arial" w:cs="Arial" w:eastAsia="Arial" w:hAnsi="Arial"/>
          <w:b/>
          <w:bCs/>
          <w:color w:val="1B2A4A"/>
          <w:sz w:val="22"/>
          <w:szCs w:val="22"/>
        </w:rPr>
        <w:t xml:space="preserve">Actual Cost</w:t>
      </w:r>
      <w:r>
        <w:rPr>
          <w:rFonts w:ascii="Arial" w:cs="Arial" w:eastAsia="Arial" w:hAnsi="Arial"/>
          <w:color w:val="1A1A2E"/>
          <w:sz w:val="22"/>
          <w:szCs w:val="22"/>
        </w:rPr>
        <w:t xml:space="preserve"> column instead — computed from real NADAC (National Average Drug Acquisition Cost) data published by CMS — to calculate every margin figure. NADAC is the federal benchmark for what drugs actually cost at wholesale. When a PBM pays below NADAC, it is by definition paying below what the drug cost to acquire.</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1.3 The Reconciliation Paradigm</w:t>
      </w:r>
    </w:p>
    <w:p>
      <w:pPr>
        <w:spacing w:after="80" w:before="60"/>
        <w:jc w:val="left"/>
      </w:pPr>
      <w:r>
        <w:rPr>
          <w:rFonts w:ascii="Arial" w:cs="Arial" w:eastAsia="Arial" w:hAnsi="Arial"/>
          <w:b w:val="false"/>
          <w:bCs w:val="false"/>
          <w:i w:val="false"/>
          <w:iCs w:val="false"/>
          <w:color w:val="1A1A2E"/>
          <w:sz w:val="22"/>
          <w:szCs w:val="22"/>
        </w:rPr>
        <w:t xml:space="preserve">The reconciliation engine joins two datasets on Rx Number:</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A dataset exported from the internal dispensing program — every prescription dispensed, with drug, cost, NADAC, copay, and insurance due</w:t>
      </w:r>
    </w:p>
    <w:p>
      <w:pPr>
        <w:pStyle w:val="ListParagraph"/>
        <w:numPr>
          <w:ilvl w:val="0"/>
          <w:numId w:val="2"/>
        </w:numPr>
        <w:spacing w:after="40" w:before="40"/>
      </w:pPr>
      <w:r>
        <w:rPr>
          <w:rFonts w:ascii="Arial" w:cs="Arial" w:eastAsia="Arial" w:hAnsi="Arial"/>
          <w:color w:val="1A1A2E"/>
          <w:sz w:val="22"/>
          <w:szCs w:val="22"/>
        </w:rPr>
        <w:t xml:space="preserve">A remittance report provided by the third-party concierge service — every payment record from insurance processors, with amount paid, status, and denial codes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For each filled Rx that has an insurance component, the engine looks for a matching remittance record. The match result determines the status classification. From that classification, gap and margin figures are derived.</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1.4 Status Classification Logic</w:t>
      </w:r>
    </w:p>
    <w:p>
      <w:pPr>
        <w:spacing w:after="80" w:before="60"/>
        <w:jc w:val="left"/>
      </w:pPr>
      <w:r>
        <w:rPr>
          <w:rFonts w:ascii="Arial" w:cs="Arial" w:eastAsia="Arial" w:hAnsi="Arial"/>
          <w:b w:val="false"/>
          <w:bCs w:val="false"/>
          <w:i w:val="false"/>
          <w:iCs w:val="false"/>
          <w:color w:val="1A1A2E"/>
          <w:sz w:val="22"/>
          <w:szCs w:val="22"/>
        </w:rPr>
        <w:t xml:space="preserve">Every insurance Rx is assigned exactly one status: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Actionable?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No Remittance Found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Rx is in filled data; no matching record in remittance at all</w:t>
            </w:r>
          </w:p>
        </w:tc>
        <w:tc>
          <w:tcPr>
            <w:tcW w:type="dxa" w:w="2400"/>
            <w:tcBorders>
              <w:top w:val="single" w:color="CCCCCC" w:sz="1"/>
              <w:left w:val="single" w:color="CCCCCC" w:sz="1"/>
              <w:bottom w:val="single" w:color="CCCCCC" w:sz="1"/>
              <w:right w:val="single" w:color="CCCCCC" w:sz="1"/>
            </w:tcBorders>
            <w:shd w:fill="FEF0EE" w:val="clear"/>
            <w:tcMar>
              <w:top w:type="dxa" w:w="80"/>
              <w:left w:type="dxa" w:w="120"/>
              <w:bottom w:type="dxa" w:w="80"/>
              <w:right w:type="dxa" w:w="120"/>
            </w:tcMar>
          </w:tcPr>
          <w:p>
            <w:r>
              <w:rPr>
                <w:rFonts w:ascii="Arial" w:cs="Arial" w:eastAsia="Arial" w:hAnsi="Arial"/>
                <w:b/>
                <w:bCs/>
                <w:color w:val="C0392B"/>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Denied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Remittance record exists but AmtPaid = 0 and status = Denied</w:t>
            </w:r>
          </w:p>
        </w:tc>
        <w:tc>
          <w:tcPr>
            <w:tcW w:type="dxa" w:w="2400"/>
            <w:tcBorders>
              <w:top w:val="single" w:color="CCCCCC" w:sz="1"/>
              <w:left w:val="single" w:color="CCCCCC" w:sz="1"/>
              <w:bottom w:val="single" w:color="CCCCCC" w:sz="1"/>
              <w:right w:val="single" w:color="CCCCCC" w:sz="1"/>
            </w:tcBorders>
            <w:shd w:fill="FEF0EE" w:val="clear"/>
            <w:tcMar>
              <w:top w:type="dxa" w:w="80"/>
              <w:left w:type="dxa" w:w="120"/>
              <w:bottom w:type="dxa" w:w="80"/>
              <w:right w:type="dxa" w:w="120"/>
            </w:tcMar>
          </w:tcPr>
          <w:p>
            <w:r>
              <w:rPr>
                <w:rFonts w:ascii="Arial" w:cs="Arial" w:eastAsia="Arial" w:hAnsi="Arial"/>
                <w:b/>
                <w:bCs/>
                <w:color w:val="C0392B"/>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No Payment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Remittance record exists, AmtPaid = 0, not denied</w:t>
            </w:r>
          </w:p>
        </w:tc>
        <w:tc>
          <w:tcPr>
            <w:tcW w:type="dxa" w:w="2400"/>
            <w:tcBorders>
              <w:top w:val="single" w:color="CCCCCC" w:sz="1"/>
              <w:left w:val="single" w:color="CCCCCC" w:sz="1"/>
              <w:bottom w:val="single" w:color="CCCCCC" w:sz="1"/>
              <w:right w:val="single" w:color="CCCCCC" w:sz="1"/>
            </w:tcBorders>
            <w:shd w:fill="FEF0EE" w:val="clear"/>
            <w:tcMar>
              <w:top w:type="dxa" w:w="80"/>
              <w:left w:type="dxa" w:w="120"/>
              <w:bottom w:type="dxa" w:w="80"/>
              <w:right w:type="dxa" w:w="120"/>
            </w:tcMar>
          </w:tcPr>
          <w:p>
            <w:r>
              <w:rPr>
                <w:rFonts w:ascii="Arial" w:cs="Arial" w:eastAsia="Arial" w:hAnsi="Arial"/>
                <w:b/>
                <w:bCs/>
                <w:color w:val="C0392B"/>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Reversed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AmtPaid &lt; 0 (money was taken back)</w:t>
            </w:r>
          </w:p>
        </w:tc>
        <w:tc>
          <w:tcPr>
            <w:tcW w:type="dxa" w:w="2400"/>
            <w:tcBorders>
              <w:top w:val="single" w:color="CCCCCC" w:sz="1"/>
              <w:left w:val="single" w:color="CCCCCC" w:sz="1"/>
              <w:bottom w:val="single" w:color="CCCCCC" w:sz="1"/>
              <w:right w:val="single" w:color="CCCCCC" w:sz="1"/>
            </w:tcBorders>
            <w:shd w:fill="FEF0EE" w:val="clear"/>
            <w:tcMar>
              <w:top w:type="dxa" w:w="80"/>
              <w:left w:type="dxa" w:w="120"/>
              <w:bottom w:type="dxa" w:w="80"/>
              <w:right w:type="dxa" w:w="120"/>
            </w:tcMar>
          </w:tcPr>
          <w:p>
            <w:r>
              <w:rPr>
                <w:rFonts w:ascii="Arial" w:cs="Arial" w:eastAsia="Arial" w:hAnsi="Arial"/>
                <w:b/>
                <w:bCs/>
                <w:color w:val="C0392B"/>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Underpaid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AmtPaid &gt; 0 but less than Ins. Due by more than $0.01</w:t>
            </w:r>
          </w:p>
        </w:tc>
        <w:tc>
          <w:tcPr>
            <w:tcW w:type="dxa" w:w="2400"/>
            <w:tcBorders>
              <w:top w:val="single" w:color="CCCCCC" w:sz="1"/>
              <w:left w:val="single" w:color="CCCCCC" w:sz="1"/>
              <w:bottom w:val="single" w:color="CCCCCC" w:sz="1"/>
              <w:right w:val="single" w:color="CCCCCC" w:sz="1"/>
            </w:tcBorders>
            <w:shd w:fill="FEF0EE" w:val="clear"/>
            <w:tcMar>
              <w:top w:type="dxa" w:w="80"/>
              <w:left w:type="dxa" w:w="120"/>
              <w:bottom w:type="dxa" w:w="80"/>
              <w:right w:type="dxa" w:w="120"/>
            </w:tcMar>
          </w:tcPr>
          <w:p>
            <w:r>
              <w:rPr>
                <w:rFonts w:ascii="Arial" w:cs="Arial" w:eastAsia="Arial" w:hAnsi="Arial"/>
                <w:b/>
                <w:bCs/>
                <w:color w:val="C0392B"/>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Partially Denied/Reversed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Mix of paid and denied/reversed records for same Rx</w:t>
            </w:r>
          </w:p>
        </w:tc>
        <w:tc>
          <w:tcPr>
            <w:tcW w:type="dxa" w:w="2400"/>
            <w:tcBorders>
              <w:top w:val="single" w:color="CCCCCC" w:sz="1"/>
              <w:left w:val="single" w:color="CCCCCC" w:sz="1"/>
              <w:bottom w:val="single" w:color="CCCCCC" w:sz="1"/>
              <w:right w:val="single" w:color="CCCCCC" w:sz="1"/>
            </w:tcBorders>
            <w:shd w:fill="FFFBEE" w:val="clear"/>
            <w:tcMar>
              <w:top w:type="dxa" w:w="80"/>
              <w:left w:type="dxa" w:w="120"/>
              <w:bottom w:type="dxa" w:w="80"/>
              <w:right w:type="dxa" w:w="120"/>
            </w:tcMar>
          </w:tcPr>
          <w:p>
            <w:r>
              <w:rPr>
                <w:rFonts w:ascii="Arial" w:cs="Arial" w:eastAsia="Arial" w:hAnsi="Arial"/>
                <w:b/>
                <w:bCs/>
                <w:color w:val="F4A025"/>
                <w:sz w:val="18"/>
                <w:szCs w:val="18"/>
              </w:rPr>
              <w:t xml:space="preserve">Review</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7377"/>
                <w:sz w:val="18"/>
                <w:szCs w:val="18"/>
              </w:rPr>
              <w:t xml:space="preserve">Paid in Full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AmtPaid &gt;= Ins. Due (within $0.01 tolerance)</w:t>
            </w:r>
          </w:p>
        </w:tc>
        <w:tc>
          <w:tcPr>
            <w:tcW w:type="dxa" w:w="2400"/>
            <w:tcBorders>
              <w:top w:val="single" w:color="CCCCCC" w:sz="1"/>
              <w:left w:val="single" w:color="CCCCCC" w:sz="1"/>
              <w:bottom w:val="single" w:color="CCCCCC" w:sz="1"/>
              <w:right w:val="single" w:color="CCCCCC" w:sz="1"/>
            </w:tcBorders>
            <w:shd w:fill="EDFBF2" w:val="clear"/>
            <w:tcMar>
              <w:top w:type="dxa" w:w="80"/>
              <w:left w:type="dxa" w:w="120"/>
              <w:bottom w:type="dxa" w:w="80"/>
              <w:right w:type="dxa" w:w="120"/>
            </w:tcMar>
          </w:tcPr>
          <w:p>
            <w:r>
              <w:rPr>
                <w:rFonts w:ascii="Arial" w:cs="Arial" w:eastAsia="Arial" w:hAnsi="Arial"/>
                <w:b/>
                <w:bCs/>
                <w:color w:val="27AE60"/>
                <w:sz w:val="18"/>
                <w:szCs w:val="18"/>
              </w:rPr>
              <w:t xml:space="preserve">No</w:t>
            </w:r>
          </w:p>
        </w:tc>
      </w:tr>
    </w:tbl>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2. Data Sources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2.1 Dispensing Program Export — Filled Prescriptions</w:t>
      </w:r>
    </w:p>
    <w:p>
      <w:pPr>
        <w:spacing w:after="80" w:before="60"/>
        <w:jc w:val="left"/>
      </w:pPr>
      <w:r>
        <w:rPr>
          <w:rFonts w:ascii="Arial" w:cs="Arial" w:eastAsia="Arial" w:hAnsi="Arial"/>
          <w:b w:val="false"/>
          <w:bCs w:val="false"/>
          <w:i w:val="false"/>
          <w:iCs w:val="false"/>
          <w:color w:val="1A1A2E"/>
          <w:sz w:val="22"/>
          <w:szCs w:val="22"/>
        </w:rPr>
        <w:t xml:space="preserve">This dataset is exported from the internal dispensing program and contains one row per prescription dispensed. Key columns used by the dashboard: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Rx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Primary join key — used to match against remittance records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Fill date — used for period labeling and payment lag calculation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Drug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Drug name — used for drug-level analysis and Top Unpaid lists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Actual 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NADAC-based true acquisition cost — used for ALL margin calculations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NADAC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Federal benchmark unit cost from CMS — used for below-NADAC detection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Ins. Due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Expected insurance reimbursement — the "billed" amount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Copay / Patient Pay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Patient portion collected at point of sale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Retail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Total retail price (Ins. Due + Copay)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NDC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National Drug Code — used for NADAC lookups</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2.2 Concierge Service Remittance Report — Payment Records</w:t>
      </w:r>
    </w:p>
    <w:p>
      <w:pPr>
        <w:spacing w:after="80" w:before="60"/>
        <w:jc w:val="left"/>
      </w:pPr>
      <w:r>
        <w:rPr>
          <w:rFonts w:ascii="Arial" w:cs="Arial" w:eastAsia="Arial" w:hAnsi="Arial"/>
          <w:b w:val="false"/>
          <w:bCs w:val="false"/>
          <w:i w:val="false"/>
          <w:iCs w:val="false"/>
          <w:color w:val="1A1A2E"/>
          <w:sz w:val="22"/>
          <w:szCs w:val="22"/>
        </w:rPr>
        <w:t xml:space="preserve">This dataset is provided by the third-party concierge service and contains one row per payment transaction. Multiple rows may exist for a single Rx (partial payments, denials, reversals). Key columns: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Rx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Foreign key — matched to Rx Number in filled data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AmtPaid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Actual dollars received; negative = reversal/clawback</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AmtDue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Amount the processor recorded as billed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PaymentDate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Date payment was received — used for lag calculation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Processor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Insurance processor/PBM name — used for processor analysis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Processor-reported claim status (Paid, Denied, Reversed, etc.)</w:t>
            </w:r>
          </w:p>
        </w:tc>
      </w:tr>
    </w:tbl>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3. Dashboard Sections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3.1 Alert Banner</w:t>
      </w:r>
    </w:p>
    <w:p>
      <w:pPr>
        <w:spacing w:after="80" w:before="60"/>
        <w:jc w:val="left"/>
      </w:pPr>
      <w:r>
        <w:rPr>
          <w:rFonts w:ascii="Arial" w:cs="Arial" w:eastAsia="Arial" w:hAnsi="Arial"/>
          <w:b w:val="false"/>
          <w:bCs w:val="false"/>
          <w:i w:val="false"/>
          <w:iCs w:val="false"/>
          <w:color w:val="1A1A2E"/>
          <w:sz w:val="22"/>
          <w:szCs w:val="22"/>
        </w:rPr>
        <w:t xml:space="preserve">The top alert banner provides an at-a-glance summary of the most urgent finding: the total dollar value of unpaid claims and the largest single category of loss. It is dynamically generated from the reconciliation output and reflects the actual period data.</w:t>
      </w:r>
    </w:p>
    <w:p>
      <w:pPr>
        <w:spacing w:after="120" w:before="120"/>
      </w:pPr>
      <w:r>
        <w:t xml:space="preserve"/>
      </w:r>
    </w:p>
    <w:p>
      <w:pPr>
        <w:spacing w:after="80" w:before="60"/>
      </w:pPr>
      <w:r>
        <w:rPr>
          <w:rFonts w:ascii="Arial" w:cs="Arial" w:eastAsia="Arial" w:hAnsi="Arial"/>
          <w:b/>
          <w:bCs/>
          <w:color w:val="1B2A4A"/>
          <w:sz w:val="22"/>
          <w:szCs w:val="22"/>
        </w:rPr>
        <w:t xml:space="preserve">Key figures shown: </w:t>
      </w:r>
      <w:r>
        <w:rPr>
          <w:rFonts w:ascii="Arial" w:cs="Arial" w:eastAsia="Arial" w:hAnsi="Arial"/>
          <w:color w:val="1A1A2E"/>
          <w:sz w:val="22"/>
          <w:szCs w:val="22"/>
        </w:rPr>
        <w:t xml:space="preserve">total actionable gap, count of unmatched prescriptions, value of No Remittance Found claims, and the processor with the highest denial count.</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3.2 KPI Row 1 — Insurance Recovery Metrics</w:t>
      </w:r>
    </w:p>
    <w:p>
      <w:pPr>
        <w:spacing w:after="80" w:before="60"/>
        <w:jc w:val="left"/>
      </w:pPr>
      <w:r>
        <w:rPr>
          <w:rFonts w:ascii="Arial" w:cs="Arial" w:eastAsia="Arial" w:hAnsi="Arial"/>
          <w:b w:val="false"/>
          <w:bCs w:val="false"/>
          <w:i w:val="false"/>
          <w:iCs w:val="false"/>
          <w:color w:val="1A1A2E"/>
          <w:sz w:val="22"/>
          <w:szCs w:val="22"/>
        </w:rPr>
        <w:t xml:space="preserve">The first row of KPI cards covers the insurance billing and recovery cycle. Every card is clickable and opens a drill-down table showing the individual prescriptions behind the number.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KPI Label</w:t>
            </w:r>
          </w:p>
        </w:tc>
        <w:tc>
          <w:tcPr>
            <w:tcW w:type="dxa" w:w="356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Formula</w:t>
            </w:r>
          </w:p>
        </w:tc>
        <w:tc>
          <w:tcPr>
            <w:tcW w:type="dxa" w:w="32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Total Rx Filled</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COUNT(allRows)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prescriptions dispensed in the period, including cash and insurance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Insurance Rx</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COUNT(rows where Ins. Due &gt;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Prescriptions with an insurance component — the reconciliation universe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Total Ins. Due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SUM(Ins. Due) for insurance Rx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Total expected reimbursement from all insurers for the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Total Paid</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SUM(AmtPaid) across all remittance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Confirmed dollars received; can exceed Ins. Due due to overpayments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Unpaid Gap</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SUM(gap) where gap &gt;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Outstanding balance across all actionable unpaid claims</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3.3 KPI Row 2 — True Economics</w:t>
      </w:r>
    </w:p>
    <w:p>
      <w:pPr>
        <w:spacing w:after="80" w:before="60"/>
        <w:jc w:val="left"/>
      </w:pPr>
      <w:r>
        <w:rPr>
          <w:rFonts w:ascii="Arial" w:cs="Arial" w:eastAsia="Arial" w:hAnsi="Arial"/>
          <w:b w:val="false"/>
          <w:bCs w:val="false"/>
          <w:i w:val="false"/>
          <w:iCs w:val="false"/>
          <w:color w:val="1A1A2E"/>
          <w:sz w:val="22"/>
          <w:szCs w:val="22"/>
        </w:rPr>
        <w:t xml:space="preserve">The second row frames pharmacy financial health in terms of actual drug acquisition cost, not dispensing system estimates. This is the most operationally meaningful view of profitability.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KPI Label</w:t>
            </w:r>
          </w:p>
        </w:tc>
        <w:tc>
          <w:tcPr>
            <w:tcW w:type="dxa" w:w="356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Formula</w:t>
            </w:r>
          </w:p>
        </w:tc>
        <w:tc>
          <w:tcPr>
            <w:tcW w:type="dxa" w:w="32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Actual Drug Cost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SUM(Actual Cost) for all Rx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True outflow based on NADAC contract pricing for the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True Margin Potential</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SUM(Ins. Due + Copay - Actual Cost) for insurance Rx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What would be earned if every insurance claim were collected in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Loss-Making Fills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COUNT(rows where Retail + Copay &lt; Actual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Prescriptions where revenue does not cover acquisition cost at any payment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Profitable Rx %</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COUNT(profitable) / COUNT(all) * 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 of fills that are net-positive at actual contract cost</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3.4 Recovery Rate Card</w:t>
      </w:r>
    </w:p>
    <w:p>
      <w:pPr>
        <w:spacing w:after="80" w:before="60"/>
        <w:jc w:val="left"/>
      </w:pPr>
      <w:r>
        <w:rPr>
          <w:rFonts w:ascii="Arial" w:cs="Arial" w:eastAsia="Arial" w:hAnsi="Arial"/>
          <w:b w:val="false"/>
          <w:bCs w:val="false"/>
          <w:i w:val="false"/>
          <w:iCs w:val="false"/>
          <w:color w:val="1A1A2E"/>
          <w:sz w:val="22"/>
          <w:szCs w:val="22"/>
        </w:rPr>
        <w:t xml:space="preserve">The recovery rate card provides a single benchmark number: the percentage of billed insurance that has been collected. The industry standard for a healthy independent pharmacy is 85-95%. Values below this threshold indicate systematic underpayment, denials, or unworked claims.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Recovery Rate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Total Paid / Total Ins. Due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Expressed as %. Red &lt; 70%, amber 70-84%, green 85%+</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card also includes a note showing the dollar value of uncollected true margin — the difference between what could be earned if all claims were resolved and what has been received.</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3.5 Revenue Flow Bars</w:t>
      </w:r>
    </w:p>
    <w:p>
      <w:pPr>
        <w:spacing w:after="80" w:before="60"/>
        <w:jc w:val="left"/>
      </w:pPr>
      <w:r>
        <w:rPr>
          <w:rFonts w:ascii="Arial" w:cs="Arial" w:eastAsia="Arial" w:hAnsi="Arial"/>
          <w:b w:val="false"/>
          <w:bCs w:val="false"/>
          <w:i w:val="false"/>
          <w:iCs w:val="false"/>
          <w:color w:val="1A1A2E"/>
          <w:sz w:val="22"/>
          <w:szCs w:val="22"/>
        </w:rPr>
        <w:t xml:space="preserve">Three horizontal comparison bars show the relationship between the three most important financial figures in the period. Each bar is scaled relative to the largest value so relative magnitudes are immediately visible.</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Actual Drug Cost — total outflow; money already spent</w:t>
      </w:r>
    </w:p>
    <w:p>
      <w:pPr>
        <w:pStyle w:val="ListParagraph"/>
        <w:numPr>
          <w:ilvl w:val="0"/>
          <w:numId w:val="2"/>
        </w:numPr>
        <w:spacing w:after="40" w:before="40"/>
      </w:pPr>
      <w:r>
        <w:rPr>
          <w:rFonts w:ascii="Arial" w:cs="Arial" w:eastAsia="Arial" w:hAnsi="Arial"/>
          <w:color w:val="1A1A2E"/>
          <w:sz w:val="22"/>
          <w:szCs w:val="22"/>
        </w:rPr>
        <w:t xml:space="preserve">Total Ins. Due — total billed; money owed</w:t>
      </w:r>
    </w:p>
    <w:p>
      <w:pPr>
        <w:pStyle w:val="ListParagraph"/>
        <w:numPr>
          <w:ilvl w:val="0"/>
          <w:numId w:val="2"/>
        </w:numPr>
        <w:spacing w:after="40" w:before="40"/>
      </w:pPr>
      <w:r>
        <w:rPr>
          <w:rFonts w:ascii="Arial" w:cs="Arial" w:eastAsia="Arial" w:hAnsi="Arial"/>
          <w:color w:val="1A1A2E"/>
          <w:sz w:val="22"/>
          <w:szCs w:val="22"/>
        </w:rPr>
        <w:t xml:space="preserve">Currently Paid — confirmed received; money in hand</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When "Currently Paid" is significantly shorter than "Total Ins. Due," the visual gap represents the recovery problem. When "Actual Drug Cost" exceeds "Currently Paid," the pharmacy is operating at a loss on insurance business for that period.</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3.6 Status Breakdown — Donut Chart and Table</w:t>
      </w:r>
    </w:p>
    <w:p>
      <w:pPr>
        <w:spacing w:after="80" w:before="60"/>
        <w:jc w:val="left"/>
      </w:pPr>
      <w:r>
        <w:rPr>
          <w:rFonts w:ascii="Arial" w:cs="Arial" w:eastAsia="Arial" w:hAnsi="Arial"/>
          <w:b w:val="false"/>
          <w:bCs w:val="false"/>
          <w:i w:val="false"/>
          <w:iCs w:val="false"/>
          <w:color w:val="1A1A2E"/>
          <w:sz w:val="22"/>
          <w:szCs w:val="22"/>
        </w:rPr>
        <w:t xml:space="preserve">The donut chart and status table together show the full distribution of insurance Rx outcomes. The chart provides proportion at a glance; the table provides exact counts and dollar figures for each status category.</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table columns are:</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 Rx — count of prescriptions in this status</w:t>
      </w:r>
    </w:p>
    <w:p>
      <w:pPr>
        <w:pStyle w:val="ListParagraph"/>
        <w:numPr>
          <w:ilvl w:val="0"/>
          <w:numId w:val="2"/>
        </w:numPr>
        <w:spacing w:after="40" w:before="40"/>
      </w:pPr>
      <w:r>
        <w:rPr>
          <w:rFonts w:ascii="Arial" w:cs="Arial" w:eastAsia="Arial" w:hAnsi="Arial"/>
          <w:color w:val="1A1A2E"/>
          <w:sz w:val="22"/>
          <w:szCs w:val="22"/>
        </w:rPr>
        <w:t xml:space="preserve">Ins. Due — total billed amount for this group</w:t>
      </w:r>
    </w:p>
    <w:p>
      <w:pPr>
        <w:pStyle w:val="ListParagraph"/>
        <w:numPr>
          <w:ilvl w:val="0"/>
          <w:numId w:val="2"/>
        </w:numPr>
        <w:spacing w:after="40" w:before="40"/>
      </w:pPr>
      <w:r>
        <w:rPr>
          <w:rFonts w:ascii="Arial" w:cs="Arial" w:eastAsia="Arial" w:hAnsi="Arial"/>
          <w:color w:val="1A1A2E"/>
          <w:sz w:val="22"/>
          <w:szCs w:val="22"/>
        </w:rPr>
        <w:t xml:space="preserve">Paid — total received for this group</w:t>
      </w:r>
    </w:p>
    <w:p>
      <w:pPr>
        <w:pStyle w:val="ListParagraph"/>
        <w:numPr>
          <w:ilvl w:val="0"/>
          <w:numId w:val="2"/>
        </w:numPr>
        <w:spacing w:after="40" w:before="40"/>
      </w:pPr>
      <w:r>
        <w:rPr>
          <w:rFonts w:ascii="Arial" w:cs="Arial" w:eastAsia="Arial" w:hAnsi="Arial"/>
          <w:color w:val="1A1A2E"/>
          <w:sz w:val="22"/>
          <w:szCs w:val="22"/>
        </w:rPr>
        <w:t xml:space="preserve">Copay — patient portion collected (shown separately to clarify total revenue picture)</w:t>
      </w:r>
    </w:p>
    <w:p>
      <w:pPr>
        <w:pStyle w:val="ListParagraph"/>
        <w:numPr>
          <w:ilvl w:val="0"/>
          <w:numId w:val="2"/>
        </w:numPr>
        <w:spacing w:after="40" w:before="40"/>
      </w:pPr>
      <w:r>
        <w:rPr>
          <w:rFonts w:ascii="Arial" w:cs="Arial" w:eastAsia="Arial" w:hAnsi="Arial"/>
          <w:color w:val="1A1A2E"/>
          <w:sz w:val="22"/>
          <w:szCs w:val="22"/>
        </w:rPr>
        <w:t xml:space="preserve">Gap — Ins. Due minus Paid; positive = money owed, negative = overpaid</w:t>
      </w:r>
    </w:p>
    <w:p>
      <w:pPr>
        <w:pStyle w:val="ListParagraph"/>
        <w:numPr>
          <w:ilvl w:val="0"/>
          <w:numId w:val="2"/>
        </w:numPr>
        <w:spacing w:after="40" w:before="40"/>
      </w:pPr>
      <w:r>
        <w:rPr>
          <w:rFonts w:ascii="Arial" w:cs="Arial" w:eastAsia="Arial" w:hAnsi="Arial"/>
          <w:color w:val="1A1A2E"/>
          <w:sz w:val="22"/>
          <w:szCs w:val="22"/>
        </w:rPr>
        <w:t xml:space="preserve">True Margin — (Ins. Due + Copay - Actual Cost) for this group</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Both the chart segments and the table rows are clickable drill-downs into the individual prescriptions in that status.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3.7 Gap Composition Bar Chart</w:t>
      </w:r>
    </w:p>
    <w:p>
      <w:pPr>
        <w:spacing w:after="80" w:before="60"/>
        <w:jc w:val="left"/>
      </w:pPr>
      <w:r>
        <w:rPr>
          <w:rFonts w:ascii="Arial" w:cs="Arial" w:eastAsia="Arial" w:hAnsi="Arial"/>
          <w:b w:val="false"/>
          <w:bCs w:val="false"/>
          <w:i w:val="false"/>
          <w:iCs w:val="false"/>
          <w:color w:val="1A1A2E"/>
          <w:sz w:val="22"/>
          <w:szCs w:val="22"/>
        </w:rPr>
        <w:t xml:space="preserve">A horizontal bar chart showing only the actionable status categories, ranked by total dollar gap. This is the "where to focus" visual — it immediately shows which category of problem accounts for the most dollars at risk.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(per status)</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SUM(Ins. Due) - SUM(AmtPaid) for that status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Only statuses with gap &gt; 0 are shown</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"No Remittance Found" bar is typically dominant — these are claims with no record of submission or response, meaning no adjudication has occurred and the full billed amount is potentially recoverable.</w:t>
      </w:r>
    </w:p>
    <w:p>
      <w:pPr>
        <w:spacing w:after="120" w:before="120"/>
      </w:pPr>
      <w:r>
        <w:t xml:space="preserve"/>
      </w:r>
    </w:p>
    <w:p>
      <w:r>
        <w:br w:type="page"/>
      </w:r>
    </w:p>
    <w:p>
      <w:pPr>
        <w:pStyle w:val="Heading2"/>
        <w:spacing w:after="120" w:before="280"/>
      </w:pPr>
      <w:r>
        <w:rPr>
          <w:rFonts w:ascii="Arial" w:cs="Arial" w:eastAsia="Arial" w:hAnsi="Arial"/>
          <w:b/>
          <w:bCs/>
          <w:color w:val="1B2A4A"/>
          <w:sz w:val="28"/>
          <w:szCs w:val="28"/>
        </w:rPr>
        <w:t xml:space="preserve">3.8 Top Unpaid Claims and True Loss Leaders</w:t>
      </w:r>
    </w:p>
    <w:p>
      <w:pPr>
        <w:spacing w:after="80" w:before="60"/>
        <w:jc w:val="left"/>
      </w:pPr>
      <w:r>
        <w:rPr>
          <w:rFonts w:ascii="Arial" w:cs="Arial" w:eastAsia="Arial" w:hAnsi="Arial"/>
          <w:b w:val="false"/>
          <w:bCs w:val="false"/>
          <w:i w:val="false"/>
          <w:iCs w:val="false"/>
          <w:color w:val="1A1A2E"/>
          <w:sz w:val="22"/>
          <w:szCs w:val="22"/>
        </w:rPr>
        <w:t xml:space="preserve">Two ranked lists show the drugs with the highest dollar impact, from different analytical angles.</w:t>
      </w:r>
    </w:p>
    <w:p>
      <w:pPr>
        <w:spacing w:after="120" w:before="120"/>
      </w:pPr>
      <w:r>
        <w:t xml:space="preserve"/>
      </w:r>
    </w:p>
    <w:p>
      <w:pPr>
        <w:pStyle w:val="Heading3"/>
        <w:spacing w:after="80" w:before="200"/>
      </w:pPr>
      <w:r>
        <w:rPr>
          <w:rFonts w:ascii="Arial" w:cs="Arial" w:eastAsia="Arial" w:hAnsi="Arial"/>
          <w:b/>
          <w:bCs/>
          <w:color w:val="0D7377"/>
          <w:sz w:val="24"/>
          <w:szCs w:val="24"/>
        </w:rPr>
        <w:t xml:space="preserve">Top Unpaid Claims</w:t>
      </w:r>
    </w:p>
    <w:p>
      <w:pPr>
        <w:spacing w:after="80" w:before="60"/>
        <w:jc w:val="left"/>
      </w:pPr>
      <w:r>
        <w:rPr>
          <w:rFonts w:ascii="Arial" w:cs="Arial" w:eastAsia="Arial" w:hAnsi="Arial"/>
          <w:b w:val="false"/>
          <w:bCs w:val="false"/>
          <w:i w:val="false"/>
          <w:iCs w:val="false"/>
          <w:color w:val="1A1A2E"/>
          <w:sz w:val="22"/>
          <w:szCs w:val="22"/>
        </w:rPr>
        <w:t xml:space="preserve">Ranked by total outstanding gap — the drugs generating the most unrecovered insurance dollars. Each entry shows the drug name, count of unpaid Rx, copay already collected, and total gap. Clicking opens all unpaid Rx for that drug.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Drug Gap</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SUM(gap) grouped by Drug where status != Paid in Full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Top 10 shown by default</w:t>
            </w:r>
          </w:p>
        </w:tc>
      </w:tr>
    </w:tbl>
    <w:p>
      <w:pPr>
        <w:spacing w:after="120" w:before="120"/>
      </w:pPr>
      <w:r>
        <w:t xml:space="preserve"/>
      </w:r>
    </w:p>
    <w:p>
      <w:pPr>
        <w:pStyle w:val="Heading3"/>
        <w:spacing w:after="80" w:before="200"/>
      </w:pPr>
      <w:r>
        <w:rPr>
          <w:rFonts w:ascii="Arial" w:cs="Arial" w:eastAsia="Arial" w:hAnsi="Arial"/>
          <w:b/>
          <w:bCs/>
          <w:color w:val="0D7377"/>
          <w:sz w:val="24"/>
          <w:szCs w:val="24"/>
        </w:rPr>
        <w:t xml:space="preserve">True Loss Leaders</w:t>
      </w:r>
    </w:p>
    <w:p>
      <w:pPr>
        <w:spacing w:after="80" w:before="60"/>
        <w:jc w:val="left"/>
      </w:pPr>
      <w:r>
        <w:rPr>
          <w:rFonts w:ascii="Arial" w:cs="Arial" w:eastAsia="Arial" w:hAnsi="Arial"/>
          <w:b w:val="false"/>
          <w:bCs w:val="false"/>
          <w:i w:val="false"/>
          <w:iCs w:val="false"/>
          <w:color w:val="1A1A2E"/>
          <w:sz w:val="22"/>
          <w:szCs w:val="22"/>
        </w:rPr>
        <w:t xml:space="preserve">Ranked by True Loss — the drugs where actual cost exceeds total revenue even if paid in full. These are structurally unprofitable fills that need contract renegotiation or therapeutic substitution, not just collections work.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True Loss</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Actual Cost - (Retail + Copay)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Positive = loss; ranked descending</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3.9 Drug-Level Profitability Chart</w:t>
      </w:r>
    </w:p>
    <w:p>
      <w:pPr>
        <w:spacing w:after="80" w:before="60"/>
        <w:jc w:val="left"/>
      </w:pPr>
      <w:r>
        <w:rPr>
          <w:rFonts w:ascii="Arial" w:cs="Arial" w:eastAsia="Arial" w:hAnsi="Arial"/>
          <w:b w:val="false"/>
          <w:bCs w:val="false"/>
          <w:i w:val="false"/>
          <w:iCs w:val="false"/>
          <w:color w:val="1A1A2E"/>
          <w:sz w:val="22"/>
          <w:szCs w:val="22"/>
        </w:rPr>
        <w:t xml:space="preserve">A donut chart showing the split between profitable and loss-making fills at actual cost. The chart answers the question: of all fills this period, what share generated positive margin when priced against real NADAC acquisition cost?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Profitable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Retail + Copay - Actual Cost &gt;=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Count of Rx where total revenue exceeds actual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Loss-Making</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Retail + Copay - Actual Cost &lt;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Count of Rx where actual cost exceeds total revenue</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Below the chart, Margin Stars lists the individual insurance Rx with the highest positive true margins — drugs that are not only being paid but are actually profitable at actual cost.</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3.10 Processor Performance Table</w:t>
      </w:r>
    </w:p>
    <w:p>
      <w:pPr>
        <w:spacing w:after="80" w:before="60"/>
        <w:jc w:val="left"/>
      </w:pPr>
      <w:r>
        <w:rPr>
          <w:rFonts w:ascii="Arial" w:cs="Arial" w:eastAsia="Arial" w:hAnsi="Arial"/>
          <w:b w:val="false"/>
          <w:bCs w:val="false"/>
          <w:i w:val="false"/>
          <w:iCs w:val="false"/>
          <w:color w:val="1A1A2E"/>
          <w:sz w:val="22"/>
          <w:szCs w:val="22"/>
        </w:rPr>
        <w:t xml:space="preserve">A sortable table covering all 23 insurance processors in the dataset. For each processor, the table shows:</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Total Claims — all remittance records for this processor in the period</w:t>
      </w:r>
    </w:p>
    <w:p>
      <w:pPr>
        <w:pStyle w:val="ListParagraph"/>
        <w:numPr>
          <w:ilvl w:val="0"/>
          <w:numId w:val="2"/>
        </w:numPr>
        <w:spacing w:after="40" w:before="40"/>
      </w:pPr>
      <w:r>
        <w:rPr>
          <w:rFonts w:ascii="Arial" w:cs="Arial" w:eastAsia="Arial" w:hAnsi="Arial"/>
          <w:color w:val="1A1A2E"/>
          <w:sz w:val="22"/>
          <w:szCs w:val="22"/>
        </w:rPr>
        <w:t xml:space="preserve">Paid — count of records with AmtPaid &gt; 0</w:t>
      </w:r>
    </w:p>
    <w:p>
      <w:pPr>
        <w:pStyle w:val="ListParagraph"/>
        <w:numPr>
          <w:ilvl w:val="0"/>
          <w:numId w:val="2"/>
        </w:numPr>
        <w:spacing w:after="40" w:before="40"/>
      </w:pPr>
      <w:r>
        <w:rPr>
          <w:rFonts w:ascii="Arial" w:cs="Arial" w:eastAsia="Arial" w:hAnsi="Arial"/>
          <w:color w:val="1A1A2E"/>
          <w:sz w:val="22"/>
          <w:szCs w:val="22"/>
        </w:rPr>
        <w:t xml:space="preserve">Denied — count of records with denial status</w:t>
      </w:r>
    </w:p>
    <w:p>
      <w:pPr>
        <w:pStyle w:val="ListParagraph"/>
        <w:numPr>
          <w:ilvl w:val="0"/>
          <w:numId w:val="2"/>
        </w:numPr>
        <w:spacing w:after="40" w:before="40"/>
      </w:pPr>
      <w:r>
        <w:rPr>
          <w:rFonts w:ascii="Arial" w:cs="Arial" w:eastAsia="Arial" w:hAnsi="Arial"/>
          <w:color w:val="1A1A2E"/>
          <w:sz w:val="22"/>
          <w:szCs w:val="22"/>
        </w:rPr>
        <w:t xml:space="preserve">Reversed — count of records with AmtPaid &lt; 0 (clawbacks)</w:t>
      </w:r>
    </w:p>
    <w:p>
      <w:pPr>
        <w:pStyle w:val="ListParagraph"/>
        <w:numPr>
          <w:ilvl w:val="0"/>
          <w:numId w:val="2"/>
        </w:numPr>
        <w:spacing w:after="40" w:before="40"/>
      </w:pPr>
      <w:r>
        <w:rPr>
          <w:rFonts w:ascii="Arial" w:cs="Arial" w:eastAsia="Arial" w:hAnsi="Arial"/>
          <w:color w:val="1A1A2E"/>
          <w:sz w:val="22"/>
          <w:szCs w:val="22"/>
        </w:rPr>
        <w:t xml:space="preserve">Amt Paid — total dollars received from this processor</w:t>
      </w:r>
    </w:p>
    <w:p>
      <w:pPr>
        <w:pStyle w:val="ListParagraph"/>
        <w:numPr>
          <w:ilvl w:val="0"/>
          <w:numId w:val="2"/>
        </w:numPr>
        <w:spacing w:after="40" w:before="40"/>
      </w:pPr>
      <w:r>
        <w:rPr>
          <w:rFonts w:ascii="Arial" w:cs="Arial" w:eastAsia="Arial" w:hAnsi="Arial"/>
          <w:color w:val="1A1A2E"/>
          <w:sz w:val="22"/>
          <w:szCs w:val="22"/>
        </w:rPr>
        <w:t xml:space="preserve">Pay Rate — visual bar + percentage; color-coded green (90%+), amber (70-89%), red (below 70%)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 Rate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Paid Count / Total Claims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processor; excludes reversed from numerator</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Clicking any row opens a drill-down of all individual Rx associated with that processor.</w:t>
      </w:r>
    </w:p>
    <w:p>
      <w:pPr>
        <w:spacing w:after="120" w:before="120"/>
      </w:pPr>
      <w:r>
        <w:t xml:space="preserve"/>
      </w:r>
    </w:p>
    <w:p>
      <w:r>
        <w:br w:type="page"/>
      </w:r>
    </w:p>
    <w:p>
      <w:pPr>
        <w:pStyle w:val="Heading2"/>
        <w:spacing w:after="120" w:before="280"/>
      </w:pPr>
      <w:r>
        <w:rPr>
          <w:rFonts w:ascii="Arial" w:cs="Arial" w:eastAsia="Arial" w:hAnsi="Arial"/>
          <w:b/>
          <w:bCs/>
          <w:color w:val="1B2A4A"/>
          <w:sz w:val="28"/>
          <w:szCs w:val="28"/>
        </w:rPr>
        <w:t xml:space="preserve">3.11 Copay Collection Rate</w:t>
      </w:r>
    </w:p>
    <w:p>
      <w:pPr>
        <w:spacing w:after="80" w:before="60"/>
        <w:jc w:val="left"/>
      </w:pPr>
      <w:r>
        <w:rPr>
          <w:rFonts w:ascii="Arial" w:cs="Arial" w:eastAsia="Arial" w:hAnsi="Arial"/>
          <w:b w:val="false"/>
          <w:bCs w:val="false"/>
          <w:i w:val="false"/>
          <w:iCs w:val="false"/>
          <w:color w:val="1A1A2E"/>
          <w:sz w:val="22"/>
          <w:szCs w:val="22"/>
        </w:rPr>
        <w:t xml:space="preserve">A donut chart showing the split between insurance fills where a patient copay was collected at the point of sale versus fills with a $0 copay. Copay waivers are a compliance risk area — certain payers treat routine copay waivers as a False Claims Act exposure, and some PBMs use them as a retroactive clawback justification.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KPI Label</w:t>
            </w:r>
          </w:p>
        </w:tc>
        <w:tc>
          <w:tcPr>
            <w:tcW w:type="dxa" w:w="356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Formula</w:t>
            </w:r>
          </w:p>
        </w:tc>
        <w:tc>
          <w:tcPr>
            <w:tcW w:type="dxa" w:w="32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With Copay</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COUNT(Rx where Copay &gt;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Fills with a patient portion collected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No Copay</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COUNT(Rx where Copay =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Fills with zero patient contribution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Copay Total</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SUM(Copay / Patient Pay)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Total patient dollars collected this period</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3.12 Claim Age Analysis</w:t>
      </w:r>
    </w:p>
    <w:p>
      <w:pPr>
        <w:spacing w:after="80" w:before="60"/>
        <w:jc w:val="left"/>
      </w:pPr>
      <w:r>
        <w:rPr>
          <w:rFonts w:ascii="Arial" w:cs="Arial" w:eastAsia="Arial" w:hAnsi="Arial"/>
          <w:b w:val="false"/>
          <w:bCs w:val="false"/>
          <w:i w:val="false"/>
          <w:iCs w:val="false"/>
          <w:color w:val="1A1A2E"/>
          <w:sz w:val="22"/>
          <w:szCs w:val="22"/>
        </w:rPr>
        <w:t xml:space="preserve">A bar chart bucketing all unpaid claims (gap &gt; 0) by how many days have elapsed since the fill date. Color coding moves from green (fresh, fully appealable) through amber to red (likely past appeal window). This chart separates claims that are still actionable from those that may need to be written off.</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KPI Label</w:t>
            </w:r>
          </w:p>
        </w:tc>
        <w:tc>
          <w:tcPr>
            <w:tcW w:type="dxa" w:w="356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Formula</w:t>
            </w:r>
          </w:p>
        </w:tc>
        <w:tc>
          <w:tcPr>
            <w:tcW w:type="dxa" w:w="32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Age Bucket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FLOOR((Today - FillDate) / 86400)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Days since prescription was dispensed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0–30 days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Gap &gt; 0 AND age ≤ 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Fresh claims — highest recovery probability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31–60 days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Gap &gt; 0 AND age 31–60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Still within most appeal windows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61–90 days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Gap &gt; 0 AND age 61–90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Approaching deadline — act quickly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91+ days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Gap &gt; 0 AND age &gt; 90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Likely past appeal window — review for write-off</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3.13 Network Participation</w:t>
      </w:r>
    </w:p>
    <w:p>
      <w:pPr>
        <w:spacing w:after="80" w:before="60"/>
        <w:jc w:val="left"/>
      </w:pPr>
      <w:r>
        <w:rPr>
          <w:rFonts w:ascii="Arial" w:cs="Arial" w:eastAsia="Arial" w:hAnsi="Arial"/>
          <w:b w:val="false"/>
          <w:bCs w:val="false"/>
          <w:i w:val="false"/>
          <w:iCs w:val="false"/>
          <w:color w:val="1A1A2E"/>
          <w:sz w:val="22"/>
          <w:szCs w:val="22"/>
        </w:rPr>
        <w:t xml:space="preserve">A grouped bar chart comparing each processor tier’s share of total claim volume against its share of total revenue received. A tier whose revenue percentage is significantly lower than its volume percentage is generating a disproportionately high share of denials or underpayments relative to the claims it processes.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KPI Label</w:t>
            </w:r>
          </w:p>
        </w:tc>
        <w:tc>
          <w:tcPr>
            <w:tcW w:type="dxa" w:w="356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Formula</w:t>
            </w:r>
          </w:p>
        </w:tc>
        <w:tc>
          <w:tcPr>
            <w:tcW w:type="dxa" w:w="3200"/>
            <w:tcBorders>
              <w:top w:val="single" w:color="CCCCCC" w:sz="1"/>
              <w:left w:val="single" w:color="CCCCCC" w:sz="1"/>
              <w:bottom w:val="single" w:color="CCCCCC" w:sz="1"/>
              <w:right w:val="single" w:color="CCCCCC" w:sz="1"/>
            </w:tcBorders>
            <w:shd w:fill="E5E8ED"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Volume %</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COUNT(tier claims) / COUNT(all claims) * 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 of total claim volume by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Revenue %</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color w:val="C0392B"/>
                <w:sz w:val="18"/>
                <w:szCs w:val="18"/>
              </w:rPr>
              <w:t xml:space="preserve">SUM(AmtPaid for tier) / SUM(AmtPaid all) * 100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 of total revenue received by tier</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3.14 Period-Over-Period Trend</w:t>
      </w:r>
    </w:p>
    <w:p>
      <w:pPr>
        <w:spacing w:after="80" w:before="60"/>
        <w:jc w:val="left"/>
      </w:pPr>
      <w:r>
        <w:rPr>
          <w:rFonts w:ascii="Arial" w:cs="Arial" w:eastAsia="Arial" w:hAnsi="Arial"/>
          <w:b w:val="false"/>
          <w:bCs w:val="false"/>
          <w:i w:val="false"/>
          <w:iCs w:val="false"/>
          <w:color w:val="1A1A2E"/>
          <w:sz w:val="22"/>
          <w:szCs w:val="22"/>
        </w:rPr>
        <w:t xml:space="preserve">A multi-series line chart showing recovery rate, unpaid gap, and PBM toll across all saved reconciliation periods. This chart populates automatically as periods are saved using the Save feature. With a single period loaded, it displays a prompt to save and return next month. Two or more saved periods produce the full trend.</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Recovery Rate — tracked on the left axis as a percentage</w:t>
      </w:r>
    </w:p>
    <w:p>
      <w:pPr>
        <w:pStyle w:val="ListParagraph"/>
        <w:numPr>
          <w:ilvl w:val="0"/>
          <w:numId w:val="2"/>
        </w:numPr>
        <w:spacing w:after="40" w:before="40"/>
      </w:pPr>
      <w:r>
        <w:rPr>
          <w:rFonts w:ascii="Arial" w:cs="Arial" w:eastAsia="Arial" w:hAnsi="Arial"/>
          <w:color w:val="1A1A2E"/>
          <w:sz w:val="22"/>
          <w:szCs w:val="22"/>
        </w:rPr>
        <w:t xml:space="preserve">Unpaid Gap — tracked on the right axis in dollars</w:t>
      </w:r>
    </w:p>
    <w:p>
      <w:pPr>
        <w:pStyle w:val="ListParagraph"/>
        <w:numPr>
          <w:ilvl w:val="0"/>
          <w:numId w:val="2"/>
        </w:numPr>
        <w:spacing w:after="40" w:before="40"/>
      </w:pPr>
      <w:r>
        <w:rPr>
          <w:rFonts w:ascii="Arial" w:cs="Arial" w:eastAsia="Arial" w:hAnsi="Arial"/>
          <w:color w:val="1A1A2E"/>
          <w:sz w:val="22"/>
          <w:szCs w:val="22"/>
        </w:rPr>
        <w:t xml:space="preserve">PBM Toll — tracked on the right axis in dollars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Data is loaded from the browser’s localStorage. Saved periods persist between sessions on the same machine and browser.</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3.15 Dispensed Quantity vs. Payment Rate</w:t>
      </w:r>
    </w:p>
    <w:p>
      <w:pPr>
        <w:spacing w:after="80" w:before="60"/>
        <w:jc w:val="left"/>
      </w:pPr>
      <w:r>
        <w:rPr>
          <w:rFonts w:ascii="Arial" w:cs="Arial" w:eastAsia="Arial" w:hAnsi="Arial"/>
          <w:b w:val="false"/>
          <w:bCs w:val="false"/>
          <w:i w:val="false"/>
          <w:iCs w:val="false"/>
          <w:color w:val="1A1A2E"/>
          <w:sz w:val="22"/>
          <w:szCs w:val="22"/>
        </w:rPr>
        <w:t xml:space="preserve">A bar chart grouping all insurance Rx by quantity dispensed (1–30, 31–60, 61–90, 91–180, 181+ units) and showing the payment success rate for each group. Quantity dispensed is used as a proxy for days supply since days supply is not always available in dispensing exports. Significant drops in pay rate at higher quantities may indicate PBM restrictions on 90-day fills, compound medications, or specialty drugs.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 Rate by Qty</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COUNT(paid or part-paid Rx in bucket) / COUNT(all Rx in bucket)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quantity bucket; color-coded green/amber/red</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Note: quantity-to-days-supply ratios vary by drug and dosing schedule. This chart surfaces patterns for investigation rather than providing definitive conclusions.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3.16 Denial Reason Codes</w:t>
      </w:r>
    </w:p>
    <w:p>
      <w:pPr>
        <w:spacing w:after="80" w:before="60"/>
        <w:jc w:val="left"/>
      </w:pPr>
      <w:r>
        <w:rPr>
          <w:rFonts w:ascii="Arial" w:cs="Arial" w:eastAsia="Arial" w:hAnsi="Arial"/>
          <w:b w:val="false"/>
          <w:bCs w:val="false"/>
          <w:i w:val="false"/>
          <w:iCs w:val="false"/>
          <w:color w:val="1A1A2E"/>
          <w:sz w:val="22"/>
          <w:szCs w:val="22"/>
        </w:rPr>
        <w:t xml:space="preserve">A horizontal bar chart of the top denial reason codes from the remittance data, ranked by frequency. This chart is conditional — it only displays if the remittance dataset includes a recognized denial code column (RejectCode, Reject Code, DenialReason, Denial Reason, RejectReason, Additional Message, or Reject Description). If no such column is found, a diagnostic message identifies which column names were searched.</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Understanding the specific reason codes behind denials is critical for systematic resubmission. A denial coded as “Patient not eligible” requires a different resolution path than “Drug not covered under plan” or “Prior authorization required.”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Denial Reason Count</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COUNT(remittance rows where status=Denied, grouped by ReasonCode)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Top 10 shown; clicking a bar opens the individual claims</w:t>
            </w:r>
          </w:p>
        </w:tc>
      </w:tr>
    </w:tbl>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4. PBM Impact Analysis Section</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PBM Impact section is the most analytically advanced part of the dashboard. It addresses a specific and often invisible problem: certain insurance processors (Pharmacy Benefit Managers) systematically extract value from independent pharmacies through mechanisms that are legal, contractual, and nearly impossible to detect without this kind of data analysis.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4.1 PBM Classification</w:t>
      </w:r>
    </w:p>
    <w:p>
      <w:pPr>
        <w:spacing w:after="80" w:before="60"/>
        <w:jc w:val="left"/>
      </w:pPr>
      <w:r>
        <w:rPr>
          <w:rFonts w:ascii="Arial" w:cs="Arial" w:eastAsia="Arial" w:hAnsi="Arial"/>
          <w:b w:val="false"/>
          <w:bCs w:val="false"/>
          <w:i w:val="false"/>
          <w:iCs w:val="false"/>
          <w:color w:val="1A1A2E"/>
          <w:sz w:val="22"/>
          <w:szCs w:val="22"/>
        </w:rPr>
        <w:t xml:space="preserve">Processors are classified as Vertically Integrated PBMs, Pharmacy Switching Networks &amp; Intermediaries, or Independent processors based on known market participants:</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Vertically Integrated PBMs: CVS Caremark, OptumRx, Prime Therapeutics — note: OptumRx may appear as “Optum Rx” in raw remittance data; the dashboard normalizes both to a single entry at import</w:t>
      </w:r>
    </w:p>
    <w:p>
      <w:pPr>
        <w:pStyle w:val="ListParagraph"/>
        <w:numPr>
          <w:ilvl w:val="0"/>
          <w:numId w:val="2"/>
        </w:numPr>
        <w:spacing w:after="40" w:before="40"/>
      </w:pPr>
      <w:r>
        <w:rPr>
          <w:rFonts w:ascii="Arial" w:cs="Arial" w:eastAsia="Arial" w:hAnsi="Arial"/>
          <w:color w:val="1A1A2E"/>
          <w:sz w:val="22"/>
          <w:szCs w:val="22"/>
        </w:rPr>
        <w:t xml:space="preserve">Pharmacy Switching Networks &amp; Intermediaries: McKesson*, Savrx, Change Healthcare</w:t>
      </w:r>
    </w:p>
    <w:p>
      <w:pPr>
        <w:pStyle w:val="ListParagraph"/>
        <w:numPr>
          <w:ilvl w:val="0"/>
          <w:numId w:val="2"/>
        </w:numPr>
        <w:spacing w:after="40" w:before="40"/>
      </w:pPr>
      <w:r>
        <w:rPr>
          <w:rFonts w:ascii="Arial" w:cs="Arial" w:eastAsia="Arial" w:hAnsi="Arial"/>
          <w:color w:val="1A1A2E"/>
          <w:sz w:val="22"/>
          <w:szCs w:val="22"/>
        </w:rPr>
        <w:t xml:space="preserve">Independent: All other processors</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4.2 PBM Toll KPI</w:t>
      </w:r>
    </w:p>
    <w:p>
      <w:pPr>
        <w:spacing w:after="80" w:before="60"/>
        <w:jc w:val="left"/>
      </w:pPr>
      <w:r>
        <w:rPr>
          <w:rFonts w:ascii="Arial" w:cs="Arial" w:eastAsia="Arial" w:hAnsi="Arial"/>
          <w:b w:val="false"/>
          <w:bCs w:val="false"/>
          <w:i w:val="false"/>
          <w:iCs w:val="false"/>
          <w:color w:val="1A1A2E"/>
          <w:sz w:val="22"/>
          <w:szCs w:val="22"/>
        </w:rPr>
        <w:t xml:space="preserve">The headline figure in the PBM section — the total dollar amount extracted by PBMs through denials, clawbacks, and below-NADAC payments combined.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PBM Toll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Denial Losses + Clawback Losses + Below-NADAC Shortfall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All three components summed for Big and Pharmacy Switching Networks &amp; Intermediaries only</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4.3 PBM vs. Independent Comparison Bars</w:t>
      </w:r>
    </w:p>
    <w:p>
      <w:pPr>
        <w:spacing w:after="80" w:before="60"/>
        <w:jc w:val="left"/>
      </w:pPr>
      <w:r>
        <w:rPr>
          <w:rFonts w:ascii="Arial" w:cs="Arial" w:eastAsia="Arial" w:hAnsi="Arial"/>
          <w:b w:val="false"/>
          <w:bCs w:val="false"/>
          <w:i w:val="false"/>
          <w:iCs w:val="false"/>
          <w:color w:val="1A1A2E"/>
          <w:sz w:val="22"/>
          <w:szCs w:val="22"/>
        </w:rPr>
        <w:t xml:space="preserve">Side-by-side horizontal bars comparing pay rates across PBM tiers. The visual makes it immediately apparent whether lower pay rates are concentrated in specific processor categories, supporting the case for contract renegotiation or network participation review.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Pay Rate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SUM(AmtPaid for tier) / SUM(Ins. Due for tier)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Weighted average across all processors in the tier</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4.4 Clawback Analysis</w:t>
      </w:r>
    </w:p>
    <w:p>
      <w:pPr>
        <w:spacing w:after="80" w:before="60"/>
        <w:jc w:val="left"/>
      </w:pPr>
      <w:r>
        <w:rPr>
          <w:rFonts w:ascii="Arial" w:cs="Arial" w:eastAsia="Arial" w:hAnsi="Arial"/>
          <w:b w:val="false"/>
          <w:bCs w:val="false"/>
          <w:i w:val="false"/>
          <w:iCs w:val="false"/>
          <w:color w:val="1A1A2E"/>
          <w:sz w:val="22"/>
          <w:szCs w:val="22"/>
        </w:rPr>
        <w:t xml:space="preserve">Clawbacks are payments that were made and then reversed — money the pharmacy received and then had taken back. This is a key PBM revenue extraction mechanism, often implemented as DIR (Direct and Indirect Remuneration) fees applied months after dispensing with no appeal process.</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Listed by processor, showing count of reversals and total dollars clawed back</w:t>
      </w:r>
    </w:p>
    <w:p>
      <w:pPr>
        <w:pStyle w:val="ListParagraph"/>
        <w:numPr>
          <w:ilvl w:val="0"/>
          <w:numId w:val="2"/>
        </w:numPr>
        <w:spacing w:after="40" w:before="40"/>
      </w:pPr>
      <w:r>
        <w:rPr>
          <w:rFonts w:ascii="Arial" w:cs="Arial" w:eastAsia="Arial" w:hAnsi="Arial"/>
          <w:color w:val="1A1A2E"/>
          <w:sz w:val="22"/>
          <w:szCs w:val="22"/>
        </w:rPr>
        <w:t xml:space="preserve">Each entry is clickable and shows the individual reversed claims</w:t>
      </w:r>
    </w:p>
    <w:p>
      <w:pPr>
        <w:pStyle w:val="ListParagraph"/>
        <w:numPr>
          <w:ilvl w:val="0"/>
          <w:numId w:val="2"/>
        </w:numPr>
        <w:spacing w:after="40" w:before="40"/>
      </w:pPr>
      <w:r>
        <w:rPr>
          <w:rFonts w:ascii="Arial" w:cs="Arial" w:eastAsia="Arial" w:hAnsi="Arial"/>
          <w:color w:val="1A1A2E"/>
          <w:sz w:val="22"/>
          <w:szCs w:val="22"/>
        </w:rPr>
        <w:t xml:space="preserve">PBM badge shown on processors classified as Big or Pharmacy Switching Networks &amp; Intermediaries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Clawback Total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SUM(ABS(AmtPaid)) where AmtPaid &lt; 0, grouped by Processor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Negative payments = money taken back</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4.5 Below-NADAC Analysis</w:t>
      </w:r>
    </w:p>
    <w:p>
      <w:pPr>
        <w:spacing w:after="80" w:before="60"/>
        <w:jc w:val="left"/>
      </w:pPr>
      <w:r>
        <w:rPr>
          <w:rFonts w:ascii="Arial" w:cs="Arial" w:eastAsia="Arial" w:hAnsi="Arial"/>
          <w:b w:val="false"/>
          <w:bCs w:val="false"/>
          <w:i w:val="false"/>
          <w:iCs w:val="false"/>
          <w:color w:val="1A1A2E"/>
          <w:sz w:val="22"/>
          <w:szCs w:val="22"/>
        </w:rPr>
        <w:t xml:space="preserve">When an insurer pays less than NADAC for a drug, they are paying below the federal cost benchmark — meaning the pharmacy is dispensing the drug at a loss on that specific claim. This list identifies which processors are systematically doing this and by how much.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Below-NADAC Shortfall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SUM(NADAC-Based Cost - AmtPaid) where AmtPaid &lt; NADAC-Based Cost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Grouped by Processor; NADAC-Based Cost = NADAC * Quantity</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NADAC is published monthly by CMS as the National Average Drug Acquisition Cost. It represents what pharmacies actually pay at wholesale. When a PBM pays below NADAC, it is by definition paying below federal cost — a contractual arrangement that shifts margin from the pharmacy to the PBM.</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4.6 Payment Lag Chart</w:t>
      </w:r>
    </w:p>
    <w:p>
      <w:pPr>
        <w:spacing w:after="80" w:before="60"/>
        <w:jc w:val="left"/>
      </w:pPr>
      <w:r>
        <w:rPr>
          <w:rFonts w:ascii="Arial" w:cs="Arial" w:eastAsia="Arial" w:hAnsi="Arial"/>
          <w:b w:val="false"/>
          <w:bCs w:val="false"/>
          <w:i w:val="false"/>
          <w:iCs w:val="false"/>
          <w:color w:val="1A1A2E"/>
          <w:sz w:val="22"/>
          <w:szCs w:val="22"/>
        </w:rPr>
        <w:t xml:space="preserve">A horizontal bar chart showing average days between fill date and payment date for each processor. Longer payment delays represent working capital cost to the pharmacy — money dispensed but not yet received. Bars are color-coded: red for PBMs, green for independent processors.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Avg Lag (days)</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AVG(PaymentDate - FillDate) grouped by Processor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Only processors with 5+ claims shown; sorted by lag descending</w:t>
            </w:r>
          </w:p>
        </w:tc>
      </w:tr>
    </w:tbl>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A high lag from a PBM combined with a high clawback rate creates a compounding problem: the pharmacy waits months for payment, and when payment arrives, part of it is reversed — often without detailed explanation.</w:t>
      </w:r>
    </w:p>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5. Complete Formula Reference</w:t>
      </w:r>
    </w:p>
    <w:p>
      <w:pPr>
        <w:spacing w:after="120" w:before="120"/>
      </w:pPr>
      <w:r>
        <w:t xml:space="preserve"/>
      </w:r>
    </w:p>
    <w:p>
      <w:pPr>
        <w:pStyle w:val="Heading2"/>
        <w:spacing w:after="120" w:before="280"/>
      </w:pPr>
      <w:r>
        <w:rPr>
          <w:rFonts w:ascii="Arial" w:cs="Arial" w:eastAsia="Arial" w:hAnsi="Arial"/>
          <w:b/>
          <w:bCs/>
          <w:color w:val="1B2A4A"/>
          <w:sz w:val="28"/>
          <w:szCs w:val="28"/>
        </w:rPr>
        <w:t xml:space="preserve">5.1 Core Reconciliation Formulas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(per Rx)</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Ins. Due - AmtPaid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Positive = underpaid or unpaid; negative = overpaid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True Margin (per Rx)</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Ins. Due + Copay - Actual Cost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Net economic result if insurance claim is fully collected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Recovery Rate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Total Paid / Total Ins. Due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Percentage of billed insurance actually received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Actionable Gap</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SUM(gap) where gap &gt;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Total dollars in claims that can be appealed or rebilled</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5.2 True Economics Formulas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Actual Drug Cost</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NADAC_Unit_Price * Quantity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Rx; represents real wholesale acquisition cost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Profitability (per Rx)</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Retail + Copay - Actual Cost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Positive = profitable; negative = loss at actual cost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True Margin Potential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SUM(Ins. Due + Copay - Actual Cost)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If all insurance Rx were paid in full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Below-NADAC Shortfall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NADAC_Based_Cost - AmtPaid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Rx where AmtPaid &lt; NADAC_Based_Cost</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5.3 Processor / PBM Formulas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Processor Pay Rate</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Paid_Count / Total_Claims * 100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Percentage of claims with a positive payment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PBM Toll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Denial_Loss + Clawback_Loss + Below_NADAC_Shortfall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Total value extracted by PBM-classified processors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Clawback Total</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SUM(ABS(AmtPaid)) where AmtPaid &lt; 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processor; total money reversed after payment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Payment Lag</w:t>
            </w:r>
          </w:p>
        </w:tc>
        <w:tc>
          <w:tcPr>
            <w:tcW w:type="dxa" w:w="4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rFonts w:ascii="Courier New" w:cs="Courier New" w:eastAsia="Courier New" w:hAnsi="Courier New"/>
                <w:b/>
                <w:bCs/>
                <w:color w:val="C0392B"/>
                <w:sz w:val="20"/>
                <w:szCs w:val="20"/>
              </w:rPr>
              <w:t xml:space="preserve">PaymentDate - FillDate (days)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B7A8D"/>
                <w:sz w:val="18"/>
                <w:szCs w:val="18"/>
              </w:rPr>
              <w:t xml:space="preserve">Per claim; averaged by processor for chart display</w:t>
            </w:r>
          </w:p>
        </w:tc>
      </w:tr>
    </w:tbl>
    <w:p>
      <w:pPr>
        <w:spacing w:after="120" w:before="120"/>
      </w:pPr>
      <w:r>
        <w:t xml:space="preserve"/>
      </w:r>
    </w:p>
    <w:p>
      <w:pPr>
        <w:pStyle w:val="Heading2"/>
        <w:spacing w:after="120" w:before="280"/>
      </w:pPr>
      <w:r>
        <w:rPr>
          <w:rFonts w:ascii="Arial" w:cs="Arial" w:eastAsia="Arial" w:hAnsi="Arial"/>
          <w:b/>
          <w:bCs/>
          <w:color w:val="1B2A4A"/>
          <w:sz w:val="28"/>
          <w:szCs w:val="28"/>
        </w:rPr>
        <w:t xml:space="preserve">5.4 Drill-Down Summary Formulas</w:t>
      </w:r>
    </w:p>
    <w:p>
      <w:pPr>
        <w:spacing w:after="80" w:before="60"/>
        <w:jc w:val="left"/>
      </w:pPr>
      <w:r>
        <w:rPr>
          <w:rFonts w:ascii="Arial" w:cs="Arial" w:eastAsia="Arial" w:hAnsi="Arial"/>
          <w:b w:val="false"/>
          <w:bCs w:val="false"/>
          <w:i w:val="false"/>
          <w:iCs w:val="false"/>
          <w:color w:val="1A1A2E"/>
          <w:sz w:val="22"/>
          <w:szCs w:val="22"/>
        </w:rPr>
        <w:t xml:space="preserve">When clicking any chart, table row, or list item, the drill-down panel shows a summary bar with:</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Total Ins. Due — sum of Ins. Due for selected rows</w:t>
      </w:r>
    </w:p>
    <w:p>
      <w:pPr>
        <w:pStyle w:val="ListParagraph"/>
        <w:numPr>
          <w:ilvl w:val="0"/>
          <w:numId w:val="2"/>
        </w:numPr>
        <w:spacing w:after="40" w:before="40"/>
      </w:pPr>
      <w:r>
        <w:rPr>
          <w:rFonts w:ascii="Arial" w:cs="Arial" w:eastAsia="Arial" w:hAnsi="Arial"/>
          <w:color w:val="1A1A2E"/>
          <w:sz w:val="22"/>
          <w:szCs w:val="22"/>
        </w:rPr>
        <w:t xml:space="preserve">Total Paid — sum of AmtPaid for selected rows</w:t>
      </w:r>
    </w:p>
    <w:p>
      <w:pPr>
        <w:pStyle w:val="ListParagraph"/>
        <w:numPr>
          <w:ilvl w:val="0"/>
          <w:numId w:val="2"/>
        </w:numPr>
        <w:spacing w:after="40" w:before="40"/>
      </w:pPr>
      <w:r>
        <w:rPr>
          <w:rFonts w:ascii="Arial" w:cs="Arial" w:eastAsia="Arial" w:hAnsi="Arial"/>
          <w:color w:val="1A1A2E"/>
          <w:sz w:val="22"/>
          <w:szCs w:val="22"/>
        </w:rPr>
        <w:t xml:space="preserve">Copay Collected — sum of Copay for selected rows</w:t>
      </w:r>
    </w:p>
    <w:p>
      <w:pPr>
        <w:pStyle w:val="ListParagraph"/>
        <w:numPr>
          <w:ilvl w:val="0"/>
          <w:numId w:val="2"/>
        </w:numPr>
        <w:spacing w:after="40" w:before="40"/>
      </w:pPr>
      <w:r>
        <w:rPr>
          <w:rFonts w:ascii="Arial" w:cs="Arial" w:eastAsia="Arial" w:hAnsi="Arial"/>
          <w:color w:val="1A1A2E"/>
          <w:sz w:val="22"/>
          <w:szCs w:val="22"/>
        </w:rPr>
        <w:t xml:space="preserve">Total Gap — sum of gap for selected rows</w:t>
      </w:r>
    </w:p>
    <w:p>
      <w:pPr>
        <w:pStyle w:val="ListParagraph"/>
        <w:numPr>
          <w:ilvl w:val="0"/>
          <w:numId w:val="2"/>
        </w:numPr>
        <w:spacing w:after="40" w:before="40"/>
      </w:pPr>
      <w:r>
        <w:rPr>
          <w:rFonts w:ascii="Arial" w:cs="Arial" w:eastAsia="Arial" w:hAnsi="Arial"/>
          <w:color w:val="1A1A2E"/>
          <w:sz w:val="22"/>
          <w:szCs w:val="22"/>
        </w:rPr>
        <w:t xml:space="preserve">True Margin — sum of (Ins. Due + Copay - Actual Cost) for selected rows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full table is sortable by any column and exportable to CSV.</w:t>
      </w:r>
    </w:p>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6. Saving and Loading Reconciliations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The dashboard includes a save/load system that persists reconciliation results between sessions without requiring a server or database.</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Clicking Save prompts for a label and stores the full reconciliation result in the browser's localStorage under the key recon:{id}</w:t>
      </w:r>
    </w:p>
    <w:p>
      <w:pPr>
        <w:pStyle w:val="ListParagraph"/>
        <w:numPr>
          <w:ilvl w:val="0"/>
          <w:numId w:val="2"/>
        </w:numPr>
        <w:spacing w:after="40" w:before="40"/>
      </w:pPr>
      <w:r>
        <w:rPr>
          <w:rFonts w:ascii="Arial" w:cs="Arial" w:eastAsia="Arial" w:hAnsi="Arial"/>
          <w:color w:val="1A1A2E"/>
          <w:sz w:val="22"/>
          <w:szCs w:val="22"/>
        </w:rPr>
        <w:t xml:space="preserve">An index of saved reconciliations is stored under recon:index</w:t>
      </w:r>
    </w:p>
    <w:p>
      <w:pPr>
        <w:pStyle w:val="ListParagraph"/>
        <w:numPr>
          <w:ilvl w:val="0"/>
          <w:numId w:val="2"/>
        </w:numPr>
        <w:spacing w:after="40" w:before="40"/>
      </w:pPr>
      <w:r>
        <w:rPr>
          <w:rFonts w:ascii="Arial" w:cs="Arial" w:eastAsia="Arial" w:hAnsi="Arial"/>
          <w:color w:val="1A1A2E"/>
          <w:sz w:val="22"/>
          <w:szCs w:val="22"/>
        </w:rPr>
        <w:t xml:space="preserve">Opening the tool on the same machine and browser will show previously saved reconciliations on the upload screen</w:t>
      </w:r>
    </w:p>
    <w:p>
      <w:pPr>
        <w:pStyle w:val="ListParagraph"/>
        <w:numPr>
          <w:ilvl w:val="0"/>
          <w:numId w:val="2"/>
        </w:numPr>
        <w:spacing w:after="40" w:before="40"/>
      </w:pPr>
      <w:r>
        <w:rPr>
          <w:rFonts w:ascii="Arial" w:cs="Arial" w:eastAsia="Arial" w:hAnsi="Arial"/>
          <w:color w:val="1A1A2E"/>
          <w:sz w:val="22"/>
          <w:szCs w:val="22"/>
        </w:rPr>
        <w:t xml:space="preserve">Saved data is browser-local — it does not transfer between machines or browsers</w:t>
      </w:r>
    </w:p>
    <w:p>
      <w:pPr>
        <w:spacing w:after="120" w:before="120"/>
      </w:pPr>
      <w:r>
        <w:t xml:space="preserve"/>
      </w:r>
    </w:p>
    <w:p>
      <w:pPr>
        <w:spacing w:after="80" w:before="60"/>
        <w:jc w:val="left"/>
      </w:pPr>
      <w:r>
        <w:rPr>
          <w:rFonts w:ascii="Arial" w:cs="Arial" w:eastAsia="Arial" w:hAnsi="Arial"/>
          <w:b w:val="false"/>
          <w:bCs w:val="false"/>
          <w:i w:val="false"/>
          <w:iCs w:val="false"/>
          <w:color w:val="1A1A2E"/>
          <w:sz w:val="22"/>
          <w:szCs w:val="22"/>
        </w:rPr>
        <w:t xml:space="preserve">For client presentations on unfamiliar machines, run the reconciliation fresh from the source Excel files. The tool requires no installation and runs entirely from the single HTML file.</w:t>
      </w:r>
    </w:p>
    <w:p>
      <w:pPr>
        <w:spacing w:after="120" w:before="120"/>
      </w:pPr>
      <w:r>
        <w:t xml:space="preserve"/>
      </w:r>
    </w:p>
    <w:p>
      <w:pPr>
        <w:pStyle w:val="Heading1"/>
        <w:pageBreakBefore/>
        <w:pBdr>
          <w:bottom w:val="single" w:color="0D7377" w:sz="6" w:space="1"/>
        </w:pBdr>
        <w:spacing w:after="160" w:before="360"/>
      </w:pPr>
      <w:r>
        <w:rPr>
          <w:rFonts w:ascii="Arial" w:cs="Arial" w:eastAsia="Arial" w:hAnsi="Arial"/>
          <w:b/>
          <w:bCs/>
          <w:color w:val="1B2A4A"/>
          <w:sz w:val="36"/>
          <w:szCs w:val="36"/>
        </w:rPr>
        <w:t xml:space="preserve">7. Technical Notes</w:t>
      </w:r>
    </w:p>
    <w:p>
      <w:pPr>
        <w:spacing w:after="120" w:before="120"/>
      </w:pPr>
      <w:r>
        <w:t xml:space="preserve"/>
      </w:r>
    </w:p>
    <w:p>
      <w:pPr>
        <w:pStyle w:val="ListParagraph"/>
        <w:numPr>
          <w:ilvl w:val="0"/>
          <w:numId w:val="2"/>
        </w:numPr>
        <w:spacing w:after="40" w:before="40"/>
      </w:pPr>
      <w:r>
        <w:rPr>
          <w:rFonts w:ascii="Arial" w:cs="Arial" w:eastAsia="Arial" w:hAnsi="Arial"/>
          <w:color w:val="1A1A2E"/>
          <w:sz w:val="22"/>
          <w:szCs w:val="22"/>
        </w:rPr>
        <w:t xml:space="preserve">The dashboard is a single self-contained HTML file with all libraries (Chart.js 4.4.1, SheetJS 0.18.5) bundled inline. No internet connection or software installation is required.</w:t>
      </w:r>
    </w:p>
    <w:p>
      <w:pPr>
        <w:pStyle w:val="ListParagraph"/>
        <w:numPr>
          <w:ilvl w:val="0"/>
          <w:numId w:val="2"/>
        </w:numPr>
        <w:spacing w:after="40" w:before="40"/>
      </w:pPr>
      <w:r>
        <w:rPr>
          <w:rFonts w:ascii="Arial" w:cs="Arial" w:eastAsia="Arial" w:hAnsi="Arial"/>
          <w:color w:val="1A1A2E"/>
          <w:sz w:val="22"/>
          <w:szCs w:val="22"/>
        </w:rPr>
        <w:t xml:space="preserve">SheetJS parses the Excel files entirely in the browser. No data is transmitted to any server.</w:t>
      </w:r>
    </w:p>
    <w:p>
      <w:pPr>
        <w:pStyle w:val="ListParagraph"/>
        <w:numPr>
          <w:ilvl w:val="0"/>
          <w:numId w:val="2"/>
        </w:numPr>
        <w:spacing w:after="40" w:before="40"/>
      </w:pPr>
      <w:r>
        <w:rPr>
          <w:rFonts w:ascii="Arial" w:cs="Arial" w:eastAsia="Arial" w:hAnsi="Arial"/>
          <w:color w:val="1A1A2E"/>
          <w:sz w:val="22"/>
          <w:szCs w:val="22"/>
        </w:rPr>
        <w:t xml:space="preserve">Chart.js renders all four interactive charts (donut, gap bar, profitability donut, payment lag bar).</w:t>
      </w:r>
    </w:p>
    <w:p>
      <w:pPr>
        <w:pStyle w:val="ListParagraph"/>
        <w:numPr>
          <w:ilvl w:val="0"/>
          <w:numId w:val="2"/>
        </w:numPr>
        <w:spacing w:after="40" w:before="40"/>
      </w:pPr>
      <w:r>
        <w:rPr>
          <w:rFonts w:ascii="Arial" w:cs="Arial" w:eastAsia="Arial" w:hAnsi="Arial"/>
          <w:color w:val="1A1A2E"/>
          <w:sz w:val="22"/>
          <w:szCs w:val="22"/>
        </w:rPr>
        <w:t xml:space="preserve">The reconciliation engine runs client-side in JavaScript, typically completing in under 2 seconds for a month of data.</w:t>
      </w:r>
    </w:p>
    <w:p>
      <w:pPr>
        <w:pStyle w:val="ListParagraph"/>
        <w:numPr>
          <w:ilvl w:val="0"/>
          <w:numId w:val="2"/>
        </w:numPr>
        <w:spacing w:after="40" w:before="40"/>
      </w:pPr>
      <w:r>
        <w:rPr>
          <w:rFonts w:ascii="Arial" w:cs="Arial" w:eastAsia="Arial" w:hAnsi="Arial"/>
          <w:color w:val="1A1A2E"/>
          <w:sz w:val="22"/>
          <w:szCs w:val="22"/>
        </w:rPr>
        <w:t xml:space="preserve">The save/load feature uses the browser’s built-in localStorage to persist reconciliation results between sessions. No external service or internet connection is required.</w:t>
      </w:r>
    </w:p>
    <w:p>
      <w:pPr>
        <w:pStyle w:val="ListParagraph"/>
        <w:numPr>
          <w:ilvl w:val="0"/>
          <w:numId w:val="2"/>
        </w:numPr>
        <w:spacing w:after="40" w:before="40"/>
      </w:pPr>
      <w:r>
        <w:rPr>
          <w:rFonts w:ascii="Arial" w:cs="Arial" w:eastAsia="Arial" w:hAnsi="Arial"/>
          <w:color w:val="1A1A2E"/>
          <w:sz w:val="22"/>
          <w:szCs w:val="22"/>
        </w:rPr>
        <w:t xml:space="preserve">The version tag in the HTML meta header (app-version) identifies the build and can be used to confirm which version is running.</w:t>
      </w:r>
    </w:p>
    <w:p>
      <w:pPr>
        <w:spacing w:after="120" w:before="120"/>
      </w:pPr>
      <w:r>
        <w:t xml:space="preserve"/>
      </w:r>
    </w:p>
    <w:p>
      <w:pPr>
        <w:pBdr>
          <w:top w:val="single" w:color="0D7377" w:sz="4" w:space="1"/>
        </w:pBdr>
        <w:spacing w:before="200"/>
        <w:jc w:val="center"/>
      </w:pPr>
      <w:r>
        <w:rPr>
          <w:rFonts w:ascii="Arial" w:cs="Arial" w:eastAsia="Arial" w:hAnsi="Arial"/>
          <w:i/>
          <w:iCs/>
          <w:color w:val="6B7A8D"/>
          <w:sz w:val="18"/>
          <w:szCs w:val="18"/>
        </w:rPr>
        <w:t xml:space="preserve">Mahaska Drug Inc.  •  Reconciliation Dashboard  •  April 2026  •  For Internal Use Only</w:t>
      </w:r>
    </w:p>
    <w:sectPr>
      <w:footerReference w:type="firs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4"/>
      </w:pBdr>
      <w:spacing w:after="60" w:before="120"/>
      <w:jc w:val="center"/>
    </w:pPr>
    <w:r>
      <w:rPr>
        <w:rFonts w:ascii="Arial" w:cs="Arial" w:eastAsia="Arial" w:hAnsi="Arial"/>
        <w:b/>
        <w:bCs/>
        <w:color w:val="1B2A4A"/>
        <w:sz w:val="26"/>
        <w:szCs w:val="26"/>
      </w:rPr>
      <w:t xml:space="preserve">Jeremiah Maudlin</w:t>
    </w:r>
  </w:p>
  <w:p>
    <w:pPr>
      <w:spacing w:after="60" w:before="0"/>
      <w:jc w:val="center"/>
    </w:pPr>
    <w:r>
      <w:rPr>
        <w:rFonts w:ascii="Arial" w:cs="Arial" w:eastAsia="Arial" w:hAnsi="Arial"/>
        <w:color w:val="1A1A2E"/>
        <w:sz w:val="22"/>
        <w:szCs w:val="22"/>
      </w:rPr>
      <w:t xml:space="preserve">omegaIM &amp; E</w:t>
    </w:r>
    <w:r>
      <w:rPr>
        <w:rFonts w:ascii="Arial" w:cs="Arial" w:eastAsia="Arial" w:hAnsi="Arial"/>
        <w:color w:val="1A1A2E"/>
        <w:sz w:val="14"/>
        <w:szCs w:val="14"/>
        <w:vertAlign w:val="superscript"/>
      </w:rPr>
      <w:t xml:space="preserve">2</w:t>
    </w:r>
    <w:r>
      <w:rPr>
        <w:rFonts w:ascii="Arial" w:cs="Arial" w:eastAsia="Arial" w:hAnsi="Arial"/>
        <w:color w:val="1A1A2E"/>
        <w:sz w:val="22"/>
        <w:szCs w:val="22"/>
      </w:rPr>
      <w:t xml:space="preserve"> Construction, llc.</w:t>
    </w:r>
  </w:p>
  <w:p>
    <w:pPr>
      <w:spacing w:after="0" w:before="0"/>
      <w:jc w:val="center"/>
    </w:pPr>
    <w:r>
      <w:rPr>
        <w:rFonts w:ascii="Arial" w:cs="Arial" w:eastAsia="Arial" w:hAnsi="Arial"/>
        <w:color w:val="6B7A8D"/>
        <w:sz w:val="22"/>
        <w:szCs w:val="22"/>
      </w:rPr>
      <w:t xml:space="preserve">jmaudlin@omegaim.com  •  +1 (641) 660-6367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2026-04-10T07:18:38.957Z</dcterms:created>
  <dcterms:modified xsi:type="dcterms:W3CDTF">2026-04-10T07:18:38.958Z</dcterms:modified>
</cp:coreProperties>
</file>

<file path=docProps/custom.xml><?xml version="1.0" encoding="utf-8"?>
<Properties xmlns="http://schemas.openxmlformats.org/officeDocument/2006/custom-properties" xmlns:vt="http://schemas.openxmlformats.org/officeDocument/2006/docPropsVTypes"/>
</file>