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C7F78" w14:textId="628A3C18" w:rsidR="0021527A" w:rsidRDefault="00630DC0">
      <w:r>
        <w:t xml:space="preserve">The first noticeable trend is that all charter  schools have a much higher passing rate for math, reading, and overall compared to district. In addition, the size of the school was a drastic measure for the success of the student. The larger the school size the lower the average schools, however that may be due to a larger sample size. Meanwhile the spending ranges don’t seem to have any discernable difference in the outcome of the students test taking. </w:t>
      </w:r>
      <w:bookmarkStart w:id="0" w:name="_GoBack"/>
      <w:bookmarkEnd w:id="0"/>
    </w:p>
    <w:sectPr w:rsidR="00215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553"/>
    <w:rsid w:val="0021527A"/>
    <w:rsid w:val="00630DC0"/>
    <w:rsid w:val="00C4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E007"/>
  <w15:chartTrackingRefBased/>
  <w15:docId w15:val="{CB7EAD67-F46D-4209-ACA4-85DADFA5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Johnathon Maupin</dc:creator>
  <cp:keywords/>
  <dc:description/>
  <cp:lastModifiedBy>Johnathon Maupin</cp:lastModifiedBy>
  <cp:revision>2</cp:revision>
  <dcterms:created xsi:type="dcterms:W3CDTF">2019-08-13T03:35:00Z</dcterms:created>
  <dcterms:modified xsi:type="dcterms:W3CDTF">2019-08-13T03:40:00Z</dcterms:modified>
</cp:coreProperties>
</file>