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F6E56"/>
          <w:sz w:val="56"/>
        </w:rPr>
        <w:t>Growth Analytics Report</w:t>
      </w:r>
    </w:p>
    <w:p>
      <w:pPr>
        <w:jc w:val="center"/>
      </w:pPr>
      <w:r>
        <w:rPr>
          <w:color w:val="6C757D"/>
          <w:sz w:val="28"/>
        </w:rPr>
        <w:t>Olist Seller Acquisition — End-to-End Analysis</w:t>
      </w:r>
    </w:p>
    <w:p/>
    <w:p>
      <w:pPr>
        <w:jc w:val="center"/>
      </w:pPr>
      <w:r>
        <w:rPr>
          <w:color w:val="6C757D"/>
          <w:sz w:val="22"/>
        </w:rPr>
        <w:t>Generated: 28 March 2026</w:t>
      </w:r>
    </w:p>
    <w:p/>
    <w:p/>
    <w:p>
      <w:pPr>
        <w:pStyle w:val="Heading1"/>
        <w:spacing w:before="280" w:after="120"/>
      </w:pPr>
      <w:r>
        <w:rPr>
          <w:b/>
          <w:color w:val="0F6E56"/>
          <w:sz w:val="32"/>
        </w:rPr>
        <w:t>1. Executive Summary</w:t>
      </w:r>
    </w:p>
    <w:p>
      <w:pPr>
        <w:spacing w:after="120"/>
      </w:pPr>
      <w:r>
        <w:rPr>
          <w:color w:val="1A1A18"/>
          <w:sz w:val="21"/>
        </w:rPr>
        <w:t>This report presents a comprehensive growth analytics study of Olist's seller acquisition funnel using 8,000 marketing qualified leads from June 2017 to September 2018. The analysis covers multi-touch attribution modeling, full funnel performance, unit economics (CAC/LTV), and audience segmentation.</w:t>
      </w:r>
    </w:p>
    <w:p/>
    <w:p>
      <w:pPr>
        <w:pStyle w:val="Heading2"/>
        <w:spacing w:before="280" w:after="120"/>
      </w:pPr>
      <w:r>
        <w:rPr>
          <w:b/>
          <w:color w:val="1A1A18"/>
          <w:sz w:val="26"/>
        </w:rPr>
        <w:t>Key findings</w:t>
      </w:r>
    </w:p>
    <w:p>
      <w:pPr>
        <w:pStyle w:val="ListBullet"/>
      </w:pPr>
      <w:r>
        <w:rPr>
          <w:sz w:val="21"/>
        </w:rPr>
        <w:t xml:space="preserve">Overall conversion rate of </w:t>
      </w:r>
      <w:r>
        <w:rPr>
          <w:b/>
          <w:sz w:val="21"/>
        </w:rPr>
        <w:t>10.53%</w:t>
      </w:r>
      <w:r>
        <w:rPr>
          <w:sz w:val="21"/>
        </w:rPr>
        <w:t xml:space="preserve"> — only 842 of 8,000 leads became sellers.</w:t>
      </w:r>
    </w:p>
    <w:p>
      <w:pPr>
        <w:pStyle w:val="ListBullet"/>
      </w:pPr>
      <w:r>
        <w:rPr>
          <w:sz w:val="21"/>
        </w:rPr>
        <w:t xml:space="preserve">Critical activation gap: </w:t>
      </w:r>
      <w:r>
        <w:rPr>
          <w:b/>
          <w:sz w:val="21"/>
        </w:rPr>
        <w:t>462 sellers</w:t>
      </w:r>
      <w:r>
        <w:rPr>
          <w:sz w:val="21"/>
        </w:rPr>
        <w:t xml:space="preserve"> (54.9%) signed deals but never placed a single order.</w:t>
      </w:r>
    </w:p>
    <w:p>
      <w:pPr>
        <w:pStyle w:val="ListBullet"/>
      </w:pPr>
      <w:r>
        <w:rPr>
          <w:sz w:val="21"/>
        </w:rPr>
      </w:r>
      <w:r>
        <w:rPr>
          <w:b/>
          <w:sz w:val="21"/>
        </w:rPr>
        <w:t>Top 22.4%</w:t>
      </w:r>
      <w:r>
        <w:rPr>
          <w:sz w:val="21"/>
        </w:rPr>
        <w:t xml:space="preserve"> of active sellers drive 80% of total platform revenue ($676,851).</w:t>
      </w:r>
    </w:p>
    <w:p>
      <w:pPr>
        <w:pStyle w:val="ListBullet"/>
      </w:pPr>
      <w:r>
        <w:rPr>
          <w:sz w:val="21"/>
        </w:rPr>
        <w:t xml:space="preserve">Paid search and organic search together account for </w:t>
      </w:r>
      <w:r>
        <w:rPr>
          <w:b/>
          <w:sz w:val="21"/>
        </w:rPr>
        <w:t>62% of high-value sellers</w:t>
      </w:r>
      <w:r>
        <w:rPr>
          <w:sz w:val="21"/>
        </w:rPr>
        <w:t xml:space="preserve"> despite email and social having higher raw lead volumes.</w:t>
      </w:r>
    </w:p>
    <w:p>
      <w:pPr>
        <w:pStyle w:val="ListBullet"/>
      </w:pPr>
      <w:r>
        <w:rPr>
          <w:sz w:val="21"/>
        </w:rPr>
        <w:t xml:space="preserve">Email channel is undervalued by </w:t>
      </w:r>
      <w:r>
        <w:rPr>
          <w:b/>
          <w:sz w:val="21"/>
        </w:rPr>
        <w:t>5x</w:t>
      </w:r>
      <w:r>
        <w:rPr>
          <w:sz w:val="21"/>
        </w:rPr>
        <w:t xml:space="preserve"> under last-touch attribution vs linear model — budget decisions based on last-touch alone would incorrectly cut email spend.</w:t>
      </w:r>
    </w:p>
    <w:p>
      <w:pPr>
        <w:pStyle w:val="ListBullet"/>
      </w:pPr>
      <w:r>
        <w:rPr>
          <w:sz w:val="21"/>
        </w:rPr>
        <w:t xml:space="preserve">Conversion rate improved from under 5% in 2017 to consistently above </w:t>
      </w:r>
      <w:r>
        <w:rPr>
          <w:b/>
          <w:sz w:val="21"/>
        </w:rPr>
        <w:t>12%</w:t>
      </w:r>
      <w:r>
        <w:rPr>
          <w:sz w:val="21"/>
        </w:rPr>
        <w:t xml:space="preserve"> from February 2018 — a clear inflection point in sales process maturity.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0F6E56"/>
          <w:sz w:val="32"/>
        </w:rPr>
        <w:t>2. Funnel Performance</w:t>
      </w:r>
    </w:p>
    <w:p>
      <w:pPr>
        <w:spacing w:after="120"/>
      </w:pPr>
      <w:r>
        <w:rPr>
          <w:color w:val="1A1A18"/>
          <w:sz w:val="21"/>
        </w:rPr>
        <w:t>The seller acquisition funnel spans five stages from initial lead generation through to repeat selling activity on the platform.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032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1440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type="dxa" w:w="1440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% of Total</w:t>
            </w:r>
          </w:p>
        </w:tc>
        <w:tc>
          <w:tcPr>
            <w:tcW w:type="dxa" w:w="1728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Drop-off</w:t>
            </w:r>
          </w:p>
        </w:tc>
      </w:tr>
      <w:tr>
        <w:tc>
          <w:tcPr>
            <w:tcW w:type="dxa" w:w="403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Leads generated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8,000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100.0%</w:t>
            </w:r>
          </w:p>
        </w:tc>
        <w:tc>
          <w:tcPr>
            <w:tcW w:type="dxa" w:w="172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>
              <w:rPr>
                <w:sz w:val="19"/>
              </w:rPr>
              <w:t>Leads with contact date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3,058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38.2%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4,942 lost</w:t>
            </w:r>
          </w:p>
        </w:tc>
      </w:tr>
      <w:tr>
        <w:tc>
          <w:tcPr>
            <w:tcW w:type="dxa" w:w="403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Closed deals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842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10.5%</w:t>
            </w:r>
          </w:p>
        </w:tc>
        <w:tc>
          <w:tcPr>
            <w:tcW w:type="dxa" w:w="172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2,216 lost</w:t>
            </w:r>
          </w:p>
        </w:tc>
      </w:tr>
      <w:tr>
        <w:tc>
          <w:tcPr>
            <w:tcW w:type="dxa" w:w="4032"/>
          </w:tcPr>
          <w:p>
            <w:pPr>
              <w:jc w:val="center"/>
            </w:pPr>
            <w:r>
              <w:rPr>
                <w:sz w:val="19"/>
              </w:rPr>
              <w:t>Made first order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380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4.8%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462 lost</w:t>
            </w:r>
          </w:p>
        </w:tc>
      </w:tr>
      <w:tr>
        <w:tc>
          <w:tcPr>
            <w:tcW w:type="dxa" w:w="403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Repeat seller (3+ orders)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252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3.2%</w:t>
            </w:r>
          </w:p>
        </w:tc>
        <w:tc>
          <w:tcPr>
            <w:tcW w:type="dxa" w:w="172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128 lost</w:t>
            </w:r>
          </w:p>
        </w:tc>
      </w:tr>
    </w:tbl>
    <w:p/>
    <w:p>
      <w:pPr>
        <w:spacing w:after="160"/>
        <w:ind w:left="454"/>
        <w:pBdr>
          <w:left w:val="single" w:sz="24" w:space="4" w:color="0F6E56"/>
        </w:pBdr>
      </w:pPr>
      <w:r>
        <w:rPr>
          <w:i/>
          <w:color w:val="0F6E56"/>
          <w:sz w:val="21"/>
        </w:rPr>
        <w:t>The largest absolute drop-off occurs at the top — 4,942 leads have no contact date recorded, indicating a CRM tracking gap rather than a sales failure. The most critical business problem is the activation gap: 462 sellers (54.9%) signed deals but never generated revenue.</w:t>
      </w:r>
    </w:p>
    <w:p>
      <w:pPr>
        <w:pStyle w:val="Heading2"/>
        <w:spacing w:before="280" w:after="120"/>
      </w:pPr>
      <w:r>
        <w:rPr>
          <w:b/>
          <w:color w:val="1A1A18"/>
          <w:sz w:val="26"/>
        </w:rPr>
        <w:t>Cohort trend</w:t>
      </w:r>
    </w:p>
    <w:p>
      <w:pPr>
        <w:spacing w:after="120"/>
      </w:pPr>
      <w:r>
        <w:rPr>
          <w:color w:val="1A1A18"/>
          <w:sz w:val="21"/>
        </w:rPr>
        <w:t>Monthly cohort analysis reveals a clear inflection point in early 2018. Pre-2018 cohorts converted at under 5%. From February 2018 onwards, the floor conversion rate never dropped below 11.7%, peaking at 18.2% in December 2018.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0F6E56"/>
          <w:sz w:val="32"/>
        </w:rPr>
        <w:t>3. Channel Attribution Analysis</w:t>
      </w:r>
    </w:p>
    <w:p>
      <w:pPr>
        <w:spacing w:after="120"/>
      </w:pPr>
      <w:r>
        <w:rPr>
          <w:color w:val="1A1A18"/>
          <w:sz w:val="21"/>
        </w:rPr>
        <w:t>Three attribution models were built to assess true channel value: last-touch (100% credit to origin), linear (credit split across landing page touchpoints), and Markov chain (removal effect — how many conversions would be lost without each channel).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1872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Last touch</w:t>
            </w:r>
          </w:p>
        </w:tc>
        <w:tc>
          <w:tcPr>
            <w:tcW w:type="dxa" w:w="1872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Linear</w:t>
            </w:r>
          </w:p>
        </w:tc>
        <w:tc>
          <w:tcPr>
            <w:tcW w:type="dxa" w:w="1872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Markov chain</w:t>
            </w:r>
          </w:p>
        </w:tc>
      </w:tr>
      <w:tr>
        <w:tc>
          <w:tcPr>
            <w:tcW w:type="dxa" w:w="259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unknown</w:t>
            </w:r>
          </w:p>
        </w:tc>
        <w:tc>
          <w:tcPr>
            <w:tcW w:type="dxa" w:w="187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$214,985</w:t>
            </w:r>
          </w:p>
        </w:tc>
        <w:tc>
          <w:tcPr>
            <w:tcW w:type="dxa" w:w="187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$145,927</w:t>
            </w:r>
          </w:p>
        </w:tc>
        <w:tc>
          <w:tcPr>
            <w:tcW w:type="dxa" w:w="187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$155,145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19"/>
              </w:rPr>
              <w:t>organic_search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$207,023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$133,507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$217,846</w:t>
            </w:r>
          </w:p>
        </w:tc>
      </w:tr>
      <w:tr>
        <w:tc>
          <w:tcPr>
            <w:tcW w:type="dxa" w:w="259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paid_search</w:t>
            </w:r>
          </w:p>
        </w:tc>
        <w:tc>
          <w:tcPr>
            <w:tcW w:type="dxa" w:w="187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$155,277</w:t>
            </w:r>
          </w:p>
        </w:tc>
        <w:tc>
          <w:tcPr>
            <w:tcW w:type="dxa" w:w="187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$164,556</w:t>
            </w:r>
          </w:p>
        </w:tc>
        <w:tc>
          <w:tcPr>
            <w:tcW w:type="dxa" w:w="187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$156,753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19"/>
              </w:rPr>
              <w:t>social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$43,478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$49,677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$60,290</w:t>
            </w:r>
          </w:p>
        </w:tc>
      </w:tr>
      <w:tr>
        <w:tc>
          <w:tcPr>
            <w:tcW w:type="dxa" w:w="259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direct_traffic</w:t>
            </w:r>
          </w:p>
        </w:tc>
        <w:tc>
          <w:tcPr>
            <w:tcW w:type="dxa" w:w="187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$21,904</w:t>
            </w:r>
          </w:p>
        </w:tc>
        <w:tc>
          <w:tcPr>
            <w:tcW w:type="dxa" w:w="187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$68,306</w:t>
            </w:r>
          </w:p>
        </w:tc>
        <w:tc>
          <w:tcPr>
            <w:tcW w:type="dxa" w:w="187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$45,016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19"/>
              </w:rPr>
              <w:t>referral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$17,887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$40,363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$19,293</w:t>
            </w:r>
          </w:p>
        </w:tc>
      </w:tr>
      <w:tr>
        <w:tc>
          <w:tcPr>
            <w:tcW w:type="dxa" w:w="259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email</w:t>
            </w:r>
          </w:p>
        </w:tc>
        <w:tc>
          <w:tcPr>
            <w:tcW w:type="dxa" w:w="187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$8,485</w:t>
            </w:r>
          </w:p>
        </w:tc>
        <w:tc>
          <w:tcPr>
            <w:tcW w:type="dxa" w:w="187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$43,468</w:t>
            </w:r>
          </w:p>
        </w:tc>
        <w:tc>
          <w:tcPr>
            <w:tcW w:type="dxa" w:w="187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$12,058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19"/>
              </w:rPr>
              <w:t>other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$6,889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$9,314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$3,215</w:t>
            </w:r>
          </w:p>
        </w:tc>
      </w:tr>
      <w:tr>
        <w:tc>
          <w:tcPr>
            <w:tcW w:type="dxa" w:w="259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display</w:t>
            </w:r>
          </w:p>
        </w:tc>
        <w:tc>
          <w:tcPr>
            <w:tcW w:type="dxa" w:w="187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$923</w:t>
            </w:r>
          </w:p>
        </w:tc>
        <w:tc>
          <w:tcPr>
            <w:tcW w:type="dxa" w:w="187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$12,419</w:t>
            </w:r>
          </w:p>
        </w:tc>
        <w:tc>
          <w:tcPr>
            <w:tcW w:type="dxa" w:w="187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$4,823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19"/>
              </w:rPr>
              <w:t>other_publicities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$0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$9,314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$2,412</w:t>
            </w:r>
          </w:p>
        </w:tc>
      </w:tr>
    </w:tbl>
    <w:p/>
    <w:p>
      <w:pPr>
        <w:spacing w:after="160"/>
        <w:ind w:left="454"/>
        <w:pBdr>
          <w:left w:val="single" w:sz="24" w:space="4" w:color="0F6E56"/>
        </w:pBdr>
      </w:pPr>
      <w:r>
        <w:rPr>
          <w:i/>
          <w:color w:val="0F6E56"/>
          <w:sz w:val="21"/>
        </w:rPr>
        <w:t>Email is undervalued by 5x under last touch vs linear attribution ($8,485 vs $43,468). Direct traffic is undervalued by 3x ($21,904 vs $68,306). Budget decisions based on last-touch alone would incorrectly deprioritise these channels. The Markov chain model confirms organic search as the most indispensable channel — its removal effect is the highest of any channel.</w:t>
      </w:r>
    </w:p>
    <w:p>
      <w:pPr>
        <w:pStyle w:val="Heading2"/>
        <w:spacing w:before="280" w:after="120"/>
      </w:pPr>
      <w:r>
        <w:rPr>
          <w:b/>
          <w:color w:val="1A1A18"/>
          <w:sz w:val="26"/>
        </w:rPr>
        <w:t>Channel CVR and efficiency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304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1152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Leads</w:t>
            </w:r>
          </w:p>
        </w:tc>
        <w:tc>
          <w:tcPr>
            <w:tcW w:type="dxa" w:w="1296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Converted</w:t>
            </w:r>
          </w:p>
        </w:tc>
        <w:tc>
          <w:tcPr>
            <w:tcW w:type="dxa" w:w="1008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CVR%</w:t>
            </w:r>
          </w:p>
        </w:tc>
        <w:tc>
          <w:tcPr>
            <w:tcW w:type="dxa" w:w="1296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Activated</w:t>
            </w:r>
          </w:p>
        </w:tc>
        <w:tc>
          <w:tcPr>
            <w:tcW w:type="dxa" w:w="1440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Rev / Lead</w:t>
            </w:r>
          </w:p>
        </w:tc>
      </w:tr>
      <w:tr>
        <w:tc>
          <w:tcPr>
            <w:tcW w:type="dxa" w:w="2304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unknown</w:t>
            </w:r>
          </w:p>
        </w:tc>
        <w:tc>
          <w:tcPr>
            <w:tcW w:type="dxa" w:w="115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1,159</w:t>
            </w:r>
          </w:p>
        </w:tc>
        <w:tc>
          <w:tcPr>
            <w:tcW w:type="dxa" w:w="1296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193</w:t>
            </w:r>
          </w:p>
        </w:tc>
        <w:tc>
          <w:tcPr>
            <w:tcW w:type="dxa" w:w="100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16.7%</w:t>
            </w:r>
          </w:p>
        </w:tc>
        <w:tc>
          <w:tcPr>
            <w:tcW w:type="dxa" w:w="1296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85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$185.49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sz w:val="19"/>
              </w:rPr>
              <w:t>paid_search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9"/>
              </w:rPr>
              <w:t>1,586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9"/>
              </w:rPr>
              <w:t>195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9"/>
              </w:rPr>
              <w:t>12.3%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9"/>
              </w:rPr>
              <w:t>101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$97.90</w:t>
            </w:r>
          </w:p>
        </w:tc>
      </w:tr>
      <w:tr>
        <w:tc>
          <w:tcPr>
            <w:tcW w:type="dxa" w:w="2304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organic_search</w:t>
            </w:r>
          </w:p>
        </w:tc>
        <w:tc>
          <w:tcPr>
            <w:tcW w:type="dxa" w:w="115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2,296</w:t>
            </w:r>
          </w:p>
        </w:tc>
        <w:tc>
          <w:tcPr>
            <w:tcW w:type="dxa" w:w="1296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271</w:t>
            </w:r>
          </w:p>
        </w:tc>
        <w:tc>
          <w:tcPr>
            <w:tcW w:type="dxa" w:w="100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11.8%</w:t>
            </w:r>
          </w:p>
        </w:tc>
        <w:tc>
          <w:tcPr>
            <w:tcW w:type="dxa" w:w="1296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113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$90.17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sz w:val="19"/>
              </w:rPr>
              <w:t>direct_traffic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9"/>
              </w:rPr>
              <w:t>499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9"/>
              </w:rPr>
              <w:t>56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9"/>
              </w:rPr>
              <w:t>11.2%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9"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$43.90</w:t>
            </w:r>
          </w:p>
        </w:tc>
      </w:tr>
      <w:tr>
        <w:tc>
          <w:tcPr>
            <w:tcW w:type="dxa" w:w="2304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referral</w:t>
            </w:r>
          </w:p>
        </w:tc>
        <w:tc>
          <w:tcPr>
            <w:tcW w:type="dxa" w:w="115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284</w:t>
            </w:r>
          </w:p>
        </w:tc>
        <w:tc>
          <w:tcPr>
            <w:tcW w:type="dxa" w:w="1296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type="dxa" w:w="100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8.5%</w:t>
            </w:r>
          </w:p>
        </w:tc>
        <w:tc>
          <w:tcPr>
            <w:tcW w:type="dxa" w:w="1296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$62.98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sz w:val="19"/>
              </w:rPr>
              <w:t>social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9"/>
              </w:rPr>
              <w:t>1,350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9"/>
              </w:rPr>
              <w:t>5.6%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9"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$32.21</w:t>
            </w:r>
          </w:p>
        </w:tc>
      </w:tr>
      <w:tr>
        <w:tc>
          <w:tcPr>
            <w:tcW w:type="dxa" w:w="2304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display</w:t>
            </w:r>
          </w:p>
        </w:tc>
        <w:tc>
          <w:tcPr>
            <w:tcW w:type="dxa" w:w="115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118</w:t>
            </w:r>
          </w:p>
        </w:tc>
        <w:tc>
          <w:tcPr>
            <w:tcW w:type="dxa" w:w="1296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00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5.1%</w:t>
            </w:r>
          </w:p>
        </w:tc>
        <w:tc>
          <w:tcPr>
            <w:tcW w:type="dxa" w:w="1296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$7.82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sz w:val="19"/>
              </w:rPr>
              <w:t>other_publicities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9"/>
              </w:rPr>
              <w:t>65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9"/>
              </w:rPr>
              <w:t>4.6%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$0.00</w:t>
            </w:r>
          </w:p>
        </w:tc>
      </w:tr>
      <w:tr>
        <w:tc>
          <w:tcPr>
            <w:tcW w:type="dxa" w:w="2304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email</w:t>
            </w:r>
          </w:p>
        </w:tc>
        <w:tc>
          <w:tcPr>
            <w:tcW w:type="dxa" w:w="115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493</w:t>
            </w:r>
          </w:p>
        </w:tc>
        <w:tc>
          <w:tcPr>
            <w:tcW w:type="dxa" w:w="1296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type="dxa" w:w="100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3.0%</w:t>
            </w:r>
          </w:p>
        </w:tc>
        <w:tc>
          <w:tcPr>
            <w:tcW w:type="dxa" w:w="1296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$17.21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sz w:val="19"/>
              </w:rPr>
              <w:t>other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9"/>
              </w:rPr>
              <w:t>150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sz w:val="19"/>
              </w:rPr>
              <w:t>2.7%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$45.92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0F6E56"/>
          <w:sz w:val="32"/>
        </w:rPr>
        <w:t>4. CAC / LTV — Unit Economics</w:t>
      </w:r>
    </w:p>
    <w:p>
      <w:pPr>
        <w:spacing w:after="120"/>
      </w:pPr>
      <w:r>
        <w:rPr>
          <w:color w:val="1A1A18"/>
          <w:sz w:val="21"/>
        </w:rPr>
        <w:t>Of the 842 converted sellers, only 380 (45.1%) placed at least one order. All revenue and LTV calculations are based on this activated subset. Total platform revenue generated: $676,851.48.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880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32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Total platform revenue</w:t>
            </w:r>
          </w:p>
        </w:tc>
        <w:tc>
          <w:tcPr>
            <w:tcW w:type="dxa" w:w="288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$676,851.48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9"/>
              </w:rPr>
              <w:t>Active sellers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380</w:t>
            </w:r>
          </w:p>
        </w:tc>
      </w:tr>
      <w:tr>
        <w:tc>
          <w:tcPr>
            <w:tcW w:type="dxa" w:w="432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Avg LTV per active seller</w:t>
            </w:r>
          </w:p>
        </w:tc>
        <w:tc>
          <w:tcPr>
            <w:tcW w:type="dxa" w:w="288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$1,781.19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9"/>
              </w:rPr>
              <w:t>Median LTV per seller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$547.40</w:t>
            </w:r>
          </w:p>
        </w:tc>
      </w:tr>
      <w:tr>
        <w:tc>
          <w:tcPr>
            <w:tcW w:type="dxa" w:w="432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Activation rate</w:t>
            </w:r>
          </w:p>
        </w:tc>
        <w:tc>
          <w:tcPr>
            <w:tcW w:type="dxa" w:w="288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45.1%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9"/>
              </w:rPr>
              <w:t>Never activated sellers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9"/>
              </w:rPr>
              <w:t>462</w:t>
            </w:r>
          </w:p>
        </w:tc>
      </w:tr>
      <w:tr>
        <w:tc>
          <w:tcPr>
            <w:tcW w:type="dxa" w:w="432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Leads per active seller</w:t>
            </w:r>
          </w:p>
        </w:tc>
        <w:tc>
          <w:tcPr>
            <w:tcW w:type="dxa" w:w="288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21.1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1A1A18"/>
          <w:sz w:val="26"/>
        </w:rPr>
        <w:t>LTV by acquisition channel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160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1728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Active sellers</w:t>
            </w:r>
          </w:p>
        </w:tc>
        <w:tc>
          <w:tcPr>
            <w:tcW w:type="dxa" w:w="1440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Avg LTV</w:t>
            </w:r>
          </w:p>
        </w:tc>
        <w:tc>
          <w:tcPr>
            <w:tcW w:type="dxa" w:w="1584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Median LTV</w:t>
            </w:r>
          </w:p>
        </w:tc>
        <w:tc>
          <w:tcPr>
            <w:tcW w:type="dxa" w:w="2016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Leads / activation</w:t>
            </w:r>
          </w:p>
        </w:tc>
        <w:tc>
          <w:tcPr>
            <w:tcW w:type="dxa" w:w="1728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LTV/CAC index</w:t>
            </w:r>
          </w:p>
        </w:tc>
      </w:tr>
      <w:tr>
        <w:tc>
          <w:tcPr>
            <w:tcW w:type="dxa" w:w="216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other</w:t>
            </w:r>
          </w:p>
        </w:tc>
        <w:tc>
          <w:tcPr>
            <w:tcW w:type="dxa" w:w="172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$3,444</w:t>
            </w:r>
          </w:p>
        </w:tc>
        <w:tc>
          <w:tcPr>
            <w:tcW w:type="dxa" w:w="1584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$3,444</w:t>
            </w:r>
          </w:p>
        </w:tc>
        <w:tc>
          <w:tcPr>
            <w:tcW w:type="dxa" w:w="2016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type="dxa" w:w="172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45.92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unknown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85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$2,529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9"/>
              </w:rPr>
              <w:t>$512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185.97</w:t>
            </w:r>
          </w:p>
        </w:tc>
      </w:tr>
      <w:tr>
        <w:tc>
          <w:tcPr>
            <w:tcW w:type="dxa" w:w="216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referral</w:t>
            </w:r>
          </w:p>
        </w:tc>
        <w:tc>
          <w:tcPr>
            <w:tcW w:type="dxa" w:w="172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$1,987</w:t>
            </w:r>
          </w:p>
        </w:tc>
        <w:tc>
          <w:tcPr>
            <w:tcW w:type="dxa" w:w="1584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$1,368</w:t>
            </w:r>
          </w:p>
        </w:tc>
        <w:tc>
          <w:tcPr>
            <w:tcW w:type="dxa" w:w="2016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type="dxa" w:w="172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62.89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organic_search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113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$1,832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9"/>
              </w:rPr>
              <w:t>$634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90.25</w:t>
            </w:r>
          </w:p>
        </w:tc>
      </w:tr>
      <w:tr>
        <w:tc>
          <w:tcPr>
            <w:tcW w:type="dxa" w:w="216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paid_search</w:t>
            </w:r>
          </w:p>
        </w:tc>
        <w:tc>
          <w:tcPr>
            <w:tcW w:type="dxa" w:w="172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101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$1,537</w:t>
            </w:r>
          </w:p>
        </w:tc>
        <w:tc>
          <w:tcPr>
            <w:tcW w:type="dxa" w:w="1584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$512</w:t>
            </w:r>
          </w:p>
        </w:tc>
        <w:tc>
          <w:tcPr>
            <w:tcW w:type="dxa" w:w="2016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type="dxa" w:w="172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97.92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email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$1,414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9"/>
              </w:rPr>
              <w:t>$338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9"/>
              </w:rPr>
              <w:t>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17.20</w:t>
            </w:r>
          </w:p>
        </w:tc>
      </w:tr>
      <w:tr>
        <w:tc>
          <w:tcPr>
            <w:tcW w:type="dxa" w:w="216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social</w:t>
            </w:r>
          </w:p>
        </w:tc>
        <w:tc>
          <w:tcPr>
            <w:tcW w:type="dxa" w:w="172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31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$1,403</w:t>
            </w:r>
          </w:p>
        </w:tc>
        <w:tc>
          <w:tcPr>
            <w:tcW w:type="dxa" w:w="1584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$722</w:t>
            </w:r>
          </w:p>
        </w:tc>
        <w:tc>
          <w:tcPr>
            <w:tcW w:type="dxa" w:w="2016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44</w:t>
            </w:r>
          </w:p>
        </w:tc>
        <w:tc>
          <w:tcPr>
            <w:tcW w:type="dxa" w:w="172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32.24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direct_traffic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$707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9"/>
              </w:rPr>
              <w:t>$399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43.89</w:t>
            </w:r>
          </w:p>
        </w:tc>
      </w:tr>
      <w:tr>
        <w:tc>
          <w:tcPr>
            <w:tcW w:type="dxa" w:w="216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display</w:t>
            </w:r>
          </w:p>
        </w:tc>
        <w:tc>
          <w:tcPr>
            <w:tcW w:type="dxa" w:w="172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$462</w:t>
            </w:r>
          </w:p>
        </w:tc>
        <w:tc>
          <w:tcPr>
            <w:tcW w:type="dxa" w:w="1584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$462</w:t>
            </w:r>
          </w:p>
        </w:tc>
        <w:tc>
          <w:tcPr>
            <w:tcW w:type="dxa" w:w="2016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59</w:t>
            </w:r>
          </w:p>
        </w:tc>
        <w:tc>
          <w:tcPr>
            <w:tcW w:type="dxa" w:w="172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7.82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1A1A18"/>
          <w:sz w:val="26"/>
        </w:rPr>
        <w:t>LTV by business segment (top 10)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168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Segment</w:t>
            </w:r>
          </w:p>
        </w:tc>
        <w:tc>
          <w:tcPr>
            <w:tcW w:type="dxa" w:w="1296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Sellers</w:t>
            </w:r>
          </w:p>
        </w:tc>
        <w:tc>
          <w:tcPr>
            <w:tcW w:type="dxa" w:w="1584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Avg LTV</w:t>
            </w:r>
          </w:p>
        </w:tc>
        <w:tc>
          <w:tcPr>
            <w:tcW w:type="dxa" w:w="1584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Median LTV</w:t>
            </w:r>
          </w:p>
        </w:tc>
        <w:tc>
          <w:tcPr>
            <w:tcW w:type="dxa" w:w="1440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Avg orders</w:t>
            </w:r>
          </w:p>
        </w:tc>
      </w:tr>
      <w:tr>
        <w:tc>
          <w:tcPr>
            <w:tcW w:type="dxa" w:w="316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watches</w:t>
            </w:r>
          </w:p>
        </w:tc>
        <w:tc>
          <w:tcPr>
            <w:tcW w:type="dxa" w:w="1296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584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$39,093</w:t>
            </w:r>
          </w:p>
        </w:tc>
        <w:tc>
          <w:tcPr>
            <w:tcW w:type="dxa" w:w="1584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$3,465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193.3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rPr>
                <w:sz w:val="19"/>
              </w:rPr>
              <w:t>small_appliances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9"/>
              </w:rPr>
              <w:t>$6,811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9"/>
              </w:rPr>
              <w:t>$697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9.7</w:t>
            </w:r>
          </w:p>
        </w:tc>
      </w:tr>
      <w:tr>
        <w:tc>
          <w:tcPr>
            <w:tcW w:type="dxa" w:w="316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home_appliances</w:t>
            </w:r>
          </w:p>
        </w:tc>
        <w:tc>
          <w:tcPr>
            <w:tcW w:type="dxa" w:w="1296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584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$5,248</w:t>
            </w:r>
          </w:p>
        </w:tc>
        <w:tc>
          <w:tcPr>
            <w:tcW w:type="dxa" w:w="1584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$782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27.0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rPr>
                <w:sz w:val="19"/>
              </w:rPr>
              <w:t>home_office_furniture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9"/>
              </w:rPr>
              <w:t>$3,300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9"/>
              </w:rPr>
              <w:t>$2,154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24.3</w:t>
            </w:r>
          </w:p>
        </w:tc>
      </w:tr>
      <w:tr>
        <w:tc>
          <w:tcPr>
            <w:tcW w:type="dxa" w:w="316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baby</w:t>
            </w:r>
          </w:p>
        </w:tc>
        <w:tc>
          <w:tcPr>
            <w:tcW w:type="dxa" w:w="1296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584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$2,720</w:t>
            </w:r>
          </w:p>
        </w:tc>
        <w:tc>
          <w:tcPr>
            <w:tcW w:type="dxa" w:w="1584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$720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6.8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rPr>
                <w:sz w:val="19"/>
              </w:rPr>
              <w:t>pet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9"/>
              </w:rPr>
              <w:t>$2,382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9"/>
              </w:rPr>
              <w:t>$858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14.5</w:t>
            </w:r>
          </w:p>
        </w:tc>
      </w:tr>
      <w:tr>
        <w:tc>
          <w:tcPr>
            <w:tcW w:type="dxa" w:w="316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health_beauty</w:t>
            </w:r>
          </w:p>
        </w:tc>
        <w:tc>
          <w:tcPr>
            <w:tcW w:type="dxa" w:w="1296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45</w:t>
            </w:r>
          </w:p>
        </w:tc>
        <w:tc>
          <w:tcPr>
            <w:tcW w:type="dxa" w:w="1584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$2,019</w:t>
            </w:r>
          </w:p>
        </w:tc>
        <w:tc>
          <w:tcPr>
            <w:tcW w:type="dxa" w:w="1584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$405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15.7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rPr>
                <w:sz w:val="19"/>
              </w:rPr>
              <w:t>books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9"/>
              </w:rPr>
              <w:t>$1,764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9"/>
              </w:rPr>
              <w:t>$435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26.0</w:t>
            </w:r>
          </w:p>
        </w:tc>
      </w:tr>
      <w:tr>
        <w:tc>
          <w:tcPr>
            <w:tcW w:type="dxa" w:w="316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audio_video_electronics</w:t>
            </w:r>
          </w:p>
        </w:tc>
        <w:tc>
          <w:tcPr>
            <w:tcW w:type="dxa" w:w="1296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31</w:t>
            </w:r>
          </w:p>
        </w:tc>
        <w:tc>
          <w:tcPr>
            <w:tcW w:type="dxa" w:w="1584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$1,621</w:t>
            </w:r>
          </w:p>
        </w:tc>
        <w:tc>
          <w:tcPr>
            <w:tcW w:type="dxa" w:w="1584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$587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8.0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rPr>
                <w:sz w:val="19"/>
              </w:rPr>
              <w:t>bed_bath_table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9"/>
              </w:rPr>
              <w:t>$1,545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9"/>
              </w:rPr>
              <w:t>$699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16.6</w:t>
            </w:r>
          </w:p>
        </w:tc>
      </w:tr>
    </w:tbl>
    <w:p/>
    <w:p>
      <w:pPr>
        <w:spacing w:after="160"/>
        <w:ind w:left="454"/>
        <w:pBdr>
          <w:left w:val="single" w:sz="24" w:space="4" w:color="0F6E56"/>
        </w:pBdr>
      </w:pPr>
      <w:r>
        <w:rPr>
          <w:i/>
          <w:color w:val="0F6E56"/>
          <w:sz w:val="21"/>
        </w:rPr>
        <w:t>Pareto analysis shows the top 22.4% of sellers drive 80% of total revenue. This extreme concentration means retaining and acquiring high-LTV sellers has a disproportionate impact on platform economics. Health_beauty is the most scalable high-LTV segment with 45 active sellers and strong average LTV.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0F6E56"/>
          <w:sz w:val="32"/>
        </w:rPr>
        <w:t>5. Audience Segmentation</w:t>
      </w:r>
    </w:p>
    <w:p>
      <w:pPr>
        <w:spacing w:after="120"/>
      </w:pPr>
      <w:r>
        <w:rPr>
          <w:color w:val="1A1A18"/>
          <w:sz w:val="21"/>
        </w:rPr>
        <w:t>Two segmentation approaches were applied to the 380 activated sellers: RFM scoring (rule-based) and K-means clustering (data-driven). Both methods converge on the same conclusion — a small group of high-value sellers drives the majority of platform revenue.</w:t>
      </w:r>
    </w:p>
    <w:p>
      <w:pPr>
        <w:pStyle w:val="Heading2"/>
        <w:spacing w:before="280" w:after="120"/>
      </w:pPr>
      <w:r>
        <w:rPr>
          <w:b/>
          <w:color w:val="1A1A18"/>
          <w:sz w:val="26"/>
        </w:rPr>
        <w:t>RFM segments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Segment</w:t>
            </w:r>
          </w:p>
        </w:tc>
        <w:tc>
          <w:tcPr>
            <w:tcW w:type="dxa" w:w="1440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Sellers</w:t>
            </w:r>
          </w:p>
        </w:tc>
        <w:tc>
          <w:tcPr>
            <w:tcW w:type="dxa" w:w="1872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Avg revenue</w:t>
            </w:r>
          </w:p>
        </w:tc>
        <w:tc>
          <w:tcPr>
            <w:tcW w:type="dxa" w:w="1584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Avg orders</w:t>
            </w:r>
          </w:p>
        </w:tc>
      </w:tr>
      <w:tr>
        <w:tc>
          <w:tcPr>
            <w:tcW w:type="dxa" w:w="259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champions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73</w:t>
            </w:r>
          </w:p>
        </w:tc>
        <w:tc>
          <w:tcPr>
            <w:tcW w:type="dxa" w:w="187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$3,852</w:t>
            </w:r>
          </w:p>
        </w:tc>
        <w:tc>
          <w:tcPr>
            <w:tcW w:type="dxa" w:w="1584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29.0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19"/>
              </w:rPr>
              <w:t>loyal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110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$2,995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9"/>
              </w:rPr>
              <w:t>16.6</w:t>
            </w:r>
          </w:p>
        </w:tc>
      </w:tr>
      <w:tr>
        <w:tc>
          <w:tcPr>
            <w:tcW w:type="dxa" w:w="259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promising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125</w:t>
            </w:r>
          </w:p>
        </w:tc>
        <w:tc>
          <w:tcPr>
            <w:tcW w:type="dxa" w:w="187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$446</w:t>
            </w:r>
          </w:p>
        </w:tc>
        <w:tc>
          <w:tcPr>
            <w:tcW w:type="dxa" w:w="1584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3.7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19"/>
              </w:rPr>
              <w:t>at_risk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58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$156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19"/>
              </w:rPr>
              <w:t>1.8</w:t>
            </w:r>
          </w:p>
        </w:tc>
      </w:tr>
      <w:tr>
        <w:tc>
          <w:tcPr>
            <w:tcW w:type="dxa" w:w="259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dormant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type="dxa" w:w="187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$100</w:t>
            </w:r>
          </w:p>
        </w:tc>
        <w:tc>
          <w:tcPr>
            <w:tcW w:type="dxa" w:w="1584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1.0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1A1A18"/>
          <w:sz w:val="26"/>
        </w:rPr>
        <w:t>K-means clusters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Cluster</w:t>
            </w:r>
          </w:p>
        </w:tc>
        <w:tc>
          <w:tcPr>
            <w:tcW w:type="dxa" w:w="1440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Sellers</w:t>
            </w:r>
          </w:p>
        </w:tc>
        <w:tc>
          <w:tcPr>
            <w:tcW w:type="dxa" w:w="1872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Avg revenue</w:t>
            </w:r>
          </w:p>
        </w:tc>
        <w:tc>
          <w:tcPr>
            <w:tcW w:type="dxa" w:w="1728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Revenue share</w:t>
            </w:r>
          </w:p>
        </w:tc>
      </w:tr>
      <w:tr>
        <w:tc>
          <w:tcPr>
            <w:tcW w:type="dxa" w:w="259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elite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187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$33,251</w:t>
            </w:r>
          </w:p>
        </w:tc>
        <w:tc>
          <w:tcPr>
            <w:tcW w:type="dxa" w:w="172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39.3%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19"/>
              </w:rPr>
              <w:t>high_value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34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$5,224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26.2%</w:t>
            </w:r>
          </w:p>
        </w:tc>
      </w:tr>
      <w:tr>
        <w:tc>
          <w:tcPr>
            <w:tcW w:type="dxa" w:w="259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mid_value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137</w:t>
            </w:r>
          </w:p>
        </w:tc>
        <w:tc>
          <w:tcPr>
            <w:tcW w:type="dxa" w:w="187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$772</w:t>
            </w:r>
          </w:p>
        </w:tc>
        <w:tc>
          <w:tcPr>
            <w:tcW w:type="dxa" w:w="172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15.6%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sz w:val="19"/>
              </w:rPr>
              <w:t>low_value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38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$756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4.2%</w:t>
            </w:r>
          </w:p>
        </w:tc>
      </w:tr>
      <w:tr>
        <w:tc>
          <w:tcPr>
            <w:tcW w:type="dxa" w:w="259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standard</w:t>
            </w:r>
          </w:p>
        </w:tc>
        <w:tc>
          <w:tcPr>
            <w:tcW w:type="dxa" w:w="14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163</w:t>
            </w:r>
          </w:p>
        </w:tc>
        <w:tc>
          <w:tcPr>
            <w:tcW w:type="dxa" w:w="1872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$605</w:t>
            </w:r>
          </w:p>
        </w:tc>
        <w:tc>
          <w:tcPr>
            <w:tcW w:type="dxa" w:w="1728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14.6%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1A1A18"/>
          <w:sz w:val="26"/>
        </w:rPr>
        <w:t>High value seller — lookalike profile</w:t>
      </w:r>
    </w:p>
    <w:p>
      <w:pPr>
        <w:spacing w:after="120"/>
      </w:pPr>
      <w:r>
        <w:rPr>
          <w:color w:val="1A1A18"/>
          <w:sz w:val="21"/>
        </w:rPr>
        <w:t>The high-value cluster contains 34 sellers averaging $5,224 in revenue and 37.9 orders. This profile serves as the targeting specification for future acquisition campaigns.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5040"/>
            <w:shd w:val="clear" w:color="auto" w:fill="0F6E5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60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Cluster size</w:t>
            </w:r>
          </w:p>
        </w:tc>
        <w:tc>
          <w:tcPr>
            <w:tcW w:type="dxa" w:w="50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34 sellers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sz w:val="19"/>
              </w:rPr>
              <w:t>Avg revenue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sz w:val="19"/>
              </w:rPr>
              <w:t>$5,224</w:t>
            </w:r>
          </w:p>
        </w:tc>
      </w:tr>
      <w:tr>
        <w:tc>
          <w:tcPr>
            <w:tcW w:type="dxa" w:w="360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Avg orders</w:t>
            </w:r>
          </w:p>
        </w:tc>
        <w:tc>
          <w:tcPr>
            <w:tcW w:type="dxa" w:w="50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37.9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sz w:val="19"/>
              </w:rPr>
              <w:t>Avg review score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sz w:val="19"/>
              </w:rPr>
              <w:t>4.14 / 5.0</w:t>
            </w:r>
          </w:p>
        </w:tc>
      </w:tr>
      <w:tr>
        <w:tc>
          <w:tcPr>
            <w:tcW w:type="dxa" w:w="360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Top channel</w:t>
            </w:r>
          </w:p>
        </w:tc>
        <w:tc>
          <w:tcPr>
            <w:tcW w:type="dxa" w:w="50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paid_search (32.4%)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sz w:val="19"/>
              </w:rPr>
              <w:t>Second channel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sz w:val="19"/>
              </w:rPr>
              <w:t>organic_search (29.4%)</w:t>
            </w:r>
          </w:p>
        </w:tc>
      </w:tr>
      <w:tr>
        <w:tc>
          <w:tcPr>
            <w:tcW w:type="dxa" w:w="360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Top segment</w:t>
            </w:r>
          </w:p>
        </w:tc>
        <w:tc>
          <w:tcPr>
            <w:tcW w:type="dxa" w:w="50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household_utilities (20.6%)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rPr>
                <w:sz w:val="19"/>
              </w:rPr>
              <w:t>Business type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sz w:val="19"/>
              </w:rPr>
              <w:t>reseller (94.1%)</w:t>
            </w:r>
          </w:p>
        </w:tc>
      </w:tr>
      <w:tr>
        <w:tc>
          <w:tcPr>
            <w:tcW w:type="dxa" w:w="360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Lead type</w:t>
            </w:r>
          </w:p>
        </w:tc>
        <w:tc>
          <w:tcPr>
            <w:tcW w:type="dxa" w:w="5040"/>
            <w:shd w:val="clear" w:color="auto" w:fill="F0FDF9"/>
          </w:tcPr>
          <w:p>
            <w:pPr>
              <w:jc w:val="center"/>
            </w:pPr>
            <w:r>
              <w:rPr>
                <w:sz w:val="19"/>
              </w:rPr>
              <w:t>online_big (44.1%) + online_medium (35.3%)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0F6E56"/>
          <w:sz w:val="32"/>
        </w:rPr>
        <w:t>6. Recommendations</w:t>
      </w:r>
    </w:p>
    <w:p>
      <w:pPr>
        <w:spacing w:before="200"/>
      </w:pPr>
      <w:r>
        <w:rPr>
          <w:b/>
          <w:color w:val="0F6E56"/>
          <w:sz w:val="22"/>
        </w:rPr>
        <w:t>1. Redirect email and referral traffic to top-performing landing pages</w:t>
      </w:r>
    </w:p>
    <w:p>
      <w:pPr>
        <w:spacing w:after="120"/>
      </w:pPr>
      <w:r>
        <w:rPr>
          <w:color w:val="1A1A18"/>
          <w:sz w:val="21"/>
        </w:rPr>
        <w:t>65.3% of email leads land on low-converting pages (CVR &lt; 3.4%). Redirecting this traffic to the top 3 landing pages (CVR 19-21%) could generate ~100 additional conversions from existing lead volume at zero additional acquisition cost.</w:t>
      </w:r>
    </w:p>
    <w:p/>
    <w:p>
      <w:pPr>
        <w:spacing w:before="200"/>
      </w:pPr>
      <w:r>
        <w:rPr>
          <w:b/>
          <w:color w:val="0F6E56"/>
          <w:sz w:val="22"/>
        </w:rPr>
        <w:t>2. Fix the activation gap before increasing acquisition spend</w:t>
      </w:r>
    </w:p>
    <w:p>
      <w:pPr>
        <w:spacing w:after="120"/>
      </w:pPr>
      <w:r>
        <w:rPr>
          <w:color w:val="1A1A18"/>
          <w:sz w:val="21"/>
        </w:rPr>
        <w:t>462 sellers (54.9%) signed deals but never placed an order. Improving onboarding for newly converted sellers would increase revenue without spending a single additional dollar on marketing. Even a 20% improvement in activation rate would add ~92 active sellers to the platform.</w:t>
      </w:r>
    </w:p>
    <w:p/>
    <w:p>
      <w:pPr>
        <w:spacing w:before="200"/>
      </w:pPr>
      <w:r>
        <w:rPr>
          <w:b/>
          <w:color w:val="0F6E56"/>
          <w:sz w:val="22"/>
        </w:rPr>
        <w:t>3. Shift attribution model from last-touch to Markov chain for budget decisions</w:t>
      </w:r>
    </w:p>
    <w:p>
      <w:pPr>
        <w:spacing w:after="120"/>
      </w:pPr>
      <w:r>
        <w:rPr>
          <w:color w:val="1A1A18"/>
          <w:sz w:val="21"/>
        </w:rPr>
        <w:t>Last-touch attribution undervalues email by 5x and direct traffic by 3x. Teams making budget decisions based on last-touch data are likely cutting spend on channels that contribute significantly to assisted conversions.</w:t>
      </w:r>
    </w:p>
    <w:p/>
    <w:p>
      <w:pPr>
        <w:spacing w:before="200"/>
      </w:pPr>
      <w:r>
        <w:rPr>
          <w:b/>
          <w:color w:val="0F6E56"/>
          <w:sz w:val="22"/>
        </w:rPr>
        <w:t>4. Target paid_search and organic_search for high-LTV seller acquisition</w:t>
      </w:r>
    </w:p>
    <w:p>
      <w:pPr>
        <w:spacing w:after="120"/>
      </w:pPr>
      <w:r>
        <w:rPr>
          <w:color w:val="1A1A18"/>
          <w:sz w:val="21"/>
        </w:rPr>
        <w:t>62% of high-value sellers came through paid_search or organic_search. Social brings 3x the lead volume of paid_search but produces far fewer high-LTV sellers. Reallocating 20% of social budget to paid search would likely improve overall seller quality.</w:t>
      </w:r>
    </w:p>
    <w:p/>
    <w:p>
      <w:pPr>
        <w:spacing w:before="200"/>
      </w:pPr>
      <w:r>
        <w:rPr>
          <w:b/>
          <w:color w:val="0F6E56"/>
          <w:sz w:val="22"/>
        </w:rPr>
        <w:t>5. Build a lookalike audience from the high-value cluster profile</w:t>
      </w:r>
    </w:p>
    <w:p>
      <w:pPr>
        <w:spacing w:after="120"/>
      </w:pPr>
      <w:r>
        <w:rPr>
          <w:color w:val="1A1A18"/>
          <w:sz w:val="21"/>
        </w:rPr>
        <w:t>The ideal acquisition target is: paid_search or organic_search channel, household_utilities or health_beauty segment, reseller business type, online_big or online_medium lead type. This profile should be used as a seed audience for Meta and Google lookalike targeting.</w:t>
      </w:r>
    </w:p>
    <w:p/>
    <w:p>
      <w:r>
        <w:br w:type="page"/>
      </w:r>
    </w:p>
    <w:p>
      <w:pPr>
        <w:jc w:val="center"/>
      </w:pPr>
      <w:r>
        <w:rPr>
          <w:color w:val="6C757D"/>
          <w:sz w:val="18"/>
        </w:rPr>
        <w:t>Growth Analytics Report  ·  Olist E-Commerce Dataset  ·  Generated 28 March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