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300" w:lineRule="auto"/>
        <w:jc w:val="left"/>
      </w:pPr>
      <w:r>
        <w:rPr>
          <w:rFonts w:ascii="Aptos" w:hAnsi="Aptos"/>
          <w:b/>
          <w:i w:val="0"/>
          <w:color w:val="B99A5B"/>
          <w:sz w:val="19"/>
        </w:rPr>
        <w:t>ATELIER DE CO-CONCEPTION</w:t>
      </w:r>
    </w:p>
    <w:p>
      <w:pPr>
        <w:keepNext w:val="0"/>
        <w:spacing w:before="0" w:after="160" w:line="300" w:lineRule="auto"/>
        <w:jc w:val="left"/>
      </w:pPr>
      <w:r>
        <w:rPr>
          <w:rFonts w:ascii="Aptos" w:hAnsi="Aptos"/>
          <w:b/>
          <w:i w:val="0"/>
          <w:color w:val="6B5353"/>
          <w:sz w:val="56"/>
        </w:rPr>
        <w:t>Construire l’expérience</w:t>
        <w:br/>
        <w:t>Cash Alimentaire</w:t>
      </w:r>
    </w:p>
    <w:p>
      <w:pPr>
        <w:keepNext w:val="0"/>
        <w:spacing w:before="0" w:after="360" w:line="300" w:lineRule="auto"/>
        <w:jc w:val="left"/>
      </w:pPr>
      <w:r>
        <w:rPr>
          <w:rFonts w:ascii="Aptos" w:hAnsi="Aptos"/>
          <w:b w:val="0"/>
          <w:i w:val="0"/>
          <w:color w:val="302828"/>
          <w:sz w:val="26"/>
        </w:rPr>
        <w:t>Support de travail pour transformer le site catalogue en outil commercial, éditorial et opérationnel.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6B5353"/>
          <w:left w:val="single" w:sz="5" w:space="0" w:color="6B5353"/>
          <w:bottom w:val="single" w:sz="5" w:space="0" w:color="6B5353"/>
          <w:right w:val="single" w:sz="5" w:space="0" w:color="6B5353"/>
          <w:insideH w:val="single" w:sz="5" w:space="0" w:color="6B5353"/>
          <w:insideV w:val="single" w:sz="5" w:space="0" w:color="6B5353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FE8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i w:val="0"/>
                <w:color w:val="6B5353"/>
                <w:sz w:val="34"/>
              </w:rPr>
              <w:t>4 h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86363"/>
                <w:sz w:val="17"/>
              </w:rPr>
              <w:t>atelier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E5DA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i w:val="0"/>
                <w:color w:val="6B5353"/>
                <w:sz w:val="34"/>
              </w:rPr>
              <w:t>6–10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86363"/>
                <w:sz w:val="17"/>
              </w:rPr>
              <w:t>participants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5EFE8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i w:val="0"/>
                <w:color w:val="6B5353"/>
                <w:sz w:val="34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86363"/>
                <w:sz w:val="17"/>
              </w:rPr>
              <w:t>décisions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E5DA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i w:val="0"/>
                <w:color w:val="6B5353"/>
                <w:sz w:val="34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86363"/>
                <w:sz w:val="17"/>
              </w:rPr>
              <w:t>cap commun</w:t>
            </w:r>
          </w:p>
        </w:tc>
      </w:tr>
    </w:tbl>
    <w:p>
      <w:pPr>
        <w:keepNext w:val="0"/>
        <w:spacing w:before="0" w:after="160" w:line="300" w:lineRule="auto"/>
        <w:jc w:val="left"/>
      </w:pPr>
      <w:r>
        <w:rPr>
          <w:rFonts w:ascii="Aptos" w:hAnsi="Aptos"/>
          <w:b w:val="0"/>
          <w:i w:val="0"/>
          <w:color w:val="302828"/>
          <w:sz w:val="8"/>
        </w:rPr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Date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Lieu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Facilitateur / facilitatrice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24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Participants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5EFE8"/>
          <w:left w:val="single" w:sz="2" w:space="0" w:color="F5EFE8"/>
          <w:bottom w:val="single" w:sz="2" w:space="0" w:color="F5EFE8"/>
          <w:right w:val="single" w:sz="2" w:space="0" w:color="F5EFE8"/>
          <w:insideH w:val="single" w:sz="2" w:space="0" w:color="F5EFE8"/>
          <w:insideV w:val="single" w:sz="2" w:space="0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F5EF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RÈGLE DU JEU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Nous cherchons des décisions suffisamment précises pour concevoir et gérer le site. Une idée non arbitrée va dans le parking ; une décision retenue reçoit un responsable.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MODE D’EMPLOI</w:t>
      </w:r>
    </w:p>
    <w:p>
      <w:pPr>
        <w:pStyle w:val="Heading1"/>
        <w:keepNext/>
      </w:pPr>
      <w:r>
        <w:t>Ce que l’atelier doit produire</w:t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À la fin de la séance, l’équipe doit pouvoir remettre au projet huit livrables directement exploitables 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600"/>
        <w:gridCol w:w="3300"/>
        <w:gridCol w:w="5460"/>
      </w:tblGrid>
      <w:tr>
        <w:trPr>
          <w:cantSplit/>
          <w:tblHeader w:val="true"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Livrable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Décision obtenue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1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Objectifs et critères de succès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Ce que le site doit améliorer concrètement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2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Publics prioritaires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Qui sert-on en premier, et pour quel besoin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3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Architecture de l’offre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Familles, métiers et services à rendre visibles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4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Promesse et preuves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Message central et éléments de réassurance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5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Parcours Devenir client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Étapes, informations demandées et réponse promise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6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Priorités de la page d’accueil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Ordre et rôle des blocs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7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Matrice éditoriale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Contenus utiles, fréquence et responsables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8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Gouvernance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Qui publie, valide, maintient et répond</w:t>
            </w:r>
          </w:p>
        </w:tc>
      </w:tr>
    </w:tbl>
    <w:p>
      <w:pPr>
        <w:pStyle w:val="Heading2"/>
        <w:keepNext/>
      </w:pPr>
      <w:r>
        <w:t>Déroulé proposé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800"/>
        <w:gridCol w:w="3000"/>
        <w:gridCol w:w="45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Temps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Séquence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Méthode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00:00–00:15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Cadrage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Objectifs, rôles et règles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00:15–00:40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1. Succès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Individuel puis convergence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00:40–01:05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2. Publics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Cartes profils et priorisation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01:05–01:30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3. Offre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Tri et regroupement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01:30–01:55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4. Promesse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Écriture et test de crédibilité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01:55–02:05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Pause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02:05–02:40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5. Devenir client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Cartographie du parcours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02:40–03:05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6. Accueil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Classement par priorité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03:05–03:35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7. Éditorial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Matrice contenu / capacité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03:35–04:00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8. Gouvernance et synthèse</w:t>
            </w:r>
          </w:p>
        </w:tc>
        <w:tc>
          <w:tcPr>
            <w:tcW w:type="dxa" w:w="4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RACI léger et décisions</w:t>
            </w:r>
          </w:p>
        </w:tc>
      </w:tr>
    </w:tbl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PRÉPARER LA SÉANCE</w:t>
      </w:r>
    </w:p>
    <w:p>
      <w:pPr>
        <w:pStyle w:val="Heading1"/>
        <w:keepNext/>
      </w:pPr>
      <w:r>
        <w:t>Rôles pendant l’atelier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Rôle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Nom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Responsabilité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Décideur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Arbitre en cas de désaccord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Facilitateur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Cadre le temps et reformule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Scribe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Consigne les décisions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Voix client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Challenge les choix depuis le terrain</w:t>
            </w:r>
          </w:p>
        </w:tc>
      </w:tr>
    </w:tbl>
    <w:p>
      <w:pPr>
        <w:pStyle w:val="Heading2"/>
        <w:keepNext/>
      </w:pPr>
      <w:r>
        <w:t>Éléments à apporter</w:t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Réunir les éléments existants, même incomplets. L’objectif est de distinguer ce qui est disponible de ce qui devra être produit après l’atelier.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4700"/>
        <w:gridCol w:w="2860"/>
        <w:gridCol w:w="1800"/>
      </w:tblGrid>
      <w:tr>
        <w:trPr>
          <w:cantSplit/>
          <w:tblHeader w:val="true"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Élément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Apporté par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Disponible ?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Catalogues actuels et dates de validité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Liste des familles et services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Processus actuel de demande commerciale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Questions et objections des prospects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Statistiques ou retours du site actuel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Photographies, logo et documents de marque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Matériel conseillé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Post-it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Feutres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Gommettes de vote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Écran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Chronomètre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Contrainte ou sujet sensible à connaître avant la séance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1  |  25 MIN</w:t>
      </w:r>
    </w:p>
    <w:p>
      <w:pPr>
        <w:pStyle w:val="Heading1"/>
        <w:keepNext/>
      </w:pPr>
      <w:r>
        <w:t>Définir le succès du futur site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Une liste de 3 objectifs prioritaires, chacun associé à un indicateur observable.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Individuellement, chaque participant formule ce que le site devra avoir changé six mois après sa mise en ligne. Le groupe regroupe ensuite les formulations proches et vote.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3100"/>
        <w:gridCol w:w="3260"/>
        <w:gridCol w:w="3000"/>
      </w:tblGrid>
      <w:tr>
        <w:trPr>
          <w:cantSplit/>
          <w:tblHeader w:val="true"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Aujourd’hui, le problème est…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Dans 6 mois, nous voulons…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Comment le constater ?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</w:tbl>
    <w:p>
      <w:pPr>
        <w:pStyle w:val="Heading2"/>
        <w:keepNext/>
      </w:pPr>
      <w:r>
        <w:t>Vote final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100"/>
        <w:gridCol w:w="3760"/>
        <w:gridCol w:w="2500"/>
        <w:gridCol w:w="2000"/>
      </w:tblGrid>
      <w:tr>
        <w:trPr>
          <w:cantSplit/>
          <w:tblHeader w:val="true"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Priorité</w:t>
            </w:r>
          </w:p>
        </w:tc>
        <w:tc>
          <w:tcPr>
            <w:tcW w:type="dxa" w:w="3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Objectif retenu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Indicateur</w:t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Cible / échéance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</w:tbl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Le périmètre du site est d’abord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Générer des demandes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Présenter l’offre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Diffuser les catalogues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Renforcer l’image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Servir les clients existants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Phrase de succès commune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4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2  |  25 MIN</w:t>
      </w:r>
    </w:p>
    <w:p>
      <w:pPr>
        <w:pStyle w:val="Heading1"/>
        <w:keepNext/>
      </w:pPr>
      <w:r>
        <w:t>Choisir les publics prioritaires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Trois publics classés, avec leur besoin principal, leurs objections et l’action attendue.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5EFE8"/>
          <w:left w:val="single" w:sz="2" w:space="0" w:color="F5EFE8"/>
          <w:bottom w:val="single" w:sz="2" w:space="0" w:color="F5EFE8"/>
          <w:right w:val="single" w:sz="2" w:space="0" w:color="F5EFE8"/>
          <w:insideH w:val="single" w:sz="2" w:space="0" w:color="F5EFE8"/>
          <w:insideV w:val="single" w:sz="2" w:space="0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F5EF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QUESTION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Si nous ne pouvions satisfaire parfaitement qu’un seul type de professionnel au lancement, lequel choisirions-nous ?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650"/>
        <w:gridCol w:w="1900"/>
        <w:gridCol w:w="2100"/>
        <w:gridCol w:w="1900"/>
        <w:gridCol w:w="1810"/>
      </w:tblGrid>
      <w:tr>
        <w:trPr>
          <w:cantSplit/>
          <w:tblHeader w:val="true"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Public / métier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Situation déclenchante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Ce qu’il cherche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Ce qui le freine</w:t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Action attendue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8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pPr>
        <w:pStyle w:val="Heading2"/>
        <w:keepNext/>
      </w:pPr>
      <w:r>
        <w:t>Arbitrage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800"/>
        <w:gridCol w:w="2300"/>
        <w:gridCol w:w="3860"/>
        <w:gridCol w:w="2400"/>
      </w:tblGrid>
      <w:tr>
        <w:trPr>
          <w:cantSplit/>
          <w:tblHeader w:val="true"/>
        </w:trPr>
        <w:tc>
          <w:tcPr>
            <w:tcW w:type="dxa" w:w="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Rang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Public retenu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Pourquoi lui ?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Connaissance à vérifier</w:t>
            </w:r>
          </w:p>
        </w:tc>
      </w:tr>
      <w:tr>
        <w:trPr>
          <w:cantSplit/>
        </w:trPr>
        <w:tc>
          <w:tcPr>
            <w:tcW w:type="dxa" w:w="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  <w:tr>
        <w:trPr>
          <w:cantSplit/>
        </w:trPr>
        <w:tc>
          <w:tcPr>
            <w:tcW w:type="dxa" w:w="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</w:r>
          </w:p>
        </w:tc>
      </w:tr>
    </w:tbl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Données disponibles pour valider ces choix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Retours commerciaux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Recherches du site actuel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Appels entrants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Données clients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Aucune donnée consolidée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Personne chargée de réunir les preuves manquantes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3  |  25 MIN</w:t>
      </w:r>
    </w:p>
    <w:p>
      <w:pPr>
        <w:pStyle w:val="Heading1"/>
        <w:keepNext/>
      </w:pPr>
      <w:r>
        <w:t>Rendre l’offre compréhensible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Une double entrée validée : familles de produits et métiers, complétée par les services essentiels.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Inscrire chaque élément sur une carte, puis regrouper sans reprendre automatiquement l’organisation interne ou celle du fournisseur du thème.</w:t>
      </w:r>
    </w:p>
    <w:p>
      <w:pPr>
        <w:pStyle w:val="Heading2"/>
        <w:keepNext/>
      </w:pPr>
      <w:r>
        <w:t>Entrée par familles de produits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300"/>
        <w:gridCol w:w="3860"/>
        <w:gridCol w:w="1200"/>
        <w:gridCol w:w="200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Intitulé visible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Ce que le visiteur y trouvera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Priorité</w:t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Contenu disponible ?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3  |  SUITE</w:t>
      </w:r>
    </w:p>
    <w:p>
      <w:pPr>
        <w:pStyle w:val="Heading2"/>
        <w:keepNext/>
      </w:pPr>
      <w:r>
        <w:t>Entrée par métiers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900"/>
        <w:gridCol w:w="2500"/>
        <w:gridCol w:w="3160"/>
        <w:gridCol w:w="180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Métier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Besoin spécifique</w:t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Produits / services à montrer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CTA contextualisé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3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Services à rendre visibles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900"/>
        <w:gridCol w:w="2900"/>
        <w:gridCol w:w="2760"/>
        <w:gridCol w:w="180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Bénéfice client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Preuve disponible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Page dédiée ?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Éléments hors périmètre du lancement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4  |  25 MIN</w:t>
      </w:r>
    </w:p>
    <w:p>
      <w:pPr>
        <w:pStyle w:val="Heading1"/>
        <w:keepNext/>
      </w:pPr>
      <w:r>
        <w:t>Écrire une promesse crédible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Une promesse principale, une sous-promesse et quatre preuves vérifiables.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5EFE8"/>
          <w:left w:val="single" w:sz="2" w:space="0" w:color="F5EFE8"/>
          <w:bottom w:val="single" w:sz="2" w:space="0" w:color="F5EFE8"/>
          <w:right w:val="single" w:sz="2" w:space="0" w:color="F5EFE8"/>
          <w:insideH w:val="single" w:sz="2" w:space="0" w:color="F5EFE8"/>
          <w:insideV w:val="single" w:sz="2" w:space="0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F5EF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POINT DE DÉPART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« Le partenaire des métiers de bouche sur la Côte d’Azur. » Cette proposition est une hypothèse à challenger, pas une formulation imposée.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Test des formulations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4000"/>
        <w:gridCol w:w="1000"/>
        <w:gridCol w:w="1300"/>
        <w:gridCol w:w="1100"/>
        <w:gridCol w:w="1960"/>
      </w:tblGrid>
      <w:tr>
        <w:trPr>
          <w:cantSplit/>
          <w:tblHeader w:val="true"/>
        </w:trP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Proposition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Claire ?</w:t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Différenciante ?</w:t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Crédible ?</w:t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À conserver / corriger</w:t>
            </w:r>
          </w:p>
        </w:tc>
      </w:tr>
      <w:tr>
        <w:trPr>
          <w:cantSplit/>
        </w:trP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Promesse retenue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Sous-promesse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pStyle w:val="Heading2"/>
        <w:keepNext/>
      </w:pPr>
      <w:r>
        <w:t>Preuves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3300"/>
        <w:gridCol w:w="2600"/>
        <w:gridCol w:w="1960"/>
        <w:gridCol w:w="1500"/>
      </w:tblGrid>
      <w:tr>
        <w:trPr>
          <w:cantSplit/>
          <w:tblHeader w:val="true"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Preuve annoncée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Source / propriétaire</w:t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Date de vérification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Publier ?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La photographie du hero doit montrer en priorité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Un client en situation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Les équipes Cash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La livraison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Les produits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L’entrepôt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5  |  35 MIN</w:t>
      </w:r>
    </w:p>
    <w:p>
      <w:pPr>
        <w:pStyle w:val="Heading1"/>
        <w:keepNext/>
      </w:pPr>
      <w:r>
        <w:t>Concevoir le parcours « Devenir client 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 parcours court, rassurant et compatible avec le processus commercial réel.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Commencer par le processus actuel : que se passe-t-il réellement après une demande ? Supprimer ensuite les informations qui ne sont pas nécessaires au premier contact.</w:t>
      </w:r>
    </w:p>
    <w:p>
      <w:pPr>
        <w:pStyle w:val="Heading2"/>
        <w:keepNext/>
      </w:pPr>
      <w:r>
        <w:t>Parcours réel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000"/>
        <w:gridCol w:w="2300"/>
        <w:gridCol w:w="2300"/>
        <w:gridCol w:w="1400"/>
        <w:gridCol w:w="2360"/>
      </w:tblGrid>
      <w:tr>
        <w:trPr>
          <w:cantSplit/>
          <w:tblHeader w:val="true"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Étape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Action du prospect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Action Cash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Délai réel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Point de friction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5  |  SUITE</w:t>
      </w:r>
    </w:p>
    <w:p>
      <w:pPr>
        <w:pStyle w:val="Heading2"/>
        <w:keepNext/>
      </w:pPr>
      <w:r>
        <w:t>Formulaire de premier contact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400"/>
        <w:gridCol w:w="1500"/>
        <w:gridCol w:w="3560"/>
        <w:gridCol w:w="190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Information demandée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Obligatoire ?</w:t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Pourquoi en avons-nous besoin ?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Peut attendre le rappel ?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Type d’établissement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Code postal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Entreprise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Nom et prénom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Téléphone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E-mail professionnel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Besoin principal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Autre :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pPr>
        <w:pStyle w:val="Heading2"/>
        <w:keepNext/>
      </w:pPr>
      <w:r>
        <w:t>Contrat de réponse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Délai de rappel que nous pouvons réellement tenir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Équipe / personne qui reçoit la demande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Message affiché après envoi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Objet de l’e-mail de confirmation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Réassurances affichées avant le formulaire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Interlocuteur local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Sans engagement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Temps de saisie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Délai de réponse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Confidentialité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6  |  25 MIN</w:t>
      </w:r>
    </w:p>
    <w:p>
      <w:pPr>
        <w:pStyle w:val="Heading1"/>
        <w:keepNext/>
      </w:pPr>
      <w:r>
        <w:t>Hiérarchiser la page d’accueil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 ordre de lecture partagé et un rôle précis pour chaque bloc.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 w:val="0"/>
          <w:color w:val="302828"/>
          <w:sz w:val="21"/>
        </w:rPr>
        <w:t>Attribuer un rang de 1 à 10. Deux blocs ne peuvent pas avoir le même rang. Tout bloc sans objectif ni contenu maintenable sort de la page.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700"/>
        <w:gridCol w:w="2300"/>
        <w:gridCol w:w="2900"/>
        <w:gridCol w:w="2060"/>
        <w:gridCol w:w="1400"/>
      </w:tblGrid>
      <w:tr>
        <w:trPr>
          <w:cantSplit/>
          <w:tblHeader w:val="true"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Rang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Bloc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Question à laquelle il répond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CTA / suite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Contenu prêt ?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Hero : promesse et CTA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Pourquoi Cash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Devenir client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Preuves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Puis-je vous faire confiance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Familles de produits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Que proposez-vous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Voir une famille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Entrées métiers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Comprenez-vous mon activité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Voir mon métier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Catalogues du moment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Quelles offres puis-je consulter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Feuilleter / télécharger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Services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Comment allez-vous m’aider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Découvrir les services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Sélection saisonnière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Qu’est-ce qui est utile maintenant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Voir la sélection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Témoignage / cas client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Est-ce concret localement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Lire le cas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Conseils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Que pouvez-vous m’apprendre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Lire les conseils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Bloc Devenir client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Comment démarrer ?</w:t>
            </w:r>
          </w:p>
        </w:tc>
        <w:tc>
          <w:tcPr>
            <w:tcW w:type="dxa" w:w="2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Devenir client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</w:tbl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Bloc supprimé ou reporté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Contenu indispensable à produire avant la maquette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7  |  30 MIN</w:t>
      </w:r>
    </w:p>
    <w:p>
      <w:pPr>
        <w:pStyle w:val="Heading1"/>
        <w:keepNext/>
      </w:pPr>
      <w:r>
        <w:t>Construire un éditorialisme soutenable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Une matrice de contenus réaliste, avec fréquence, source et responsable.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PRINCIPE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Mieux vaut trois formats utiles et tenus pendant un an que douze rubriques abandonnées après le lancement.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1800"/>
        <w:gridCol w:w="1900"/>
        <w:gridCol w:w="1400"/>
        <w:gridCol w:w="1200"/>
        <w:gridCol w:w="1530"/>
        <w:gridCol w:w="153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Format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Public / besoin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Fréquence</w:t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Produit par</w:t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Validé par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Actualité catalogue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Sélection saisonnière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Fiche conseil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Dossier métier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Recette / rendement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Portrait client local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Actualité entreprise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Autre :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7  |  SUITE</w:t>
      </w:r>
    </w:p>
    <w:p>
      <w:pPr>
        <w:pStyle w:val="Heading2"/>
        <w:keepNext/>
      </w:pPr>
      <w:r>
        <w:t>Règles de publication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Sujet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Décision de l’équipe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Date de retrait d’un catalogue expiré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Nom des fichiers PDF et couvertures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Validation des prix et informations produit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Droits sur les photographies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Ton et vocabulaire métier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Traitement des contenus obsolètes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  <w:t>Mesure de la performance</w:t>
            </w:r>
          </w:p>
        </w:tc>
        <w:tc>
          <w:tcPr>
            <w:tcW w:type="dxa" w:w="6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Capacité réelle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Temps disponible chaque mois pour le site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Personnes capables de rédiger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Personnes capables de fournir photos / données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Frein principal anticipé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keepNext/>
        <w:pageBreakBefore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EXERCICE 8  |  25 MIN</w:t>
      </w:r>
    </w:p>
    <w:p>
      <w:pPr>
        <w:pStyle w:val="Heading1"/>
        <w:keepNext/>
      </w:pPr>
      <w:r>
        <w:t>Organiser la gouvernance du site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LIVRABLE ATTENDU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Un responsable par opération récurrente et une procédure simple pour les urgences.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500"/>
        <w:gridCol w:w="1500"/>
        <w:gridCol w:w="1500"/>
        <w:gridCol w:w="1900"/>
        <w:gridCol w:w="19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Opération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Réalise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Valide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Fréquence / délai</w:t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5"/>
              </w:rPr>
              <w:t>Outil / source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Mettre à jour un catalogue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Créer une actualité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Modifier une famille produit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Traiter une demande commerciale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Répondre à un formulaire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Corriger une erreur urgente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Vérifier les liens / PDF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Analyser les statistiques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  <w:t>Gérer les droits d’accès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  <w:tc>
          <w:tcPr>
            <w:tcW w:type="dxa" w:w="1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5"/>
              </w:rPr>
            </w:r>
          </w:p>
        </w:tc>
      </w:tr>
    </w:tbl>
    <w:p>
      <w:pPr>
        <w:pStyle w:val="Heading2"/>
        <w:keepNext/>
      </w:pPr>
      <w:r>
        <w:t>Garde-fous</w:t>
      </w:r>
    </w:p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Avant publication, qui contrôle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Exactitude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Orthographe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Droits images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Date d’expiration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Affichage mobile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Liens et formulaire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Canal d’alerte en cas d’erreur critique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Délai maximal de correction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SYNTHÈSE DE FIN D’ATELIER</w:t>
      </w:r>
    </w:p>
    <w:p>
      <w:pPr>
        <w:pStyle w:val="Heading1"/>
        <w:keepNext/>
      </w:pPr>
      <w:r>
        <w:t>Les décisions que nous emportons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100"/>
        <w:gridCol w:w="4060"/>
        <w:gridCol w:w="1700"/>
        <w:gridCol w:w="150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Sujet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Décision validée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Responsable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Échéance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Objectif principal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Public prioritaire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Promesse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CTA principal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Parcours Devenir client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Architecture de l’offre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Formats éditoriaux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Gouvernance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pPr>
        <w:pStyle w:val="Heading2"/>
        <w:keepNext/>
      </w:pPr>
      <w:r>
        <w:t>Parking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3000"/>
        <w:gridCol w:w="2960"/>
        <w:gridCol w:w="1700"/>
        <w:gridCol w:w="1700"/>
      </w:tblGrid>
      <w:tr>
        <w:trPr>
          <w:cantSplit/>
          <w:tblHeader w:val="true"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Question non tranchée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Information nécessaire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Responsable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Date d’arbitrage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PASSAGE À LA CONCEPTION</w:t>
      </w:r>
    </w:p>
    <w:p>
      <w:pPr>
        <w:pStyle w:val="Heading1"/>
        <w:keepNext/>
      </w:pPr>
      <w:r>
        <w:t>Contenus et preuves à réunir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200"/>
        <w:gridCol w:w="1000"/>
        <w:gridCol w:w="2860"/>
        <w:gridCol w:w="1900"/>
        <w:gridCol w:w="140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Élément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Existe ?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À produire / corriger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Propriétaire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6"/>
              </w:rPr>
              <w:t>Date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Logo et charte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Photographies réelles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Chiffres clés vérifiés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Liste des familles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Liste des services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Catalogues et couvertures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Coordonnées et horaires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Zone de livraison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Témoignages autorisés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  <w:t>Mentions et consentements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24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6"/>
              </w:rPr>
            </w:r>
          </w:p>
        </w:tc>
      </w:tr>
    </w:tbl>
    <w:p>
      <w:pPr>
        <w:pStyle w:val="Heading2"/>
        <w:keepNext/>
      </w:pPr>
      <w:r>
        <w:t>Validation collective</w:t>
      </w:r>
    </w:p>
    <w:p>
      <w:pPr>
        <w:keepNext w:val="0"/>
        <w:spacing w:before="0" w:after="120" w:line="300" w:lineRule="auto"/>
        <w:jc w:val="left"/>
      </w:pPr>
      <w:r>
        <w:rPr>
          <w:rFonts w:ascii="Aptos" w:hAnsi="Aptos"/>
          <w:b w:val="0"/>
          <w:i/>
          <w:color w:val="302828"/>
          <w:sz w:val="20"/>
        </w:rPr>
        <w:t>Nous confirmons que les décisions consignées constituent la base de la maquette UX. Toute modification ultérieure devra préciser la décision remplacée et son impact.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Décideur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Date de validation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pPr>
        <w:spacing w:after="100" w:line="276" w:lineRule="auto"/>
      </w:pPr>
      <w:r>
        <w:rPr>
          <w:rFonts w:ascii="Aptos" w:hAnsi="Aptos"/>
          <w:b/>
          <w:i w:val="0"/>
          <w:color w:val="6B5353"/>
          <w:sz w:val="20"/>
        </w:rPr>
        <w:t xml:space="preserve">Prochaine étape / date : </w:t>
      </w:r>
      <w:r>
        <w:rPr>
          <w:rFonts w:ascii="Aptos" w:hAnsi="Aptos"/>
          <w:b w:val="0"/>
          <w:i w:val="0"/>
          <w:color w:val="302828"/>
          <w:sz w:val="20"/>
        </w:rPr>
        <w:t>________________________________________________________________</w:t>
      </w:r>
    </w:p>
    <w:p>
      <w:r>
        <w:br w:type="page"/>
      </w:r>
    </w:p>
    <w:p>
      <w:pPr>
        <w:keepNext/>
        <w:spacing w:before="0" w:after="40" w:line="300" w:lineRule="auto"/>
        <w:jc w:val="left"/>
      </w:pPr>
      <w:r>
        <w:rPr>
          <w:rFonts w:ascii="Aptos" w:hAnsi="Aptos"/>
          <w:b/>
          <w:i w:val="0"/>
          <w:color w:val="B99A5B"/>
          <w:sz w:val="18"/>
        </w:rPr>
        <w:t>ANNEXE FACILITATEUR</w:t>
      </w:r>
    </w:p>
    <w:p>
      <w:pPr>
        <w:pStyle w:val="Heading1"/>
        <w:keepNext/>
      </w:pPr>
      <w:r>
        <w:t>Questions de relance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D2CC"/>
          <w:left w:val="single" w:sz="6" w:space="0" w:color="D9D2CC"/>
          <w:bottom w:val="single" w:sz="6" w:space="0" w:color="D9D2CC"/>
          <w:right w:val="single" w:sz="6" w:space="0" w:color="D9D2CC"/>
          <w:insideH w:val="single" w:sz="6" w:space="0" w:color="D9D2CC"/>
          <w:insideV w:val="single" w:sz="6" w:space="0" w:color="D9D2CC"/>
        </w:tblBorders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Situation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6B535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Question à poser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tout est prioritaire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Quel choix ferait le commercial si le visiteur ne voyait qu’un seul écran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une rubrique est proposée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Qui peut l’alimenter, avec quelle source et à quelle fréquence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une preuve est avancée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Où est la donnée, qui la garantit et quand sera-t-elle revue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le formulaire s’allonge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Cette information est-elle indispensable avant le premier rappel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le groupe parle de l’entreprise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Quel problème concret du professionnel sommes-nous en train de résoudre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le template impose un bloc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6F6F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Quel objectif utilisateur ce bloc sert-il ?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Quand un désaccord persiste</w:t>
            </w:r>
          </w:p>
        </w:tc>
        <w:tc>
          <w:tcPr>
            <w:tcW w:type="dxa" w:w="6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302828"/>
                <w:sz w:val="18"/>
              </w:rPr>
              <w:t>Quelle donnée ou quel test permettra de l’arbitrer après l’atelier ?</w:t>
            </w:r>
          </w:p>
        </w:tc>
      </w:tr>
    </w:tbl>
    <w:p>
      <w:pPr>
        <w:pStyle w:val="Heading2"/>
        <w:keepNext/>
      </w:pPr>
      <w:r>
        <w:t>Critères de sortie</w:t>
      </w:r>
    </w:p>
    <w:p>
      <w:pPr>
        <w:keepNext/>
        <w:spacing w:before="0" w:after="80" w:line="300" w:lineRule="auto"/>
        <w:jc w:val="left"/>
      </w:pPr>
      <w:r>
        <w:rPr>
          <w:rFonts w:ascii="Aptos" w:hAnsi="Aptos"/>
          <w:b/>
          <w:i w:val="0"/>
          <w:color w:val="6B5353"/>
          <w:sz w:val="20"/>
        </w:rPr>
        <w:t>Avant de clôturer, vérifier que :</w:t>
      </w:r>
    </w:p>
    <w:p>
      <w:pPr>
        <w:spacing w:after="160" w:line="336" w:lineRule="auto"/>
      </w:pPr>
      <w:r>
        <w:rPr>
          <w:rFonts w:ascii="Aptos" w:hAnsi="Aptos"/>
          <w:b w:val="0"/>
          <w:i w:val="0"/>
          <w:color w:val="302828"/>
          <w:sz w:val="20"/>
        </w:rPr>
        <w:t>[ ] chaque livrable a une décision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chaque chiffre publié a une source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chaque contenu récurrent a un responsable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le délai de réponse commerciale est réaliste</w:t>
      </w:r>
      <w:r>
        <w:t xml:space="preserve">     </w:t>
      </w:r>
      <w:r>
        <w:rPr>
          <w:rFonts w:ascii="Aptos" w:hAnsi="Aptos"/>
          <w:b w:val="0"/>
          <w:i w:val="0"/>
          <w:color w:val="302828"/>
          <w:sz w:val="20"/>
        </w:rPr>
        <w:t>[ ] les questions ouvertes ont un propriétaire et une date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40" w:type="dxa"/>
              <w:start w:w="180" w:type="dxa"/>
              <w:bottom w:w="140" w:type="dxa"/>
              <w:end w:w="180" w:type="dxa"/>
            </w:tcMar>
            <w:shd w:fill="DDE5DA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6B5353"/>
                <w:sz w:val="20"/>
              </w:rPr>
              <w:t xml:space="preserve">APRÈS L’ATELIER  </w:t>
            </w:r>
            <w:r>
              <w:rPr>
                <w:rFonts w:ascii="Aptos" w:hAnsi="Aptos"/>
                <w:b w:val="0"/>
                <w:i w:val="0"/>
                <w:color w:val="302828"/>
                <w:sz w:val="20"/>
              </w:rPr>
              <w:t>Le facilitateur consolide ce document sous 48 heures. L’équipe projet le transforme ensuite en arborescence, wireframe annoté, backlog de contenus et spécifications du parcours commercial.</w:t>
            </w:r>
          </w:p>
        </w:tc>
      </w:tr>
    </w:tbl>
    <w:p>
      <w:pPr>
        <w:keepNext w:val="0"/>
        <w:spacing w:before="0" w:after="40" w:line="300" w:lineRule="auto"/>
        <w:jc w:val="left"/>
      </w:pPr>
      <w:r>
        <w:rPr>
          <w:rFonts w:ascii="Aptos" w:hAnsi="Aptos"/>
          <w:b w:val="0"/>
          <w:i w:val="0"/>
          <w:color w:val="302828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ptos" w:hAnsi="Aptos"/>
        <w:b w:val="0"/>
        <w:i w:val="0"/>
        <w:color w:val="686363"/>
        <w:sz w:val="16"/>
      </w:rPr>
      <w:t xml:space="preserve">Document de travail  •  page </w:t>
    </w:r>
    <w:fldSimple w:instr="PAGE">
      <w:r>
        <w:rPr>
          <w:color w:val="686363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ptos" w:hAnsi="Aptos"/>
        <w:b/>
        <w:i w:val="0"/>
        <w:color w:val="686363"/>
        <w:sz w:val="16"/>
      </w:rPr>
      <w:t>CASH ALIMENTAIRE  |  ATELIER UX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30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6B535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6B535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0282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UX – Gestionnaires du site Cash Alimentaire</dc:title>
  <dc:subject>Support de co-conception du site catalogue professionnel</dc:subject>
  <dc:creator>Cash Alimentaire</dc:creator>
  <cp:keywords>UX, atelier, catalogue, devenir client, éditorial, gouvernance</cp:keywords>
  <dc:description>Document de travail généré pour l’atelier UX des futurs gestionnaires.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