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ATELIER UX EXPRESS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8"/>
        </w:rPr>
        <w:t>75 minutes. 5 décisions. Zéro page blanche.</w:t>
      </w:r>
    </w:p>
    <w:p>
      <w:pPr>
        <w:spacing w:before="0" w:after="18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3"/>
        </w:rPr>
        <w:t>Le benchmark est déjà fait. L’équipe valide la direction, corrige ce qui est faux et nomme les responsables.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6B5353"/>
          <w:left w:val="single" w:sz="4" w:color="6B5353"/>
          <w:bottom w:val="single" w:sz="4" w:color="6B5353"/>
          <w:right w:val="single" w:sz="4" w:color="6B5353"/>
          <w:insideH w:val="single" w:sz="4" w:color="6B5353"/>
          <w:insideV w:val="single" w:sz="4" w:color="6B5353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5EFE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10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Cible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DE5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Promesse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5EFE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20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Accueil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DE5D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Conversion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5EFE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6B5353"/>
                <w:sz w:val="21"/>
              </w:rPr>
              <w:t>15 min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686363"/>
                <w:sz w:val="17"/>
              </w:rPr>
              <w:t>Actions</w:t>
            </w:r>
          </w:p>
        </w:tc>
      </w:tr>
    </w:tbl>
    <w:p>
      <w:pPr>
        <w:pStyle w:val="Heading1"/>
        <w:keepNext/>
      </w:pPr>
      <w:r>
        <w:t>1. Direction issue du benchmark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1900"/>
        <w:gridCol w:w="5660"/>
        <w:gridCol w:w="180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Décision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Recommandation à valider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Verdict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Cible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Métiers de bouche et professionnels de la restauration des Alpes-Maritimes.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Positionnement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Le partenaire de terrain des métiers de bouche sur la Côte d’Azur.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CTA principal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DEVENIR CLIENT — visible dans l’en-tête, le hero et en fin de page.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CTA secondaire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CONSULTER LES CATALOGUES — toujours moins fort visuellement.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Différenciation</w:t>
            </w:r>
          </w:p>
        </w:tc>
        <w:tc>
          <w:tcPr>
            <w:tcW w:type="dxa" w:w="5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Proximité, connaissance métier, disponibilité et service local avant le volume de références.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VALIDER</w:t>
              <w:br/>
              <w:t>[ ] CORRIGER</w:t>
            </w:r>
          </w:p>
        </w:tc>
      </w:tr>
    </w:tbl>
    <w:p>
      <w:pPr>
        <w:pStyle w:val="Heading2"/>
        <w:keepNext/>
      </w:pPr>
      <w:r>
        <w:t>2. Page d’accueil : ordre recommandé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600"/>
        <w:gridCol w:w="2800"/>
        <w:gridCol w:w="5960"/>
      </w:tblGrid>
      <w:tr>
        <w:trPr>
          <w:cantSplit/>
          <w:tblHeader w:val="true"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Bloc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Rôle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1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Hero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Promesse + Devenir client + Catalogues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2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4 preuves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Expérience, références, livraison, interlocuteur local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3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Familles produits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Rendre l’offre immédiatement lisible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4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Entrées métiers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Montrer que Cash comprend l’activité du client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5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Catalogues du moment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Feuilleter et télécharger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6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Services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Conseil, disponibilité, livraison, accompagnement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7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Conseil / saison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Un contenu utile et actuel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8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Devenir client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6"/>
              </w:rPr>
              <w:t>Réassurance + formulaire court</w:t>
            </w:r>
          </w:p>
        </w:tc>
      </w:tr>
    </w:tbl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Une seule correction indispensable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pageBreakBefore/>
        <w:spacing w:before="0" w:after="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"/>
        </w:rPr>
      </w:r>
    </w:p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DÉCISION 4 / 5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4"/>
        </w:rPr>
        <w:t>Le parcours « Devenir client »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OBJECTIF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Une demande qualifiée en moins de 2 minutes, suivie d’un rappel commercial dans un délai réellement tenu.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Style w:val="Heading2"/>
        <w:keepNext/>
      </w:pPr>
      <w:r>
        <w:t>Parcours recommandé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850"/>
        <w:gridCol w:w="6100"/>
        <w:gridCol w:w="2410"/>
      </w:tblGrid>
      <w:tr>
        <w:trPr>
          <w:cantSplit/>
          <w:tblHeader w:val="true"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Étape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Ce que voit le prospect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Décision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1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Pourquoi devenir client : offre, zone, services et interlocuteur local.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2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Trois étapes : demande → rappel → ouverture / accompagnement.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3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Formulaire court. Aucun Kbis au premier contact sauf nécessité réelle.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4</w:t>
            </w:r>
          </w:p>
        </w:tc>
        <w:tc>
          <w:tcPr>
            <w:tcW w:type="dxa" w:w="6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Confirmation immédiate + délai de rappel annoncé.</w:t>
            </w:r>
          </w:p>
        </w:tc>
        <w:tc>
          <w:tcPr>
            <w:tcW w:type="dxa" w:w="24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 OK  [ ] À corriger</w:t>
            </w:r>
          </w:p>
        </w:tc>
      </w:tr>
    </w:tbl>
    <w:p>
      <w:pPr>
        <w:pStyle w:val="Heading2"/>
        <w:keepNext/>
      </w:pPr>
      <w:r>
        <w:t>Champs du formulaire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2700"/>
        <w:gridCol w:w="900"/>
        <w:gridCol w:w="900"/>
        <w:gridCol w:w="48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Champ recommandé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Garder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Retirer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Commentaire uniquement si nécessaire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Type d’établissement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Code postal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Entreprise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Nom et prénom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Téléphone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E-mail professionnel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Besoin principal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pStyle w:val="Heading2"/>
        <w:keepNext/>
      </w:pPr>
      <w:r>
        <w:t>Engagement commercial — à remplir obligatoirement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Les demandes arrivent chez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Délai de rappel que nous pouvons tenir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En cas d’absence, relais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p>
      <w:pPr>
        <w:spacing w:before="60" w:after="80"/>
      </w:pPr>
      <w:r>
        <w:rPr>
          <w:rFonts w:ascii="Calibri" w:hAnsi="Calibri"/>
          <w:b/>
          <w:i w:val="0"/>
          <w:color w:val="6B5353"/>
          <w:sz w:val="19"/>
        </w:rPr>
        <w:t xml:space="preserve">Message de confirmation :  </w:t>
      </w:r>
      <w:r>
        <w:rPr>
          <w:rFonts w:ascii="Calibri" w:hAnsi="Calibri"/>
          <w:b w:val="0"/>
          <w:i w:val="0"/>
          <w:color w:val="302828"/>
          <w:sz w:val="19"/>
        </w:rPr>
        <w:t>______________________________________________________________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5EFE8"/>
          <w:left w:val="single" w:sz="2" w:color="F5EFE8"/>
          <w:bottom w:val="single" w:sz="2" w:color="F5EFE8"/>
          <w:right w:val="single" w:sz="2" w:color="F5EFE8"/>
          <w:insideH w:val="single" w:sz="2" w:color="F5EFE8"/>
          <w:insideV w:val="single" w:sz="2" w:color="F5EFE8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F5EFE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SORTIE DE CETTE PAGE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Le formulaire est figé et une personne est responsable de chaque demande.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ageBreakBefore/>
        <w:spacing w:before="0" w:after="0" w:line="288" w:lineRule="auto"/>
        <w:jc w:val="left"/>
      </w:pPr>
      <w:r>
        <w:rPr>
          <w:rFonts w:ascii="Calibri" w:hAnsi="Calibri"/>
          <w:b w:val="0"/>
          <w:i w:val="0"/>
          <w:color w:val="302828"/>
          <w:sz w:val="2"/>
        </w:rPr>
      </w:r>
    </w:p>
    <w:p>
      <w:pPr>
        <w:spacing w:before="0" w:after="40" w:line="288" w:lineRule="auto"/>
        <w:jc w:val="left"/>
      </w:pPr>
      <w:r>
        <w:rPr>
          <w:rFonts w:ascii="Calibri" w:hAnsi="Calibri"/>
          <w:b/>
          <w:i w:val="0"/>
          <w:color w:val="B99A5B"/>
          <w:sz w:val="18"/>
        </w:rPr>
        <w:t>DÉCISION 5 / 5</w:t>
      </w:r>
    </w:p>
    <w:p>
      <w:pPr>
        <w:spacing w:before="0" w:after="100" w:line="288" w:lineRule="auto"/>
        <w:jc w:val="left"/>
      </w:pPr>
      <w:r>
        <w:rPr>
          <w:rFonts w:ascii="Calibri" w:hAnsi="Calibri"/>
          <w:b/>
          <w:i w:val="0"/>
          <w:color w:val="6B5353"/>
          <w:sz w:val="44"/>
        </w:rPr>
        <w:t>Ce qu’on met en production dès maintenant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RÈGLE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Pas de rubrique sans source, responsable et date. Pas de contenu pour remplir le template.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p>
      <w:pPr>
        <w:pStyle w:val="Heading2"/>
        <w:keepNext/>
      </w:pPr>
      <w:r>
        <w:t>Éditorial minimum viable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2700"/>
        <w:gridCol w:w="2400"/>
        <w:gridCol w:w="2130"/>
        <w:gridCol w:w="213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Format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Cadence recommandée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Validateur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Catalogue du moment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À chaque nouvelle édition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Sélection saisonnière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1 fois / mois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Conseil métier utile</w:t>
            </w:r>
          </w:p>
        </w:tc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1 fois / mois</w:t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1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</w:tbl>
    <w:p>
      <w:pPr>
        <w:pStyle w:val="Heading2"/>
        <w:keepNext/>
      </w:pPr>
      <w:r>
        <w:t>Contenus indispensables avant la maquette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4700"/>
        <w:gridCol w:w="2200"/>
        <w:gridCol w:w="1500"/>
        <w:gridCol w:w="960"/>
      </w:tblGrid>
      <w:tr>
        <w:trPr>
          <w:cantSplit/>
          <w:tblHeader w:val="true"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À fournir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Fait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Liste finale des familles produits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Services et zone de livraison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4 chiffres / preuves vérifiés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Catalogues + couvertures + dates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Photos réelles : équipe, livraison, produits, clients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Coordonnées, horaires et destinataire des formulaires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[ ]</w:t>
            </w:r>
          </w:p>
        </w:tc>
      </w:tr>
    </w:tbl>
    <w:p>
      <w:pPr>
        <w:pStyle w:val="Heading2"/>
        <w:keepNext/>
      </w:pPr>
      <w:r>
        <w:t>Décisions finales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9D2CC"/>
          <w:left w:val="single" w:sz="5" w:color="D9D2CC"/>
          <w:bottom w:val="single" w:sz="5" w:color="D9D2CC"/>
          <w:right w:val="single" w:sz="5" w:color="D9D2CC"/>
          <w:insideH w:val="single" w:sz="5" w:color="D9D2CC"/>
          <w:insideV w:val="single" w:sz="5" w:color="D9D2CC"/>
        </w:tblBorders>
      </w:tblPr>
      <w:tblGrid>
        <w:gridCol w:w="1900"/>
        <w:gridCol w:w="5200"/>
        <w:gridCol w:w="22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Sujet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Décision en une phrase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6B53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Responsable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Cible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Promesse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CTA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Devenir client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Accueil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8 blocs validés / corrections consignées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6F6F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Conversion</w:t>
            </w:r>
          </w:p>
        </w:tc>
        <w:tc>
          <w:tcPr>
            <w:tcW w:type="dxa" w:w="5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  <w:t>Formulaire et délai de rappel validés</w:t>
            </w:r>
          </w:p>
        </w:tc>
        <w:tc>
          <w:tcPr>
            <w:tcW w:type="dxa" w:w="2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302828"/>
                <w:sz w:val="17"/>
              </w:rPr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DDE5DA"/>
          <w:left w:val="single" w:sz="2" w:color="DDE5DA"/>
          <w:bottom w:val="single" w:sz="2" w:color="DDE5DA"/>
          <w:right w:val="single" w:sz="2" w:color="DDE5DA"/>
          <w:insideH w:val="single" w:sz="2" w:color="DDE5DA"/>
          <w:insideV w:val="single" w:sz="2" w:color="DDE5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10" w:type="dxa"/>
              <w:bottom w:w="110" w:type="dxa"/>
              <w:start w:w="160" w:type="dxa"/>
              <w:end w:w="160" w:type="dxa"/>
            </w:tcMar>
            <w:shd w:fill="DDE5D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6B5353"/>
                <w:sz w:val="19"/>
              </w:rPr>
              <w:t xml:space="preserve">PROCHAINE ÉTAPE  </w:t>
            </w:r>
            <w:r>
              <w:rPr>
                <w:rFonts w:ascii="Calibri" w:hAnsi="Calibri"/>
                <w:b w:val="0"/>
                <w:i w:val="0"/>
                <w:color w:val="302828"/>
                <w:sz w:val="19"/>
              </w:rPr>
              <w:t>Sous 48 h : consolider les réponses. Ensuite : wireframe de l’accueil + page Devenir client + backlog des contenus.</w:t>
            </w:r>
          </w:p>
        </w:tc>
      </w:tr>
    </w:tbl>
    <w:p>
      <w:pPr>
        <w:spacing w:before="0" w:after="20" w:line="288" w:lineRule="auto"/>
        <w:jc w:val="left"/>
      </w:pPr>
      <w:r>
        <w:rPr>
          <w:rFonts w:ascii="Calibri" w:hAnsi="Calibri"/>
          <w:b w:val="0"/>
          <w:i w:val="0"/>
          <w:color w:val="302828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440" w:bottom="893" w:left="1440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86363"/>
        <w:sz w:val="16"/>
      </w:rPr>
      <w:t>Décider. Affecter. Exécuter.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686363"/>
        <w:sz w:val="16"/>
      </w:rPr>
      <w:t>CASH ALIMENTAIRE  |  UX EXPRESS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30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6B53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6B53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30282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UX express — Cash Alimentaire</dc:title>
  <dc:subject>Support de décision et de mise en application rapide</dc:subject>
  <dc:creator>Cash Alimentaire</dc:creator>
  <cp:keywords/>
  <dc:description>Version express issue du benchmark distribution alimentaire B2B.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