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REGULATED HEALTHCARE SAAS AND BUSINESS ASSOCIATE AGREEMENT</w:t>
      </w:r>
    </w:p>
    <w:p>
      <w:r>
        <w:t xml:space="preserve">This Healthcare SaaS and Business Associate Agreement is between CareBridge Systems, Inc. ("Business Associate" or "Provider") and Sunrise Regional Clinics ("Covered Entity" or "Customer").</w:t>
      </w:r>
    </w:p>
    <w:p>
      <w:pPr>
        <w:pStyle w:val="Heading1"/>
      </w:pPr>
      <w:r>
        <w:t xml:space="preserve">1. EFFECTIVE DATE AND TERM</w:t>
      </w:r>
    </w:p>
    <w:p>
      <w:r>
        <w:t xml:space="preserve">The Agreement begins April 1, 2026 and expires March 31, 2029. It renews for one-year periods unless either party provides ninety days written notice before expiration.</w:t>
      </w:r>
    </w:p>
    <w:p>
      <w:pPr>
        <w:pStyle w:val="Heading1"/>
      </w:pPr>
      <w:r>
        <w:t xml:space="preserve">2. SERVICES</w:t>
      </w:r>
    </w:p>
    <w:p>
      <w:r>
        <w:t xml:space="preserve">Provider will deliver hosted patient engagement, appointment reminder, secure messaging, implementation, migration, training, and premium support services for up to 2,000 users.</w:t>
      </w:r>
    </w:p>
    <w:p>
      <w:pPr>
        <w:pStyle w:val="Heading1"/>
      </w:pPr>
      <w:r>
        <w:t xml:space="preserve">3. FEES AND PAYMENT</w:t>
      </w:r>
    </w:p>
    <w:p>
      <w:r>
        <w:t xml:space="preserve">Customer will pay USD 1,200,000 over the initial three-year term. Provider invoices annually in advance. Undisputed invoices are payable within thirty days.</w:t>
      </w:r>
    </w:p>
    <w:p>
      <w:pPr>
        <w:pStyle w:val="Heading1"/>
      </w:pPr>
      <w:r>
        <w:t xml:space="preserve">4. HIPAA AND PRIVACY</w:t>
      </w:r>
    </w:p>
    <w:p>
      <w:r>
        <w:t xml:space="preserve">Provider will comply with HIPAA as a Business Associate, use protected health information only as permitted by this Agreement, and report any security incident or breach of unsecured protected health information within forty-eight hours after discovery.</w:t>
      </w:r>
    </w:p>
    <w:p>
      <w:pPr>
        <w:pStyle w:val="Heading1"/>
      </w:pPr>
      <w:r>
        <w:t xml:space="preserve">5. SECURITY</w:t>
      </w:r>
    </w:p>
    <w:p>
      <w:r>
        <w:t xml:space="preserve">Provider will maintain encryption in transit and at rest, multifactor authentication, annual penetration testing, SOC 2 Type II reports, role-based access, audit logs, and a documented incident response program.</w:t>
      </w:r>
    </w:p>
    <w:p>
      <w:pPr>
        <w:pStyle w:val="Heading1"/>
      </w:pPr>
      <w:r>
        <w:t xml:space="preserve">6. SUBCONTRACTORS</w:t>
      </w:r>
    </w:p>
    <w:p>
      <w:r>
        <w:t xml:space="preserve">Provider will ensure each subcontractor that handles protected health information signs a written business associate agreement imposing equivalent restrictions. Provider will give Customer thirty days advance notice of material new subprocessors.</w:t>
      </w:r>
    </w:p>
    <w:p>
      <w:pPr>
        <w:pStyle w:val="Heading1"/>
      </w:pPr>
      <w:r>
        <w:t xml:space="preserve">7. SERVICE LEVELS</w:t>
      </w:r>
    </w:p>
    <w:p>
      <w:r>
        <w:t xml:space="preserve">Provider guarantees 99.99 percent monthly uptime. Priority 1 incidents require a ten-minute response and two-hour restoration target. Three SLA failures in six months permit termination without penalty.</w:t>
      </w:r>
    </w:p>
    <w:p>
      <w:pPr>
        <w:pStyle w:val="Heading1"/>
      </w:pPr>
      <w:r>
        <w:t xml:space="preserve">8. DATA RETURN AND DELETION</w:t>
      </w:r>
    </w:p>
    <w:p>
      <w:r>
        <w:t xml:space="preserve">At termination, Provider will return or destroy protected health information when feasible and certify destruction within forty-five days. If destruction is infeasible, protections continue for retained data.</w:t>
      </w:r>
    </w:p>
    <w:p>
      <w:pPr>
        <w:pStyle w:val="Heading1"/>
      </w:pPr>
      <w:r>
        <w:t xml:space="preserve">9. INDEMNIFICATION</w:t>
      </w:r>
    </w:p>
    <w:p>
      <w:r>
        <w:t xml:space="preserve">Provider will indemnify Customer against third-party claims, regulatory penalties, and reasonable response costs arising from Provider's breach of HIPAA obligations, security commitments, or confidentiality obligations.</w:t>
      </w:r>
    </w:p>
    <w:p>
      <w:pPr>
        <w:pStyle w:val="Heading1"/>
      </w:pPr>
      <w:r>
        <w:t xml:space="preserve">10. LIABILITY</w:t>
      </w:r>
    </w:p>
    <w:p>
      <w:r>
        <w:t xml:space="preserve">General liability is capped at fees paid during the prior twelve months. Liability for breaches of protected health information, indemnification obligations, fraud, or willful misconduct is capped at USD 5,000,000.</w:t>
      </w:r>
    </w:p>
    <w:p>
      <w:pPr>
        <w:pStyle w:val="Heading1"/>
      </w:pPr>
      <w:r>
        <w:t xml:space="preserve">11. TERMINATION</w:t>
      </w:r>
    </w:p>
    <w:p>
      <w:r>
        <w:t xml:space="preserve">Either party may terminate for an uncured material breach after thirty days notice. Customer may terminate immediately if Provider violates a material HIPAA obligation and cure is not possible.</w:t>
      </w:r>
    </w:p>
    <w:p>
      <w:pPr>
        <w:pStyle w:val="Heading1"/>
      </w:pPr>
      <w:r>
        <w:t xml:space="preserve">12. CONFIDENTIALITY</w:t>
      </w:r>
    </w:p>
    <w:p>
      <w:r>
        <w:t xml:space="preserve">Each party will protect Confidential Information and use it only for this Agreement. These obligations continue for five years after termination, while trade secrets and protected health information remain protected as required by law.</w:t>
      </w:r>
    </w:p>
    <w:p>
      <w:pPr>
        <w:pStyle w:val="Heading1"/>
      </w:pPr>
      <w:r>
        <w:t xml:space="preserve">13. GOVERNING LAW AND NOTICES</w:t>
      </w:r>
    </w:p>
    <w:p>
      <w:r>
        <w:t xml:space="preserve">California law governs this Agreement. Notices must be sent to legal@carebridge.example and compliance@sunriseclinics.example by email and recognized overnight courier.</w:t>
      </w:r>
    </w:p>
    <w:sectPr>
      <w:pgSz w:w="12240" w:h="15840"/>
      <w:pgMar w:top="1440" w:right="1440" w:bottom="1440" w:left="1440"/>
    </w:sectPr>
  </w:body>
</w:document>
</file>