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GROWTH-STAGE SAAS SUBSCRIPTION AGREEMENT</w:t>
      </w:r>
    </w:p>
    <w:p>
      <w:r>
        <w:t xml:space="preserve">This SaaS Subscription Agreement is between LaunchMetric Technologies, Inc. ("Provider") and Copperline Commerce LLC ("Customer").</w:t>
      </w:r>
    </w:p>
    <w:p>
      <w:pPr>
        <w:pStyle w:val="Heading1"/>
      </w:pPr>
      <w:r>
        <w:t xml:space="preserve">1. TERM</w:t>
      </w:r>
    </w:p>
    <w:p>
      <w:r>
        <w:t xml:space="preserve">The Agreement begins May 1, 2026 and continues for twelve months. It automatically renews for additional twelve-month periods unless either party gives thirty days written notice before renewal.</w:t>
      </w:r>
    </w:p>
    <w:p>
      <w:pPr>
        <w:pStyle w:val="Heading1"/>
      </w:pPr>
      <w:r>
        <w:t xml:space="preserve">2. PLATFORM AND SUPPORT</w:t>
      </w:r>
    </w:p>
    <w:p>
      <w:r>
        <w:t xml:space="preserve">Provider will deliver its revenue analytics platform for 100 named users, onboarding, one data integration, email support during business hours, and monthly success reviews.</w:t>
      </w:r>
    </w:p>
    <w:p>
      <w:pPr>
        <w:pStyle w:val="Heading1"/>
      </w:pPr>
      <w:r>
        <w:t xml:space="preserve">3. FEES</w:t>
      </w:r>
    </w:p>
    <w:p>
      <w:r>
        <w:t xml:space="preserve">Customer will pay USD 72,000 annually in advance. Payment is due within fifteen days. Provider may increase renewal pricing by up to ten percent.</w:t>
      </w:r>
    </w:p>
    <w:p>
      <w:pPr>
        <w:pStyle w:val="Heading1"/>
      </w:pPr>
      <w:r>
        <w:t xml:space="preserve">4. SERVICE LEVELS</w:t>
      </w:r>
    </w:p>
    <w:p>
      <w:r>
        <w:t xml:space="preserve">Provider targets 99.9 percent monthly uptime. If uptime falls below 99.0 percent, Customer may request a credit equal to ten percent of the monthly fee. The Agreement does not define response or restoration times.</w:t>
      </w:r>
    </w:p>
    <w:p>
      <w:pPr>
        <w:pStyle w:val="Heading1"/>
      </w:pPr>
      <w:r>
        <w:t xml:space="preserve">5. DATA AND SECURITY</w:t>
      </w:r>
    </w:p>
    <w:p>
      <w:r>
        <w:t xml:space="preserve">Customer owns Customer Data. Provider will use reasonable security practices and notify Customer within seventy-two hours of a confirmed breach. The Agreement does not require a security certification, penetration testing, or prior notice of subprocessors.</w:t>
      </w:r>
    </w:p>
    <w:p>
      <w:pPr>
        <w:pStyle w:val="Heading1"/>
      </w:pPr>
      <w:r>
        <w:t xml:space="preserve">6. CONFIDENTIALITY</w:t>
      </w:r>
    </w:p>
    <w:p>
      <w:r>
        <w:t xml:space="preserve">Each party will protect Confidential Information for three years after termination. Trade secrets remain protected while they qualify as trade secrets.</w:t>
      </w:r>
    </w:p>
    <w:p>
      <w:pPr>
        <w:pStyle w:val="Heading1"/>
      </w:pPr>
      <w:r>
        <w:t xml:space="preserve">7. LIABILITY</w:t>
      </w:r>
    </w:p>
    <w:p>
      <w:r>
        <w:t xml:space="preserve">Each party's aggregate liability is capped at fees paid in the six months before the claim. The cap also applies to confidentiality and security breaches. Neither party is liable for consequential damages.</w:t>
      </w:r>
    </w:p>
    <w:p>
      <w:pPr>
        <w:pStyle w:val="Heading1"/>
      </w:pPr>
      <w:r>
        <w:t xml:space="preserve">8. TERMINATION</w:t>
      </w:r>
    </w:p>
    <w:p>
      <w:r>
        <w:t xml:space="preserve">Either party may terminate for an uncured material breach after thirty days written notice. Customer has no termination-for-convenience right, and prepaid fees are non-refundable.</w:t>
      </w:r>
    </w:p>
    <w:p>
      <w:pPr>
        <w:pStyle w:val="Heading1"/>
      </w:pPr>
      <w:r>
        <w:t xml:space="preserve">9. GOVERNING LAW</w:t>
      </w:r>
    </w:p>
    <w:p>
      <w:r>
        <w:t xml:space="preserve">Texas law governs this Agreement, and exclusive venue lies in Travis County, Texas.</w:t>
      </w:r>
    </w:p>
    <w:p>
      <w:pPr>
        <w:pStyle w:val="Heading1"/>
      </w:pPr>
      <w:r>
        <w:t xml:space="preserve">10. REVIEW GAPS</w:t>
      </w:r>
    </w:p>
    <w:p>
      <w:r>
        <w:t xml:space="preserve">The Agreement contains no indemnification obligations, data-return timeline, data-deletion commitment, disaster recovery objective, or formal notice addresses.</w:t>
      </w:r>
    </w:p>
    <w:sectPr>
      <w:pgSz w:w="12240" w:h="15840"/>
      <w:pgMar w:top="1440" w:right="1440" w:bottom="1440" w:left="1440"/>
    </w:sectPr>
  </w:body>
</w:document>
</file>