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28.png" ContentType="image/png"/>
  <Override PartName="/word/media/rId3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14</w:t>
      </w:r>
      <w:r>
        <w:t xml:space="preserve"> </w:t>
      </w:r>
      <w:r>
        <w:t xml:space="preserve">-</w:t>
      </w:r>
      <w:r>
        <w:t xml:space="preserve"> </w:t>
      </w:r>
      <w:r>
        <w:t xml:space="preserve">Day</w:t>
      </w:r>
      <w:r>
        <w:t xml:space="preserve"> </w:t>
      </w:r>
      <w:r>
        <w:t xml:space="preserve">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14---day-2"/>
      <w:bookmarkEnd w:id="23"/>
      <w:r>
        <w:t xml:space="preserve">Week 14 - Day 2</w:t>
      </w:r>
    </w:p>
    <w:p>
      <w:pPr>
        <w:pStyle w:val="FirstParagraph"/>
      </w:pPr>
      <w:r>
        <w:t xml:space="preserve">Nov 16, 2016</w:t>
      </w:r>
    </w:p>
    <w:p>
      <w:pPr>
        <w:pStyle w:val="Heading2"/>
      </w:pPr>
      <w:bookmarkStart w:id="24" w:name="clicker-1"/>
      <w:bookmarkEnd w:id="24"/>
      <w:r>
        <w:t xml:space="preserve">clicker 1</w:t>
      </w:r>
    </w:p>
    <w:p>
      <w:pPr>
        <w:pStyle w:val="Compact"/>
        <w:numPr>
          <w:numId w:val="1002"/>
          <w:ilvl w:val="0"/>
        </w:numPr>
      </w:pPr>
      <w:r>
        <w:t xml:space="preserve">Given w=0, an endothermic reaction has the following</w:t>
      </w:r>
    </w:p>
    <w:p>
      <w:pPr>
        <w:pStyle w:val="Compact"/>
        <w:numPr>
          <w:numId w:val="1003"/>
          <w:ilvl w:val="1"/>
        </w:numPr>
      </w:pPr>
      <w:r>
        <w:t xml:space="preserve">A) +ΔH and -ΔE</w:t>
      </w:r>
    </w:p>
    <w:p>
      <w:pPr>
        <w:pStyle w:val="Compact"/>
        <w:numPr>
          <w:numId w:val="1003"/>
          <w:ilvl w:val="1"/>
        </w:numPr>
      </w:pPr>
      <w:r>
        <w:t xml:space="preserve">B) - ΔH and +ΔE</w:t>
      </w:r>
    </w:p>
    <w:p>
      <w:pPr>
        <w:pStyle w:val="Compact"/>
        <w:numPr>
          <w:numId w:val="1003"/>
          <w:ilvl w:val="1"/>
        </w:numPr>
      </w:pPr>
      <w:r>
        <w:t xml:space="preserve">C) + ΔH and +ΔE</w:t>
      </w:r>
    </w:p>
    <w:p>
      <w:pPr>
        <w:pStyle w:val="Compact"/>
        <w:numPr>
          <w:numId w:val="1003"/>
          <w:ilvl w:val="1"/>
        </w:numPr>
      </w:pPr>
      <w:r>
        <w:t xml:space="preserve">D) - ΔH and –ΔE</w:t>
      </w:r>
    </w:p>
    <w:p>
      <w:pPr>
        <w:pStyle w:val="FirstParagraph"/>
      </w:pPr>
      <w:r>
        <w:t xml:space="preserve">If w = 0, no work done, endothermic so heat must flow into the system</w:t>
      </w:r>
      <w:r>
        <w:t xml:space="preserve"> </w:t>
      </w:r>
      <w:r>
        <w:t xml:space="preserve">both positive (C)</w:t>
      </w:r>
    </w:p>
    <w:p>
      <w:pPr>
        <w:pStyle w:val="Heading2"/>
      </w:pPr>
      <w:bookmarkStart w:id="25" w:name="clicker-2"/>
      <w:bookmarkEnd w:id="25"/>
      <w:r>
        <w:t xml:space="preserve">Clicker 2</w:t>
      </w:r>
    </w:p>
    <w:p>
      <w:pPr>
        <w:pStyle w:val="Compact"/>
        <w:numPr>
          <w:numId w:val="1004"/>
          <w:ilvl w:val="0"/>
        </w:numPr>
      </w:pPr>
      <w:r>
        <w:t xml:space="preserve">A piece of iron (mass = 25.0 g) at 398 K is placed in a styrofoam cup containing 25.0 mL of water at 298 K. Assuming that no heat is lost to the cup or the surroundings, what will the final temperature of the water be? The specific heat capacity of iron = 0.449 J/g C</w:t>
      </w:r>
    </w:p>
    <w:p>
      <w:pPr>
        <w:pStyle w:val="Compact"/>
        <w:numPr>
          <w:numId w:val="1005"/>
          <w:ilvl w:val="1"/>
        </w:numPr>
      </w:pPr>
      <w:r>
        <w:t xml:space="preserve">A) 348 K</w:t>
      </w:r>
    </w:p>
    <w:p>
      <w:pPr>
        <w:pStyle w:val="Compact"/>
        <w:numPr>
          <w:numId w:val="1005"/>
          <w:ilvl w:val="1"/>
        </w:numPr>
      </w:pPr>
      <w:r>
        <w:t xml:space="preserve">B) 308 K</w:t>
      </w:r>
    </w:p>
    <w:p>
      <w:pPr>
        <w:pStyle w:val="Compact"/>
        <w:numPr>
          <w:numId w:val="1005"/>
          <w:ilvl w:val="1"/>
        </w:numPr>
      </w:pPr>
      <w:r>
        <w:t xml:space="preserve">C) 287 K</w:t>
      </w:r>
    </w:p>
    <w:p>
      <w:pPr>
        <w:pStyle w:val="Compact"/>
        <w:numPr>
          <w:numId w:val="1005"/>
          <w:ilvl w:val="1"/>
        </w:numPr>
      </w:pPr>
      <w:r>
        <w:t xml:space="preserve">D) 325 K</w:t>
      </w:r>
    </w:p>
    <w:p>
      <w:pPr>
        <w:pStyle w:val="Compact"/>
        <w:numPr>
          <w:numId w:val="1005"/>
          <w:ilvl w:val="1"/>
        </w:numPr>
      </w:pPr>
      <w:r>
        <w:t xml:space="preserve">E) 388 K</w:t>
      </w:r>
    </w:p>
    <w:p>
      <w:pPr>
        <w:pStyle w:val="FirstParagraph"/>
      </w:pPr>
      <w:r>
        <w:t xml:space="preserve">Answer: B &lt;iframe width="560" height="315" src="https://www.youtube.com/embed/cG6zPlmIk9g" frameborder="0" allowfullscreen&gt;&lt;/iframe&gt;</w:t>
      </w:r>
    </w:p>
    <w:p>
      <w:pPr>
        <w:pStyle w:val="Heading2"/>
      </w:pPr>
      <w:bookmarkStart w:id="26" w:name="hesss-law-relationships-involving-hrxn"/>
      <w:bookmarkEnd w:id="26"/>
      <w:r>
        <w:t xml:space="preserve">Hess’s Law: Relationships Involving ΔHrxn</w:t>
      </w:r>
    </w:p>
    <w:p>
      <w:pPr>
        <w:pStyle w:val="Compact"/>
        <w:numPr>
          <w:numId w:val="1006"/>
          <w:ilvl w:val="0"/>
        </w:numPr>
      </w:pPr>
      <w:r>
        <w:t xml:space="preserve">Enthalpy of a reaction is always associated with a particular reaction.</w:t>
      </w:r>
    </w:p>
    <w:p>
      <w:pPr>
        <w:pStyle w:val="Compact"/>
        <w:numPr>
          <w:numId w:val="1007"/>
          <w:ilvl w:val="1"/>
        </w:numPr>
      </w:pPr>
      <w:r>
        <w:t xml:space="preserve">If the reaction is changed (e.g., reversed, doubled), the ΔH reflects those changes.</w:t>
      </w:r>
    </w:p>
    <w:p>
      <w:pPr>
        <w:pStyle w:val="Compact"/>
        <w:numPr>
          <w:numId w:val="1008"/>
          <w:ilvl w:val="2"/>
        </w:numPr>
      </w:pPr>
      <w:r>
        <w:t xml:space="preserve">Enthalpy is an extensive physical thermal property.</w:t>
      </w:r>
    </w:p>
    <w:p>
      <w:pPr>
        <w:pStyle w:val="Compact"/>
        <w:numPr>
          <w:numId w:val="1006"/>
          <w:ilvl w:val="0"/>
        </w:numPr>
      </w:pPr>
      <w:r>
        <w:t xml:space="preserve">Example:</w:t>
      </w:r>
    </w:p>
    <w:p>
      <w:pPr>
        <w:pStyle w:val="Compact"/>
        <w:numPr>
          <w:numId w:val="1009"/>
          <w:ilvl w:val="1"/>
        </w:numPr>
      </w:pPr>
      <w:r>
        <w:t xml:space="preserve">When a reaction is multiplied by a factor, ΔHrxn is multiplied by that factor because ΔHrxn is extensive.</w:t>
      </w:r>
    </w:p>
    <w:p>
      <w:pPr>
        <w:pStyle w:val="Compact"/>
        <w:numPr>
          <w:numId w:val="1010"/>
          <w:ilvl w:val="2"/>
        </w:numPr>
      </w:pPr>
      <w:r>
        <w:t xml:space="preserve">C(s) + O2(g) → CO2(g) ΔH = −393.5 kJ</w:t>
      </w:r>
    </w:p>
    <w:p>
      <w:pPr>
        <w:pStyle w:val="Compact"/>
        <w:numPr>
          <w:numId w:val="1011"/>
          <w:ilvl w:val="3"/>
        </w:numPr>
      </w:pPr>
      <w:r>
        <w:t xml:space="preserve">2 C(s) + 2 O2(g) → 2 CO2(g) ΔH = 2(−393.5 kJ) = −787.0 kJ.</w:t>
      </w:r>
    </w:p>
    <w:p>
      <w:pPr>
        <w:pStyle w:val="Compact"/>
        <w:numPr>
          <w:numId w:val="1009"/>
          <w:ilvl w:val="1"/>
        </w:numPr>
      </w:pPr>
      <w:r>
        <w:t xml:space="preserve">If a reaction is reversed, then the sign of ΔH is changed.</w:t>
      </w:r>
    </w:p>
    <w:p>
      <w:pPr>
        <w:pStyle w:val="Compact"/>
        <w:numPr>
          <w:numId w:val="1012"/>
          <w:ilvl w:val="2"/>
        </w:numPr>
      </w:pPr>
      <w:r>
        <w:t xml:space="preserve">CO2(g) → C(s) + O2(g) ΔH = +393.5 kJ</w:t>
      </w:r>
    </w:p>
    <w:p>
      <w:pPr>
        <w:pStyle w:val="Heading2"/>
      </w:pPr>
      <w:bookmarkStart w:id="27" w:name="relationships-involving-hrxn-hesss-law"/>
      <w:bookmarkEnd w:id="27"/>
      <w:r>
        <w:t xml:space="preserve">Relationships Involving ΔHrxn Hess’s Law</w:t>
      </w:r>
    </w:p>
    <w:p>
      <w:pPr>
        <w:pStyle w:val="Compact"/>
        <w:numPr>
          <w:numId w:val="1013"/>
          <w:ilvl w:val="0"/>
        </w:numPr>
      </w:pPr>
      <w:r>
        <w:t xml:space="preserve">If a reaction can be expressed as a series of steps, then the ΔHrxn for the overall reaction is the sum of the heats of reaction for each step.</w:t>
      </w:r>
    </w:p>
    <w:p>
      <w:pPr>
        <w:pStyle w:val="Compact"/>
        <w:numPr>
          <w:numId w:val="1014"/>
          <w:ilvl w:val="1"/>
        </w:numPr>
      </w:pPr>
      <w:r>
        <w:drawing>
          <wp:inline>
            <wp:extent cx="5334000" cy="2519463"/>
            <wp:effectExtent b="0" l="0" r="0" t="0"/>
            <wp:docPr descr="" id="1" name="Picture"/>
            <a:graphic>
              <a:graphicData uri="http://schemas.openxmlformats.org/drawingml/2006/picture">
                <pic:pic>
                  <pic:nvPicPr>
                    <pic:cNvPr descr="../../../assets/2016-11-16-week-14-day-2-64bca.png" id="0" name="Picture"/>
                    <pic:cNvPicPr>
                      <a:picLocks noChangeArrowheads="1" noChangeAspect="1"/>
                    </pic:cNvPicPr>
                  </pic:nvPicPr>
                  <pic:blipFill>
                    <a:blip r:embed="rId28"/>
                    <a:stretch>
                      <a:fillRect/>
                    </a:stretch>
                  </pic:blipFill>
                  <pic:spPr bwMode="auto">
                    <a:xfrm>
                      <a:off x="0" y="0"/>
                      <a:ext cx="5334000" cy="2519463"/>
                    </a:xfrm>
                    <a:prstGeom prst="rect">
                      <a:avLst/>
                    </a:prstGeom>
                    <a:noFill/>
                    <a:ln w="9525">
                      <a:noFill/>
                      <a:headEnd/>
                      <a:tailEnd/>
                    </a:ln>
                  </pic:spPr>
                </pic:pic>
              </a:graphicData>
            </a:graphic>
          </wp:inline>
        </w:drawing>
      </w:r>
    </w:p>
    <w:p>
      <w:pPr>
        <w:pStyle w:val="Compact"/>
        <w:numPr>
          <w:numId w:val="1014"/>
          <w:ilvl w:val="1"/>
        </w:numPr>
      </w:pPr>
      <w:r>
        <w:drawing>
          <wp:inline>
            <wp:extent cx="5334000" cy="2415540"/>
            <wp:effectExtent b="0" l="0" r="0" t="0"/>
            <wp:docPr descr="" id="1" name="Picture"/>
            <a:graphic>
              <a:graphicData uri="http://schemas.openxmlformats.org/drawingml/2006/picture">
                <pic:pic>
                  <pic:nvPicPr>
                    <pic:cNvPr descr="../../../assets/2016-11-16-week-14-day-2-ff56d.png" id="0" name="Picture"/>
                    <pic:cNvPicPr>
                      <a:picLocks noChangeArrowheads="1" noChangeAspect="1"/>
                    </pic:cNvPicPr>
                  </pic:nvPicPr>
                  <pic:blipFill>
                    <a:blip r:embed="rId29"/>
                    <a:stretch>
                      <a:fillRect/>
                    </a:stretch>
                  </pic:blipFill>
                  <pic:spPr bwMode="auto">
                    <a:xfrm>
                      <a:off x="0" y="0"/>
                      <a:ext cx="5334000" cy="2415540"/>
                    </a:xfrm>
                    <a:prstGeom prst="rect">
                      <a:avLst/>
                    </a:prstGeom>
                    <a:noFill/>
                    <a:ln w="9525">
                      <a:noFill/>
                      <a:headEnd/>
                      <a:tailEnd/>
                    </a:ln>
                  </pic:spPr>
                </pic:pic>
              </a:graphicData>
            </a:graphic>
          </wp:inline>
        </w:drawing>
      </w:r>
    </w:p>
    <w:p>
      <w:pPr>
        <w:pStyle w:val="Heading2"/>
      </w:pPr>
      <w:bookmarkStart w:id="30" w:name="practice-problem-hesss-law"/>
      <w:bookmarkEnd w:id="30"/>
      <w:r>
        <w:t xml:space="preserve">Practice Problem: Hess’s Law</w:t>
      </w:r>
    </w:p>
    <w:p>
      <w:pPr>
        <w:pStyle w:val="Compact"/>
        <w:numPr>
          <w:numId w:val="1015"/>
          <w:ilvl w:val="0"/>
        </w:numPr>
      </w:pPr>
      <w:r>
        <w:t xml:space="preserve">Find ΔHrxn for: 3C(s) + 4H2(g) -&gt; C3H8(g)</w:t>
      </w:r>
    </w:p>
    <w:p>
      <w:pPr>
        <w:pStyle w:val="Compact"/>
        <w:numPr>
          <w:numId w:val="1015"/>
          <w:ilvl w:val="0"/>
        </w:numPr>
      </w:pPr>
      <w:r>
        <w:t xml:space="preserve">use:</w:t>
      </w:r>
    </w:p>
    <w:p>
      <w:pPr>
        <w:pStyle w:val="Compact"/>
        <w:numPr>
          <w:numId w:val="1016"/>
          <w:ilvl w:val="1"/>
        </w:numPr>
      </w:pPr>
      <w:r>
        <w:t xml:space="preserve">C3H8(g) + 5O2(g) -&gt; 3CO2(g) + 4H2O(g) ΔH= -2043 kJ</w:t>
      </w:r>
    </w:p>
    <w:p>
      <w:pPr>
        <w:pStyle w:val="Compact"/>
        <w:numPr>
          <w:numId w:val="1016"/>
          <w:ilvl w:val="1"/>
        </w:numPr>
      </w:pPr>
      <w:r>
        <w:t xml:space="preserve">C(s) + O2(g) -&gt; CO2(g) ΔH= -393.5 kJ</w:t>
      </w:r>
    </w:p>
    <w:p>
      <w:pPr>
        <w:pStyle w:val="Compact"/>
        <w:numPr>
          <w:numId w:val="1016"/>
          <w:ilvl w:val="1"/>
        </w:numPr>
      </w:pPr>
      <w:r>
        <w:t xml:space="preserve">2H2(g) + O2(g) -&gt; 2H2O(g) ΔH= -483.6 kJ</w:t>
      </w:r>
    </w:p>
    <w:p>
      <w:pPr>
        <w:pStyle w:val="Heading2"/>
      </w:pPr>
      <w:bookmarkStart w:id="31" w:name="clicker-3"/>
      <w:bookmarkEnd w:id="31"/>
      <w:r>
        <w:t xml:space="preserve">Clicker 3</w:t>
      </w:r>
    </w:p>
    <w:p>
      <w:pPr>
        <w:pStyle w:val="Compact"/>
        <w:numPr>
          <w:numId w:val="1017"/>
          <w:ilvl w:val="0"/>
        </w:numPr>
      </w:pPr>
      <w:r>
        <w:t xml:space="preserve">Use the standard reaction enthalpies given below to determine ΔH°rxn for the following reaction</w:t>
      </w:r>
    </w:p>
    <w:p>
      <w:pPr>
        <w:pStyle w:val="Compact"/>
        <w:numPr>
          <w:numId w:val="1018"/>
          <w:ilvl w:val="1"/>
        </w:numPr>
      </w:pPr>
      <w:r>
        <w:t xml:space="preserve">P4(g) + 10 Cl2(g) → 4PCl5(s) ΔH°rxn = ?</w:t>
      </w:r>
    </w:p>
    <w:p>
      <w:pPr>
        <w:pStyle w:val="Compact"/>
        <w:numPr>
          <w:numId w:val="1017"/>
          <w:ilvl w:val="0"/>
        </w:numPr>
      </w:pPr>
      <w:r>
        <w:t xml:space="preserve">Given:</w:t>
      </w:r>
    </w:p>
    <w:p>
      <w:pPr>
        <w:pStyle w:val="Compact"/>
        <w:numPr>
          <w:numId w:val="1019"/>
          <w:ilvl w:val="1"/>
        </w:numPr>
      </w:pPr>
      <w:r>
        <w:t xml:space="preserve">PCl5(s) → PCl3(g) + Cl2(g) ΔH°rxn = +157 kJ</w:t>
      </w:r>
    </w:p>
    <w:p>
      <w:pPr>
        <w:pStyle w:val="Compact"/>
        <w:numPr>
          <w:numId w:val="1019"/>
          <w:ilvl w:val="1"/>
        </w:numPr>
      </w:pPr>
      <w:r>
        <w:t xml:space="preserve">P4(g) + 6 Cl2(g) → 4 PCl3(g) ΔH°rxn</w:t>
      </w:r>
    </w:p>
    <w:p>
      <w:pPr>
        <w:pStyle w:val="Compact"/>
        <w:numPr>
          <w:numId w:val="1020"/>
          <w:ilvl w:val="2"/>
        </w:numPr>
      </w:pPr>
      <w:r>
        <w:t xml:space="preserve">A) -1835 kJ</w:t>
      </w:r>
    </w:p>
    <w:p>
      <w:pPr>
        <w:pStyle w:val="Compact"/>
        <w:numPr>
          <w:numId w:val="1020"/>
          <w:ilvl w:val="2"/>
        </w:numPr>
      </w:pPr>
      <w:r>
        <w:t xml:space="preserve">B) -1364 kJ</w:t>
      </w:r>
    </w:p>
    <w:p>
      <w:pPr>
        <w:pStyle w:val="Compact"/>
        <w:numPr>
          <w:numId w:val="1020"/>
          <w:ilvl w:val="2"/>
        </w:numPr>
      </w:pPr>
      <w:r>
        <w:t xml:space="preserve">C) -1050. kJ</w:t>
      </w:r>
    </w:p>
    <w:p>
      <w:pPr>
        <w:pStyle w:val="Compact"/>
        <w:numPr>
          <w:numId w:val="1020"/>
          <w:ilvl w:val="2"/>
        </w:numPr>
      </w:pPr>
      <w:r>
        <w:t xml:space="preserve">D) -1786 kJ</w:t>
      </w:r>
    </w:p>
    <w:p>
      <w:pPr>
        <w:pStyle w:val="Compact"/>
        <w:numPr>
          <w:numId w:val="1020"/>
          <w:ilvl w:val="2"/>
        </w:numPr>
      </w:pPr>
      <w:r>
        <w:t xml:space="preserve">E) -2100. kJ</w:t>
      </w:r>
    </w:p>
    <w:p>
      <w:pPr>
        <w:pStyle w:val="FirstParagraph"/>
      </w:pPr>
      <w:r>
        <w:t xml:space="preserve">Answer: A &lt;iframe width="560" height="315" src="https://www.youtube.com/embed/TzY2Y0j8J-A" frameborder="0" allowfullscreen&gt;&lt;/iframe&gt;</w:t>
      </w:r>
    </w:p>
    <w:p>
      <w:pPr>
        <w:pStyle w:val="Heading2"/>
      </w:pPr>
      <w:bookmarkStart w:id="32" w:name="bond-energies"/>
      <w:bookmarkEnd w:id="32"/>
      <w:r>
        <w:t xml:space="preserve">Bond Energies</w:t>
      </w:r>
    </w:p>
    <w:p>
      <w:pPr>
        <w:pStyle w:val="Compact"/>
        <w:numPr>
          <w:numId w:val="1021"/>
          <w:ilvl w:val="0"/>
        </w:numPr>
      </w:pPr>
      <w:r>
        <w:t xml:space="preserve">Chemical reactions involve breaking bonds in reactant molecules and making new bonds to create the products.</w:t>
      </w:r>
    </w:p>
    <w:p>
      <w:pPr>
        <w:pStyle w:val="Compact"/>
        <w:numPr>
          <w:numId w:val="1021"/>
          <w:ilvl w:val="0"/>
        </w:numPr>
      </w:pPr>
      <w:r>
        <w:t xml:space="preserve">The ΔHreaction can be estimated by comparing the cost of breaking old bonds to the income from making new bonds.</w:t>
      </w:r>
    </w:p>
    <w:p>
      <w:pPr>
        <w:pStyle w:val="Compact"/>
        <w:numPr>
          <w:numId w:val="1021"/>
          <w:ilvl w:val="0"/>
        </w:numPr>
      </w:pPr>
      <w:r>
        <w:t xml:space="preserve">The amount of energy it takes to break one mole of a bond in a compound is called the</w:t>
      </w:r>
      <w:r>
        <w:t xml:space="preserve"> </w:t>
      </w:r>
      <w:r>
        <w:rPr>
          <w:i/>
        </w:rPr>
        <w:t xml:space="preserve">bond energy</w:t>
      </w:r>
      <w:r>
        <w:t xml:space="preserve">.</w:t>
      </w:r>
    </w:p>
    <w:p>
      <w:pPr>
        <w:pStyle w:val="Compact"/>
        <w:numPr>
          <w:numId w:val="1022"/>
          <w:ilvl w:val="1"/>
        </w:numPr>
      </w:pPr>
      <w:r>
        <w:t xml:space="preserve">In the gas state</w:t>
      </w:r>
    </w:p>
    <w:p>
      <w:pPr>
        <w:pStyle w:val="Compact"/>
        <w:numPr>
          <w:numId w:val="1022"/>
          <w:ilvl w:val="1"/>
        </w:numPr>
      </w:pPr>
      <w:r>
        <w:t xml:space="preserve">Homolytically—each atom gets ½ bonding electrons</w:t>
      </w:r>
    </w:p>
    <w:p>
      <w:pPr>
        <w:pStyle w:val="Heading2"/>
      </w:pPr>
      <w:bookmarkStart w:id="33" w:name="determining-enthalpies-from-bond-energies"/>
      <w:bookmarkEnd w:id="33"/>
      <w:r>
        <w:t xml:space="preserve">Determining Enthalpies from Bond Energies</w:t>
      </w:r>
    </w:p>
    <w:p>
      <w:pPr>
        <w:pStyle w:val="Compact"/>
        <w:numPr>
          <w:numId w:val="1023"/>
          <w:ilvl w:val="0"/>
        </w:numPr>
      </w:pPr>
      <w:r>
        <w:t xml:space="preserve">The actual bond energy depends on the surrounding atoms and other factors.</w:t>
      </w:r>
    </w:p>
    <w:p>
      <w:pPr>
        <w:pStyle w:val="Compact"/>
        <w:numPr>
          <w:numId w:val="1023"/>
          <w:ilvl w:val="0"/>
        </w:numPr>
      </w:pPr>
      <w:r>
        <w:t xml:space="preserve">Average bond energies can be used to estimate the ΔHrxn.</w:t>
      </w:r>
    </w:p>
    <w:p>
      <w:pPr>
        <w:pStyle w:val="Compact"/>
        <w:numPr>
          <w:numId w:val="1024"/>
          <w:ilvl w:val="1"/>
        </w:numPr>
      </w:pPr>
      <w:r>
        <w:t xml:space="preserve">Works best when all reactants and products in gas state</w:t>
      </w:r>
    </w:p>
    <w:p>
      <w:pPr>
        <w:pStyle w:val="Compact"/>
        <w:numPr>
          <w:numId w:val="1023"/>
          <w:ilvl w:val="0"/>
        </w:numPr>
      </w:pPr>
      <w:r>
        <w:t xml:space="preserve">Bond breaking is endothermic, ΔH(breaking) = (+) value.</w:t>
      </w:r>
    </w:p>
    <w:p>
      <w:pPr>
        <w:pStyle w:val="Compact"/>
        <w:numPr>
          <w:numId w:val="1023"/>
          <w:ilvl w:val="0"/>
        </w:numPr>
      </w:pPr>
      <w:r>
        <w:t xml:space="preserve">Bond making is exothermic, ΔH(making) = (−) value.</w:t>
      </w:r>
    </w:p>
    <w:p>
      <w:pPr>
        <w:pStyle w:val="Compact"/>
        <w:numPr>
          <w:numId w:val="1025"/>
          <w:ilvl w:val="1"/>
        </w:numPr>
      </w:pPr>
      <w:r>
        <w:t xml:space="preserve">ΔHrxn = ∑ (ΔH(bonds broken)) + ∑ (ΔH(bonds formed))</w:t>
      </w:r>
    </w:p>
    <w:p>
      <w:pPr>
        <w:pStyle w:val="Heading2"/>
      </w:pPr>
      <w:bookmarkStart w:id="34" w:name="trends-in-bond-energies"/>
      <w:bookmarkEnd w:id="34"/>
      <w:r>
        <w:t xml:space="preserve">Trends in Bond Energies</w:t>
      </w:r>
    </w:p>
    <w:p>
      <w:pPr>
        <w:pStyle w:val="Compact"/>
        <w:numPr>
          <w:numId w:val="1026"/>
          <w:ilvl w:val="0"/>
        </w:numPr>
      </w:pPr>
      <w:r>
        <w:t xml:space="preserve">In general, the more electrons two atoms share, the stronger the covalent bond. – Must be comparing bonds between like atoms</w:t>
      </w:r>
    </w:p>
    <w:p>
      <w:pPr>
        <w:pStyle w:val="Compact"/>
        <w:numPr>
          <w:numId w:val="1027"/>
          <w:ilvl w:val="1"/>
        </w:numPr>
      </w:pPr>
      <w:r>
        <w:t xml:space="preserve">C≡C (837 kJ) &gt; C═C (611 kJ) &gt; C—C (347 kJ)</w:t>
      </w:r>
    </w:p>
    <w:p>
      <w:pPr>
        <w:pStyle w:val="Compact"/>
        <w:numPr>
          <w:numId w:val="1027"/>
          <w:ilvl w:val="1"/>
        </w:numPr>
      </w:pPr>
      <w:r>
        <w:t xml:space="preserve">C≡N (891 kJ) &gt; C═N (615 kJ) &gt; C—N (305 kJ)</w:t>
      </w:r>
    </w:p>
    <w:p>
      <w:pPr>
        <w:pStyle w:val="Compact"/>
        <w:numPr>
          <w:numId w:val="1026"/>
          <w:ilvl w:val="0"/>
        </w:numPr>
      </w:pPr>
      <w:r>
        <w:t xml:space="preserve">In general, the shorter the covalent bond, the stronger the bond.</w:t>
      </w:r>
    </w:p>
    <w:p>
      <w:pPr>
        <w:pStyle w:val="Compact"/>
        <w:numPr>
          <w:numId w:val="1028"/>
          <w:ilvl w:val="1"/>
        </w:numPr>
      </w:pPr>
      <w:r>
        <w:t xml:space="preserve">Must be comparing similar types of bonds</w:t>
      </w:r>
    </w:p>
    <w:p>
      <w:pPr>
        <w:pStyle w:val="Compact"/>
        <w:numPr>
          <w:numId w:val="1028"/>
          <w:ilvl w:val="1"/>
        </w:numPr>
      </w:pPr>
      <w:r>
        <w:t xml:space="preserve">Br—F (237 kJ) &gt; Br—Cl (218 kJ) &gt; Br—Br (193 kJ)</w:t>
      </w:r>
    </w:p>
    <w:p>
      <w:pPr>
        <w:pStyle w:val="Compact"/>
        <w:numPr>
          <w:numId w:val="1028"/>
          <w:ilvl w:val="1"/>
        </w:numPr>
      </w:pPr>
      <w:r>
        <w:t xml:space="preserve">Bonds get weaker down the column.</w:t>
      </w:r>
    </w:p>
    <w:p>
      <w:pPr>
        <w:pStyle w:val="Compact"/>
        <w:numPr>
          <w:numId w:val="1028"/>
          <w:ilvl w:val="1"/>
        </w:numPr>
      </w:pPr>
      <w:r>
        <w:t xml:space="preserve">Bonds get stronger across the period.</w:t>
      </w:r>
    </w:p>
    <w:p>
      <w:pPr>
        <w:pStyle w:val="Heading2"/>
      </w:pPr>
      <w:bookmarkStart w:id="35" w:name="table-of-average-bond-energies"/>
      <w:bookmarkEnd w:id="35"/>
      <w:r>
        <w:t xml:space="preserve">Table of Average Bond Energies</w:t>
      </w:r>
    </w:p>
    <w:p>
      <w:pPr>
        <w:pStyle w:val="Compact"/>
        <w:numPr>
          <w:numId w:val="1029"/>
          <w:ilvl w:val="0"/>
        </w:numPr>
      </w:pPr>
      <w:r>
        <w:drawing>
          <wp:inline>
            <wp:extent cx="4533900" cy="6350000"/>
            <wp:effectExtent b="0" l="0" r="0" t="0"/>
            <wp:docPr descr="" id="1" name="Picture"/>
            <a:graphic>
              <a:graphicData uri="http://schemas.openxmlformats.org/drawingml/2006/picture">
                <pic:pic>
                  <pic:nvPicPr>
                    <pic:cNvPr descr="../../../assets/2016-11-16-week-14-day-2-a681e.png" id="0" name="Picture"/>
                    <pic:cNvPicPr>
                      <a:picLocks noChangeArrowheads="1" noChangeAspect="1"/>
                    </pic:cNvPicPr>
                  </pic:nvPicPr>
                  <pic:blipFill>
                    <a:blip r:embed="rId36"/>
                    <a:stretch>
                      <a:fillRect/>
                    </a:stretch>
                  </pic:blipFill>
                  <pic:spPr bwMode="auto">
                    <a:xfrm>
                      <a:off x="0" y="0"/>
                      <a:ext cx="4533900" cy="6350000"/>
                    </a:xfrm>
                    <a:prstGeom prst="rect">
                      <a:avLst/>
                    </a:prstGeom>
                    <a:noFill/>
                    <a:ln w="9525">
                      <a:noFill/>
                      <a:headEnd/>
                      <a:tailEnd/>
                    </a:ln>
                  </pic:spPr>
                </pic:pic>
              </a:graphicData>
            </a:graphic>
          </wp:inline>
        </w:drawing>
      </w:r>
    </w:p>
    <w:p>
      <w:pPr>
        <w:pStyle w:val="Compact"/>
        <w:numPr>
          <w:numId w:val="1029"/>
          <w:ilvl w:val="0"/>
        </w:numPr>
      </w:pPr>
      <w:r>
        <w:drawing>
          <wp:inline>
            <wp:extent cx="5334000" cy="4234405"/>
            <wp:effectExtent b="0" l="0" r="0" t="0"/>
            <wp:docPr descr="" id="1" name="Picture"/>
            <a:graphic>
              <a:graphicData uri="http://schemas.openxmlformats.org/drawingml/2006/picture">
                <pic:pic>
                  <pic:nvPicPr>
                    <pic:cNvPr descr="../../../assets/2016-11-16-week-14-day-2-157b7.png" id="0" name="Picture"/>
                    <pic:cNvPicPr>
                      <a:picLocks noChangeArrowheads="1" noChangeAspect="1"/>
                    </pic:cNvPicPr>
                  </pic:nvPicPr>
                  <pic:blipFill>
                    <a:blip r:embed="rId37"/>
                    <a:stretch>
                      <a:fillRect/>
                    </a:stretch>
                  </pic:blipFill>
                  <pic:spPr bwMode="auto">
                    <a:xfrm>
                      <a:off x="0" y="0"/>
                      <a:ext cx="5334000" cy="4234405"/>
                    </a:xfrm>
                    <a:prstGeom prst="rect">
                      <a:avLst/>
                    </a:prstGeom>
                    <a:noFill/>
                    <a:ln w="9525">
                      <a:noFill/>
                      <a:headEnd/>
                      <a:tailEnd/>
                    </a:ln>
                  </pic:spPr>
                </pic:pic>
              </a:graphicData>
            </a:graphic>
          </wp:inline>
        </w:drawing>
      </w:r>
    </w:p>
    <w:p>
      <w:pPr>
        <w:pStyle w:val="Heading2"/>
      </w:pPr>
      <w:bookmarkStart w:id="38" w:name="practice-problem-hrxn-from-bond-energies"/>
      <w:bookmarkEnd w:id="38"/>
      <w:r>
        <w:t xml:space="preserve">Practice Problem: ΔHrxn from Bond Energies</w:t>
      </w:r>
    </w:p>
    <w:p>
      <w:pPr>
        <w:pStyle w:val="Compact"/>
        <w:numPr>
          <w:numId w:val="1030"/>
          <w:ilvl w:val="0"/>
        </w:numPr>
      </w:pPr>
      <w:r>
        <w:t xml:space="preserve">Hydrogen gas can be made by the reaction of methane gas and steam:</w:t>
      </w:r>
    </w:p>
    <w:p>
      <w:pPr>
        <w:pStyle w:val="Compact"/>
        <w:numPr>
          <w:numId w:val="1031"/>
          <w:ilvl w:val="1"/>
        </w:numPr>
      </w:pPr>
      <w:r>
        <w:t xml:space="preserve">CH4(g) + 2 H2O(g) è 4 H2(g) + CO2(g)</w:t>
      </w:r>
    </w:p>
    <w:p>
      <w:pPr>
        <w:pStyle w:val="Compact"/>
        <w:numPr>
          <w:numId w:val="1030"/>
          <w:ilvl w:val="0"/>
        </w:numPr>
      </w:pPr>
      <w:r>
        <w:t xml:space="preserve">Use bond energies to calculate ΔHrxn for this reaction</w:t>
      </w:r>
    </w:p>
    <w:p>
      <w:pPr>
        <w:pStyle w:val="Heading2"/>
      </w:pPr>
      <w:bookmarkStart w:id="39" w:name="clicker-4"/>
      <w:bookmarkEnd w:id="39"/>
      <w:r>
        <w:t xml:space="preserve">Clicker 4</w:t>
      </w:r>
    </w:p>
    <w:p>
      <w:pPr>
        <w:pStyle w:val="Compact"/>
        <w:numPr>
          <w:numId w:val="1032"/>
          <w:ilvl w:val="0"/>
        </w:numPr>
      </w:pPr>
      <w:r>
        <w:t xml:space="preserve">Use the bond energies provided to estimate ΔH°rxn for the reaction</w:t>
      </w:r>
      <w:r>
        <w:t xml:space="preserve"> </w:t>
      </w:r>
      <w:r>
        <w:t xml:space="preserve">below.</w:t>
      </w:r>
    </w:p>
    <w:p>
      <w:pPr>
        <w:pStyle w:val="Compact"/>
        <w:numPr>
          <w:numId w:val="1033"/>
          <w:ilvl w:val="1"/>
        </w:numPr>
      </w:pPr>
      <w:r>
        <w:t xml:space="preserve">C2H4(g) + H2(g) → C2H6(g) ΔH°rxn = ?</w:t>
      </w:r>
    </w:p>
    <w:p>
      <w:pPr>
        <w:pStyle w:val="Compact"/>
        <w:numPr>
          <w:numId w:val="1033"/>
          <w:ilvl w:val="1"/>
        </w:numPr>
      </w:pPr>
      <w:r>
        <w:t xml:space="preserve">Bond Bond Energy (kJ/mol)</w:t>
      </w:r>
    </w:p>
    <w:p>
      <w:pPr>
        <w:pStyle w:val="Compact"/>
        <w:numPr>
          <w:numId w:val="1034"/>
          <w:ilvl w:val="2"/>
        </w:numPr>
      </w:pPr>
      <w:r>
        <w:t xml:space="preserve">C-C 347</w:t>
      </w:r>
    </w:p>
    <w:p>
      <w:pPr>
        <w:pStyle w:val="Compact"/>
        <w:numPr>
          <w:numId w:val="1034"/>
          <w:ilvl w:val="2"/>
        </w:numPr>
      </w:pPr>
      <w:r>
        <w:t xml:space="preserve">C-H 414</w:t>
      </w:r>
    </w:p>
    <w:p>
      <w:pPr>
        <w:pStyle w:val="Compact"/>
        <w:numPr>
          <w:numId w:val="1034"/>
          <w:ilvl w:val="2"/>
        </w:numPr>
      </w:pPr>
      <w:r>
        <w:t xml:space="preserve">C=C 611</w:t>
      </w:r>
    </w:p>
    <w:p>
      <w:pPr>
        <w:pStyle w:val="Compact"/>
        <w:numPr>
          <w:numId w:val="1034"/>
          <w:ilvl w:val="2"/>
        </w:numPr>
      </w:pPr>
      <w:r>
        <w:t xml:space="preserve">C≡C 837</w:t>
      </w:r>
    </w:p>
    <w:p>
      <w:pPr>
        <w:pStyle w:val="Compact"/>
        <w:numPr>
          <w:numId w:val="1034"/>
          <w:ilvl w:val="2"/>
        </w:numPr>
      </w:pPr>
      <w:r>
        <w:t xml:space="preserve">H-H 436</w:t>
      </w:r>
    </w:p>
    <w:p>
      <w:pPr>
        <w:pStyle w:val="Compact"/>
        <w:numPr>
          <w:numId w:val="1032"/>
          <w:ilvl w:val="0"/>
        </w:numPr>
      </w:pPr>
      <w:r>
        <w:t xml:space="preserve">A) -128 kJ</w:t>
      </w:r>
    </w:p>
    <w:p>
      <w:pPr>
        <w:pStyle w:val="Compact"/>
        <w:numPr>
          <w:numId w:val="1032"/>
          <w:ilvl w:val="0"/>
        </w:numPr>
      </w:pPr>
      <w:r>
        <w:t xml:space="preserve">B) +98 kJ</w:t>
      </w:r>
    </w:p>
    <w:p>
      <w:pPr>
        <w:pStyle w:val="Compact"/>
        <w:numPr>
          <w:numId w:val="1032"/>
          <w:ilvl w:val="0"/>
        </w:numPr>
      </w:pPr>
      <w:r>
        <w:t xml:space="preserve">C) +700 kJ</w:t>
      </w:r>
    </w:p>
    <w:p>
      <w:pPr>
        <w:pStyle w:val="Compact"/>
        <w:numPr>
          <w:numId w:val="1032"/>
          <w:ilvl w:val="0"/>
        </w:numPr>
      </w:pPr>
      <w:r>
        <w:t xml:space="preserve">D) -102 kJ</w:t>
      </w:r>
    </w:p>
    <w:p>
      <w:pPr>
        <w:pStyle w:val="Compact"/>
        <w:numPr>
          <w:numId w:val="1032"/>
          <w:ilvl w:val="0"/>
        </w:numPr>
      </w:pPr>
      <w:r>
        <w:t xml:space="preserve">E) -166 kJ</w:t>
      </w:r>
    </w:p>
    <w:p>
      <w:pPr>
        <w:pStyle w:val="FirstParagraph"/>
      </w:pPr>
      <w:r>
        <w:t xml:space="preserve">Answer: A</w:t>
      </w:r>
    </w:p>
    <w:p>
      <w:pPr>
        <w:pStyle w:val="Compact"/>
      </w:pPr>
      <w:r>
        <w:t xml:space="preserve">Please enable JavaScript to view the</w:t>
      </w:r>
      <w:r>
        <w:t xml:space="preserve"> </w:t>
      </w:r>
      <w:hyperlink r:id="rId40">
        <w:r>
          <w:rPr>
            <w:rStyle w:val="Hyperlink"/>
          </w:rPr>
          <w:t xml:space="preserve">comments powered by Disqus.</w:t>
        </w:r>
      </w:hyperlink>
    </w:p>
    <w:p>
      <w:pPr>
        <w:pStyle w:val="Heading2"/>
      </w:pPr>
      <w:bookmarkStart w:id="41" w:name="ch101-008-ua-fall-2016"/>
      <w:bookmarkEnd w:id="41"/>
      <w:r>
        <w:t xml:space="preserve">CH101-008 UA Fall 2016</w:t>
      </w:r>
    </w:p>
    <w:p>
      <w:pPr>
        <w:pStyle w:val="Compact"/>
        <w:numPr>
          <w:numId w:val="1035"/>
          <w:ilvl w:val="0"/>
        </w:numPr>
      </w:pPr>
      <w:r>
        <w:t xml:space="preserve">CH101-008 UA Fall 2016</w:t>
      </w:r>
    </w:p>
    <w:p>
      <w:pPr>
        <w:pStyle w:val="Compact"/>
        <w:numPr>
          <w:numId w:val="1035"/>
          <w:ilvl w:val="0"/>
        </w:numPr>
      </w:pPr>
      <w:hyperlink r:id="rId42">
        <w:r>
          <w:rPr>
            <w:rStyle w:val="Hyperlink"/>
          </w:rPr>
          <w:t xml:space="preserve">jmbeach1@crimson.ua.edu</w:t>
        </w:r>
      </w:hyperlink>
    </w:p>
    <w:p>
      <w:pPr>
        <w:pStyle w:val="Compact"/>
        <w:numPr>
          <w:numId w:val="1036"/>
          <w:ilvl w:val="0"/>
        </w:numPr>
      </w:pPr>
      <w:r>
        <w:t xml:space="preserve">jmbeach</w:t>
      </w:r>
    </w:p>
    <w:p>
      <w:pPr>
        <w:pStyle w:val="Compact"/>
        <w:numPr>
          <w:numId w:val="1036"/>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70a8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a782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40" Target="https://disqus.com/?ref_noscript" TargetMode="External" /><Relationship Type="http://schemas.openxmlformats.org/officeDocument/2006/relationships/hyperlink" Id="rId42"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40" Target="https://disqus.com/?ref_noscript" TargetMode="External" /><Relationship Type="http://schemas.openxmlformats.org/officeDocument/2006/relationships/hyperlink" Id="rId42"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14 - Day 2</dc:title>
  <dc:creator/>
</cp:coreProperties>
</file>