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12A4B" w14:textId="6E8D3AA1" w:rsidR="009701E8" w:rsidRDefault="009701E8" w:rsidP="0058448A">
      <w:pPr>
        <w:pStyle w:val="Title"/>
      </w:pPr>
      <w:r>
        <w:t>Bond futures</w:t>
      </w:r>
    </w:p>
    <w:p w14:paraId="3B0F1B04" w14:textId="6F6F3CF9" w:rsidR="0058448A" w:rsidRDefault="0058448A" w:rsidP="0058448A">
      <w:pPr>
        <w:pStyle w:val="Heading1"/>
      </w:pPr>
      <w:r>
        <w:t>CME Group Website</w:t>
      </w:r>
    </w:p>
    <w:p w14:paraId="198313E5" w14:textId="77777777" w:rsidR="0058448A" w:rsidRPr="0058448A" w:rsidRDefault="0058448A" w:rsidP="0058448A"/>
    <w:p w14:paraId="672FF3CD" w14:textId="16A632D6" w:rsidR="0058448A" w:rsidRDefault="00557A7E" w:rsidP="0058448A">
      <w:pPr>
        <w:pStyle w:val="ListParagraph"/>
        <w:numPr>
          <w:ilvl w:val="0"/>
          <w:numId w:val="3"/>
        </w:numPr>
      </w:pPr>
      <w:r>
        <w:t xml:space="preserve">Overview of Products </w:t>
      </w:r>
      <w:hyperlink r:id="rId5" w:history="1">
        <w:r w:rsidRPr="00924E4F">
          <w:rPr>
            <w:rStyle w:val="Hyperlink"/>
          </w:rPr>
          <w:t>https://www.cmegroup.com/trading/interest-rates/us-treasury.html</w:t>
        </w:r>
      </w:hyperlink>
    </w:p>
    <w:p w14:paraId="10D4719F" w14:textId="77777777" w:rsidR="00CD1E9A" w:rsidRDefault="00CD1E9A" w:rsidP="00CD1E9A">
      <w:pPr>
        <w:pStyle w:val="ListParagraph"/>
        <w:numPr>
          <w:ilvl w:val="1"/>
          <w:numId w:val="3"/>
        </w:numPr>
      </w:pPr>
      <w:r>
        <w:t xml:space="preserve">Look at different available contracts. Look at how the maturities match with the futures </w:t>
      </w:r>
      <w:r>
        <w:t>Introduction of new futures contract</w:t>
      </w:r>
    </w:p>
    <w:p w14:paraId="411794B0" w14:textId="77777777" w:rsidR="00CD1E9A" w:rsidRDefault="00CD1E9A" w:rsidP="00CD1E9A">
      <w:pPr>
        <w:pStyle w:val="ListParagraph"/>
        <w:numPr>
          <w:ilvl w:val="1"/>
          <w:numId w:val="3"/>
        </w:numPr>
      </w:pPr>
      <w:r>
        <w:t>Reintroduced 20-year Treasury Bonds in early 2020. CME introduced 20-year Treasury Bond futures</w:t>
      </w:r>
    </w:p>
    <w:p w14:paraId="40AFF90E" w14:textId="77777777" w:rsidR="00CD1E9A" w:rsidRDefault="00CD1E9A" w:rsidP="00CD1E9A">
      <w:pPr>
        <w:pStyle w:val="ListParagraph"/>
        <w:numPr>
          <w:ilvl w:val="1"/>
          <w:numId w:val="3"/>
        </w:numPr>
      </w:pPr>
      <w:r w:rsidRPr="00A5471A">
        <w:rPr>
          <w:noProof/>
        </w:rPr>
        <w:drawing>
          <wp:inline distT="0" distB="0" distL="0" distR="0" wp14:anchorId="471DEBB6" wp14:editId="61E88EEA">
            <wp:extent cx="5943600" cy="3075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5305"/>
                    </a:xfrm>
                    <a:prstGeom prst="rect">
                      <a:avLst/>
                    </a:prstGeom>
                  </pic:spPr>
                </pic:pic>
              </a:graphicData>
            </a:graphic>
          </wp:inline>
        </w:drawing>
      </w:r>
    </w:p>
    <w:p w14:paraId="39F2751D" w14:textId="77777777" w:rsidR="00CD1E9A" w:rsidRPr="00A5471A" w:rsidRDefault="00CD1E9A" w:rsidP="00CD1E9A">
      <w:pPr>
        <w:pStyle w:val="ListParagraph"/>
        <w:numPr>
          <w:ilvl w:val="1"/>
          <w:numId w:val="3"/>
        </w:numPr>
      </w:pPr>
      <w:hyperlink r:id="rId7" w:history="1">
        <w:r w:rsidRPr="00924E4F">
          <w:rPr>
            <w:rStyle w:val="Hyperlink"/>
          </w:rPr>
          <w:t>https://www.cmegroup.com/markets/int</w:t>
        </w:r>
        <w:r w:rsidRPr="00924E4F">
          <w:rPr>
            <w:rStyle w:val="Hyperlink"/>
          </w:rPr>
          <w:t>e</w:t>
        </w:r>
        <w:r w:rsidRPr="00924E4F">
          <w:rPr>
            <w:rStyle w:val="Hyperlink"/>
          </w:rPr>
          <w:t>rest-rates/us-treasury/20-year-us-treasury-bond.html</w:t>
        </w:r>
      </w:hyperlink>
      <w:r>
        <w:t xml:space="preserve"> </w:t>
      </w:r>
    </w:p>
    <w:p w14:paraId="00F8E9FA" w14:textId="2583AA03" w:rsidR="00CD1E9A" w:rsidRDefault="00CD1E9A" w:rsidP="00CD1E9A">
      <w:pPr>
        <w:pStyle w:val="ListParagraph"/>
        <w:numPr>
          <w:ilvl w:val="1"/>
          <w:numId w:val="3"/>
        </w:numPr>
      </w:pPr>
    </w:p>
    <w:p w14:paraId="34C0C7B0" w14:textId="2390FBD7" w:rsidR="00557A7E" w:rsidRDefault="00557A7E" w:rsidP="00557A7E">
      <w:pPr>
        <w:pStyle w:val="ListParagraph"/>
        <w:numPr>
          <w:ilvl w:val="1"/>
          <w:numId w:val="3"/>
        </w:numPr>
      </w:pPr>
      <w:r>
        <w:lastRenderedPageBreak/>
        <w:t>How to Read this chart</w:t>
      </w:r>
      <w:r w:rsidR="00CD1E9A">
        <w:t xml:space="preserve">. Get there from </w:t>
      </w:r>
      <w:hyperlink r:id="rId8" w:history="1">
        <w:r w:rsidR="00CD1E9A" w:rsidRPr="00924E4F">
          <w:rPr>
            <w:rStyle w:val="Hyperlink"/>
          </w:rPr>
          <w:t>https://www.cmegroup.com/trading/interest-rates/us-treasury.html</w:t>
        </w:r>
      </w:hyperlink>
      <w:r w:rsidRPr="00557A7E">
        <w:drawing>
          <wp:inline distT="0" distB="0" distL="0" distR="0" wp14:anchorId="1C362831" wp14:editId="75735259">
            <wp:extent cx="5443754" cy="31051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8545" cy="3107883"/>
                    </a:xfrm>
                    <a:prstGeom prst="rect">
                      <a:avLst/>
                    </a:prstGeom>
                  </pic:spPr>
                </pic:pic>
              </a:graphicData>
            </a:graphic>
          </wp:inline>
        </w:drawing>
      </w:r>
    </w:p>
    <w:p w14:paraId="15573145" w14:textId="055B1958" w:rsidR="0058448A" w:rsidRDefault="00CD1E9A" w:rsidP="0058448A">
      <w:pPr>
        <w:pStyle w:val="ListParagraph"/>
        <w:numPr>
          <w:ilvl w:val="0"/>
          <w:numId w:val="2"/>
        </w:numPr>
      </w:pPr>
      <w:r>
        <w:t xml:space="preserve">Check out volumes and open interest. What is open interest? </w:t>
      </w:r>
      <w:r w:rsidRPr="00CD1E9A">
        <w:drawing>
          <wp:inline distT="0" distB="0" distL="0" distR="0" wp14:anchorId="08F47D06" wp14:editId="33F627A1">
            <wp:extent cx="5943600" cy="3688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88715"/>
                    </a:xfrm>
                    <a:prstGeom prst="rect">
                      <a:avLst/>
                    </a:prstGeom>
                  </pic:spPr>
                </pic:pic>
              </a:graphicData>
            </a:graphic>
          </wp:inline>
        </w:drawing>
      </w:r>
    </w:p>
    <w:p w14:paraId="12E7EDE2" w14:textId="55FF10D7" w:rsidR="00CD1E9A" w:rsidRDefault="00256610" w:rsidP="00CD1E9A">
      <w:pPr>
        <w:pStyle w:val="ListParagraph"/>
        <w:numPr>
          <w:ilvl w:val="1"/>
          <w:numId w:val="2"/>
        </w:numPr>
      </w:pPr>
      <w:hyperlink r:id="rId11" w:history="1">
        <w:r w:rsidRPr="00924E4F">
          <w:rPr>
            <w:rStyle w:val="Hyperlink"/>
          </w:rPr>
          <w:t>https://www.cmegroup.com/markets/interest-rates/us-treasury/10-year-us-treasury-note.volume.html</w:t>
        </w:r>
      </w:hyperlink>
      <w:r>
        <w:t xml:space="preserve"> </w:t>
      </w:r>
    </w:p>
    <w:p w14:paraId="3535F19B" w14:textId="77777777" w:rsidR="00256610" w:rsidRDefault="00256610" w:rsidP="00CD1E9A">
      <w:pPr>
        <w:pStyle w:val="ListParagraph"/>
        <w:numPr>
          <w:ilvl w:val="1"/>
          <w:numId w:val="2"/>
        </w:numPr>
      </w:pPr>
    </w:p>
    <w:p w14:paraId="04AC4076" w14:textId="6B992E2C" w:rsidR="0058448A" w:rsidRDefault="0058448A" w:rsidP="0058448A">
      <w:pPr>
        <w:pStyle w:val="Heading1"/>
      </w:pPr>
      <w:r>
        <w:lastRenderedPageBreak/>
        <w:t>Jessica Carpenter Notes</w:t>
      </w:r>
    </w:p>
    <w:p w14:paraId="4572AB68" w14:textId="6637C5CD" w:rsidR="009701E8" w:rsidRDefault="009701E8" w:rsidP="00CF7F12">
      <w:pPr>
        <w:pStyle w:val="ListParagraph"/>
        <w:numPr>
          <w:ilvl w:val="0"/>
          <w:numId w:val="1"/>
        </w:numPr>
      </w:pPr>
      <w:r>
        <w:t>Why is it costless to enter or exit the contract if the listed price is G(t)?</w:t>
      </w:r>
    </w:p>
    <w:p w14:paraId="45D9C0DE" w14:textId="14E3D648" w:rsidR="009701E8" w:rsidRDefault="009701E8" w:rsidP="00CF7F12">
      <w:pPr>
        <w:pStyle w:val="ListParagraph"/>
        <w:numPr>
          <w:ilvl w:val="0"/>
          <w:numId w:val="1"/>
        </w:numPr>
      </w:pPr>
      <w:r>
        <w:t xml:space="preserve">How is the price G(t) determined? </w:t>
      </w:r>
    </w:p>
    <w:p w14:paraId="7BCE661D" w14:textId="03A053D6" w:rsidR="009701E8" w:rsidRDefault="009701E8" w:rsidP="00CF7F12">
      <w:pPr>
        <w:pStyle w:val="ListParagraph"/>
        <w:numPr>
          <w:ilvl w:val="0"/>
          <w:numId w:val="1"/>
        </w:numPr>
      </w:pPr>
      <w:r>
        <w:t xml:space="preserve">Why is it that the price paid at delivery is G(T), but the futures price today is G(t)? I thought the point of a futures contract was to pin down the time T price of delivery in advance at time </w:t>
      </w:r>
      <w:proofErr w:type="gramStart"/>
      <w:r>
        <w:t>t?</w:t>
      </w:r>
      <w:proofErr w:type="gramEnd"/>
      <w:r>
        <w:t xml:space="preserve"> If I don’t know what G(T) is today, how am I guaranteed this certainty today at time t?</w:t>
      </w:r>
    </w:p>
    <w:p w14:paraId="38BCFDC0" w14:textId="7B1BFD3C" w:rsidR="009701E8" w:rsidRDefault="009701E8" w:rsidP="00CF7F12">
      <w:pPr>
        <w:pStyle w:val="ListParagraph"/>
        <w:numPr>
          <w:ilvl w:val="1"/>
          <w:numId w:val="1"/>
        </w:numPr>
      </w:pPr>
      <w:r>
        <w:t>The certainty is achieved via the daily settlement. If you buy at G(t) and the price moves up at G(t+1), then you receive G(t+1) – G(t).</w:t>
      </w:r>
    </w:p>
    <w:p w14:paraId="634A4622" w14:textId="6B5508CB" w:rsidR="009701E8" w:rsidRDefault="00CF7F12" w:rsidP="00CF7F12">
      <w:pPr>
        <w:pStyle w:val="ListParagraph"/>
        <w:numPr>
          <w:ilvl w:val="0"/>
          <w:numId w:val="1"/>
        </w:numPr>
      </w:pPr>
      <w:hyperlink r:id="rId12" w:history="1">
        <w:r w:rsidRPr="00924E4F">
          <w:rPr>
            <w:rStyle w:val="Hyperlink"/>
          </w:rPr>
          <w:t>https://pages.stern.nyu.edu/~jcarpen0/courses/b403333/23bondfutures.pdf</w:t>
        </w:r>
      </w:hyperlink>
      <w:r w:rsidR="009701E8">
        <w:t xml:space="preserve"> </w:t>
      </w:r>
      <w:r w:rsidR="009701E8" w:rsidRPr="009701E8">
        <w:rPr>
          <w:noProof/>
        </w:rPr>
        <w:drawing>
          <wp:inline distT="0" distB="0" distL="0" distR="0" wp14:anchorId="54270AA6" wp14:editId="12BD7D7E">
            <wp:extent cx="3724275" cy="2884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4982" cy="2892335"/>
                    </a:xfrm>
                    <a:prstGeom prst="rect">
                      <a:avLst/>
                    </a:prstGeom>
                  </pic:spPr>
                </pic:pic>
              </a:graphicData>
            </a:graphic>
          </wp:inline>
        </w:drawing>
      </w:r>
    </w:p>
    <w:p w14:paraId="5779FD89" w14:textId="03011C87" w:rsidR="009701E8" w:rsidRDefault="009701E8" w:rsidP="00CF7F12">
      <w:pPr>
        <w:pStyle w:val="ListParagraph"/>
        <w:numPr>
          <w:ilvl w:val="0"/>
          <w:numId w:val="1"/>
        </w:numPr>
      </w:pPr>
      <w:r w:rsidRPr="009701E8">
        <w:rPr>
          <w:noProof/>
        </w:rPr>
        <w:drawing>
          <wp:inline distT="0" distB="0" distL="0" distR="0" wp14:anchorId="22B9A0AD" wp14:editId="050DFF22">
            <wp:extent cx="3762375" cy="292459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8345" cy="2929240"/>
                    </a:xfrm>
                    <a:prstGeom prst="rect">
                      <a:avLst/>
                    </a:prstGeom>
                  </pic:spPr>
                </pic:pic>
              </a:graphicData>
            </a:graphic>
          </wp:inline>
        </w:drawing>
      </w:r>
    </w:p>
    <w:p w14:paraId="5CB01E6A" w14:textId="4071244B" w:rsidR="00CF7F12" w:rsidRDefault="00CF7F12" w:rsidP="00CF7F12">
      <w:pPr>
        <w:pStyle w:val="ListParagraph"/>
        <w:numPr>
          <w:ilvl w:val="0"/>
          <w:numId w:val="1"/>
        </w:numPr>
      </w:pPr>
      <w:r>
        <w:lastRenderedPageBreak/>
        <w:t xml:space="preserve">Which tends to be more expensive? A bond forward or a bond </w:t>
      </w:r>
      <w:proofErr w:type="gramStart"/>
      <w:r>
        <w:t>futures</w:t>
      </w:r>
      <w:proofErr w:type="gramEnd"/>
      <w:r>
        <w:t xml:space="preserve">? </w:t>
      </w:r>
      <w:r w:rsidRPr="00CF7F12">
        <w:drawing>
          <wp:inline distT="0" distB="0" distL="0" distR="0" wp14:anchorId="79F7C675" wp14:editId="6BBCAE21">
            <wp:extent cx="4939665" cy="3724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080" cy="3727604"/>
                    </a:xfrm>
                    <a:prstGeom prst="rect">
                      <a:avLst/>
                    </a:prstGeom>
                  </pic:spPr>
                </pic:pic>
              </a:graphicData>
            </a:graphic>
          </wp:inline>
        </w:drawing>
      </w:r>
    </w:p>
    <w:p w14:paraId="4F8A3846" w14:textId="604DFB2F" w:rsidR="00CF7F12" w:rsidRDefault="00CF7F12" w:rsidP="00CF7F12">
      <w:pPr>
        <w:pStyle w:val="ListParagraph"/>
        <w:numPr>
          <w:ilvl w:val="1"/>
          <w:numId w:val="1"/>
        </w:numPr>
      </w:pPr>
      <w:r>
        <w:t xml:space="preserve">The discount rate depends on the interest rate. When the interest rate is higher, that means higher discounting and the value of the future rate does down. If the underlying collateral is also sensitive to interest rates, then this would also affect the price. When interest rates go up, bond prices go down. So, with forwards, there is a double effect. But because of daily settlement of Futures, there are more cash flows in the present. </w:t>
      </w:r>
      <w:r w:rsidR="00873B46">
        <w:t xml:space="preserve">But there is a convexity? </w:t>
      </w:r>
      <w:r w:rsidR="00873B46" w:rsidRPr="00873B46">
        <w:drawing>
          <wp:inline distT="0" distB="0" distL="0" distR="0" wp14:anchorId="2AAA1DF5" wp14:editId="0356BBF4">
            <wp:extent cx="5114571" cy="242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3919" cy="2433314"/>
                    </a:xfrm>
                    <a:prstGeom prst="rect">
                      <a:avLst/>
                    </a:prstGeom>
                  </pic:spPr>
                </pic:pic>
              </a:graphicData>
            </a:graphic>
          </wp:inline>
        </w:drawing>
      </w:r>
    </w:p>
    <w:p w14:paraId="32398420" w14:textId="77777777" w:rsidR="00CF7F12" w:rsidRDefault="00CF7F12" w:rsidP="00CF7F12">
      <w:pPr>
        <w:pStyle w:val="ListParagraph"/>
        <w:numPr>
          <w:ilvl w:val="0"/>
          <w:numId w:val="1"/>
        </w:numPr>
      </w:pPr>
      <w:r>
        <w:t xml:space="preserve">Let the price of a forward at time 0 be </w:t>
      </w:r>
      <w:proofErr w:type="gramStart"/>
      <w:r>
        <w:t>F(</w:t>
      </w:r>
      <w:proofErr w:type="gramEnd"/>
      <w:r>
        <w:t xml:space="preserve">0). This entitles the user to buy the underlying for F(T) at time T. </w:t>
      </w:r>
    </w:p>
    <w:p w14:paraId="330BEC54" w14:textId="075F359F" w:rsidR="00CF7F12" w:rsidRDefault="00CF7F12" w:rsidP="00CF7F12">
      <w:pPr>
        <w:pStyle w:val="ListParagraph"/>
        <w:numPr>
          <w:ilvl w:val="1"/>
          <w:numId w:val="1"/>
        </w:numPr>
      </w:pPr>
      <w:r>
        <w:t xml:space="preserve">Does </w:t>
      </w:r>
      <w:proofErr w:type="gramStart"/>
      <w:r>
        <w:t>F(</w:t>
      </w:r>
      <w:proofErr w:type="gramEnd"/>
      <w:r>
        <w:t xml:space="preserve">0) necessarily have to be 0? </w:t>
      </w:r>
    </w:p>
    <w:p w14:paraId="6A98C816" w14:textId="476E6E1C" w:rsidR="00CF7F12" w:rsidRDefault="00CF7F12" w:rsidP="00CF7F12">
      <w:pPr>
        <w:pStyle w:val="ListParagraph"/>
        <w:numPr>
          <w:ilvl w:val="2"/>
          <w:numId w:val="1"/>
        </w:numPr>
      </w:pPr>
      <w:r>
        <w:lastRenderedPageBreak/>
        <w:t xml:space="preserve">No. In principal it can be anything, but F(T) will depend on </w:t>
      </w:r>
      <w:proofErr w:type="gramStart"/>
      <w:r>
        <w:t>F(</w:t>
      </w:r>
      <w:proofErr w:type="gramEnd"/>
      <w:r>
        <w:t>0). Imagine a situation where F(T)</w:t>
      </w:r>
      <w:r w:rsidR="00873B46">
        <w:t xml:space="preserve">=0 </w:t>
      </w:r>
      <w:r>
        <w:t xml:space="preserve">and </w:t>
      </w:r>
      <w:proofErr w:type="gramStart"/>
      <w:r>
        <w:t>F(</w:t>
      </w:r>
      <w:proofErr w:type="gramEnd"/>
      <w:r>
        <w:t>0) &gt;0. Or, imagine a scenario where F(T)</w:t>
      </w:r>
      <w:r w:rsidR="00873B46">
        <w:t xml:space="preserve">&gt;0 and </w:t>
      </w:r>
      <w:proofErr w:type="gramStart"/>
      <w:r w:rsidR="00873B46">
        <w:t>F(</w:t>
      </w:r>
      <w:proofErr w:type="gramEnd"/>
      <w:r w:rsidR="00873B46">
        <w:t>0)=), like a future.</w:t>
      </w:r>
    </w:p>
    <w:p w14:paraId="6E82F458" w14:textId="346A360D" w:rsidR="00CF7F12" w:rsidRDefault="00CF7F12" w:rsidP="00CF7F12">
      <w:pPr>
        <w:pStyle w:val="ListParagraph"/>
        <w:numPr>
          <w:ilvl w:val="1"/>
          <w:numId w:val="1"/>
        </w:numPr>
      </w:pPr>
      <w:r>
        <w:t>What must be tru</w:t>
      </w:r>
      <w:r w:rsidR="00873B46">
        <w:t xml:space="preserve">e about F(T) – </w:t>
      </w:r>
      <w:proofErr w:type="gramStart"/>
      <w:r w:rsidR="00873B46">
        <w:t>F(</w:t>
      </w:r>
      <w:proofErr w:type="gramEnd"/>
      <w:r w:rsidR="00873B46">
        <w:t>0)?</w:t>
      </w:r>
    </w:p>
    <w:p w14:paraId="69A85102" w14:textId="7182978E" w:rsidR="00873B46" w:rsidRDefault="00873B46" w:rsidP="00873B46">
      <w:pPr>
        <w:pStyle w:val="ListParagraph"/>
        <w:numPr>
          <w:ilvl w:val="2"/>
          <w:numId w:val="1"/>
        </w:numPr>
      </w:pPr>
      <w:r>
        <w:t xml:space="preserve">We must have NPV(F(T) – </w:t>
      </w:r>
      <w:proofErr w:type="gramStart"/>
      <w:r>
        <w:t>F(</w:t>
      </w:r>
      <w:proofErr w:type="gramEnd"/>
      <w:r>
        <w:t xml:space="preserve">0)) = 0. That means that </w:t>
      </w:r>
      <w:proofErr w:type="gramStart"/>
      <w:r>
        <w:t>F(</w:t>
      </w:r>
      <w:proofErr w:type="gramEnd"/>
      <w:r>
        <w:t>0) = NPV(F(T))</w:t>
      </w:r>
    </w:p>
    <w:p w14:paraId="39FD1108" w14:textId="106084B3" w:rsidR="00256610" w:rsidRDefault="00256610" w:rsidP="00256610">
      <w:pPr>
        <w:pStyle w:val="ListParagraph"/>
        <w:numPr>
          <w:ilvl w:val="0"/>
          <w:numId w:val="1"/>
        </w:numPr>
      </w:pPr>
      <w:r>
        <w:t xml:space="preserve">What is initial margin and variation margin? </w:t>
      </w:r>
      <w:r w:rsidRPr="00256610">
        <w:drawing>
          <wp:inline distT="0" distB="0" distL="0" distR="0" wp14:anchorId="13DAB7BD" wp14:editId="1BF4EFB1">
            <wp:extent cx="5943600" cy="4574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74540"/>
                    </a:xfrm>
                    <a:prstGeom prst="rect">
                      <a:avLst/>
                    </a:prstGeom>
                  </pic:spPr>
                </pic:pic>
              </a:graphicData>
            </a:graphic>
          </wp:inline>
        </w:drawing>
      </w:r>
    </w:p>
    <w:p w14:paraId="61CF752E" w14:textId="0878EA51" w:rsidR="00256610" w:rsidRDefault="00256610" w:rsidP="00256610">
      <w:r>
        <w:t>Bloomberg and Cheapest-to-deliver and implied repo rate</w:t>
      </w:r>
    </w:p>
    <w:p w14:paraId="21C1DE60" w14:textId="3F41895D" w:rsidR="00256610" w:rsidRDefault="00256610" w:rsidP="00256610">
      <w:pPr>
        <w:pStyle w:val="ListParagraph"/>
        <w:numPr>
          <w:ilvl w:val="0"/>
          <w:numId w:val="4"/>
        </w:numPr>
      </w:pPr>
      <w:r>
        <w:t xml:space="preserve">How do contract codes work? </w:t>
      </w:r>
      <w:hyperlink r:id="rId18" w:history="1">
        <w:r w:rsidRPr="00924E4F">
          <w:rPr>
            <w:rStyle w:val="Hyperlink"/>
          </w:rPr>
          <w:t>https://www.cmegroup.com/tools-information/vendorSymbo</w:t>
        </w:r>
        <w:r w:rsidRPr="00924E4F">
          <w:rPr>
            <w:rStyle w:val="Hyperlink"/>
          </w:rPr>
          <w:t>l</w:t>
        </w:r>
        <w:r w:rsidRPr="00924E4F">
          <w:rPr>
            <w:rStyle w:val="Hyperlink"/>
          </w:rPr>
          <w:t>.html</w:t>
        </w:r>
      </w:hyperlink>
    </w:p>
    <w:p w14:paraId="01224B4B" w14:textId="50DCB26D" w:rsidR="00256610" w:rsidRDefault="00256610" w:rsidP="00256610">
      <w:pPr>
        <w:pStyle w:val="ListParagraph"/>
        <w:numPr>
          <w:ilvl w:val="1"/>
          <w:numId w:val="4"/>
        </w:numPr>
      </w:pPr>
      <w:r w:rsidRPr="00256610">
        <w:lastRenderedPageBreak/>
        <w:drawing>
          <wp:inline distT="0" distB="0" distL="0" distR="0" wp14:anchorId="6023C48F" wp14:editId="6026F047">
            <wp:extent cx="5362575" cy="2070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8787" cy="2072949"/>
                    </a:xfrm>
                    <a:prstGeom prst="rect">
                      <a:avLst/>
                    </a:prstGeom>
                  </pic:spPr>
                </pic:pic>
              </a:graphicData>
            </a:graphic>
          </wp:inline>
        </w:drawing>
      </w:r>
    </w:p>
    <w:p w14:paraId="3DB5E93F" w14:textId="0937659B" w:rsidR="00256610" w:rsidRDefault="00256610" w:rsidP="00256610">
      <w:pPr>
        <w:pStyle w:val="ListParagraph"/>
        <w:numPr>
          <w:ilvl w:val="1"/>
          <w:numId w:val="4"/>
        </w:numPr>
      </w:pPr>
      <w:r>
        <w:t xml:space="preserve">Compare </w:t>
      </w:r>
      <w:proofErr w:type="spellStart"/>
      <w:r>
        <w:t>Globex</w:t>
      </w:r>
      <w:proofErr w:type="spellEnd"/>
      <w:r>
        <w:t xml:space="preserve"> codes vs Bloomberg codes. </w:t>
      </w:r>
      <w:hyperlink r:id="rId20" w:history="1">
        <w:r w:rsidRPr="00924E4F">
          <w:rPr>
            <w:rStyle w:val="Hyperlink"/>
          </w:rPr>
          <w:t>https://www.cmegroup.com/trading/interest-rates/us-treasury.html</w:t>
        </w:r>
      </w:hyperlink>
    </w:p>
    <w:p w14:paraId="32404656" w14:textId="555C13AD" w:rsidR="00256610" w:rsidRDefault="00256610" w:rsidP="00256610">
      <w:pPr>
        <w:pStyle w:val="ListParagraph"/>
        <w:numPr>
          <w:ilvl w:val="1"/>
          <w:numId w:val="4"/>
        </w:numPr>
      </w:pPr>
      <w:r>
        <w:t xml:space="preserve">What is </w:t>
      </w:r>
      <w:proofErr w:type="spellStart"/>
      <w:r>
        <w:t>Globex</w:t>
      </w:r>
      <w:proofErr w:type="spellEnd"/>
      <w:r>
        <w:t>?</w:t>
      </w:r>
    </w:p>
    <w:p w14:paraId="3D592E51" w14:textId="486BC67D" w:rsidR="00256610" w:rsidRDefault="00256610" w:rsidP="00256610">
      <w:pPr>
        <w:pStyle w:val="ListParagraph"/>
        <w:numPr>
          <w:ilvl w:val="0"/>
          <w:numId w:val="4"/>
        </w:numPr>
      </w:pPr>
      <w:r w:rsidRPr="00256610">
        <w:drawing>
          <wp:inline distT="0" distB="0" distL="0" distR="0" wp14:anchorId="53D1BF1E" wp14:editId="1D54C634">
            <wp:extent cx="5943600" cy="3326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6765"/>
                    </a:xfrm>
                    <a:prstGeom prst="rect">
                      <a:avLst/>
                    </a:prstGeom>
                  </pic:spPr>
                </pic:pic>
              </a:graphicData>
            </a:graphic>
          </wp:inline>
        </w:drawing>
      </w:r>
    </w:p>
    <w:p w14:paraId="69AA7FCD" w14:textId="6569F649" w:rsidR="00256610" w:rsidRDefault="00256610" w:rsidP="00256610">
      <w:pPr>
        <w:pStyle w:val="ListParagraph"/>
        <w:numPr>
          <w:ilvl w:val="0"/>
          <w:numId w:val="4"/>
        </w:numPr>
      </w:pPr>
      <w:r>
        <w:t xml:space="preserve">How to find cheapest to deliver in Bloomberg? </w:t>
      </w:r>
    </w:p>
    <w:p w14:paraId="2D1A4AC1" w14:textId="2D9E7A2C" w:rsidR="00256610" w:rsidRDefault="00256610" w:rsidP="00256610">
      <w:pPr>
        <w:pStyle w:val="ListParagraph"/>
        <w:numPr>
          <w:ilvl w:val="0"/>
          <w:numId w:val="4"/>
        </w:numPr>
      </w:pPr>
      <w:r>
        <w:t>What is the implied repo rate?</w:t>
      </w:r>
    </w:p>
    <w:p w14:paraId="3FB8B0A9" w14:textId="07EB3557" w:rsidR="00256610" w:rsidRDefault="00256610" w:rsidP="00256610">
      <w:pPr>
        <w:pStyle w:val="ListParagraph"/>
        <w:numPr>
          <w:ilvl w:val="0"/>
          <w:numId w:val="4"/>
        </w:numPr>
      </w:pPr>
      <w:r>
        <w:t>What about historical cheapest to deliver?</w:t>
      </w:r>
    </w:p>
    <w:sectPr w:rsidR="00256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512F4"/>
    <w:multiLevelType w:val="hybridMultilevel"/>
    <w:tmpl w:val="77207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2A15AF"/>
    <w:multiLevelType w:val="hybridMultilevel"/>
    <w:tmpl w:val="30187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674DD4"/>
    <w:multiLevelType w:val="hybridMultilevel"/>
    <w:tmpl w:val="F7AAD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5401BA"/>
    <w:multiLevelType w:val="hybridMultilevel"/>
    <w:tmpl w:val="D9B69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6375191">
    <w:abstractNumId w:val="1"/>
  </w:num>
  <w:num w:numId="2" w16cid:durableId="56784771">
    <w:abstractNumId w:val="0"/>
  </w:num>
  <w:num w:numId="3" w16cid:durableId="523206477">
    <w:abstractNumId w:val="3"/>
  </w:num>
  <w:num w:numId="4" w16cid:durableId="12539032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1E8"/>
    <w:rsid w:val="00256610"/>
    <w:rsid w:val="00557A7E"/>
    <w:rsid w:val="0058448A"/>
    <w:rsid w:val="00873B46"/>
    <w:rsid w:val="00900CCA"/>
    <w:rsid w:val="009701E8"/>
    <w:rsid w:val="00A90B01"/>
    <w:rsid w:val="00CD1E9A"/>
    <w:rsid w:val="00CF7F12"/>
    <w:rsid w:val="00E41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2E81F"/>
  <w15:chartTrackingRefBased/>
  <w15:docId w15:val="{43DF3B1F-6A13-4B8C-85C5-043C625FC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4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1E8"/>
    <w:pPr>
      <w:ind w:left="720"/>
      <w:contextualSpacing/>
    </w:pPr>
  </w:style>
  <w:style w:type="character" w:styleId="Hyperlink">
    <w:name w:val="Hyperlink"/>
    <w:basedOn w:val="DefaultParagraphFont"/>
    <w:uiPriority w:val="99"/>
    <w:unhideWhenUsed/>
    <w:rsid w:val="009701E8"/>
    <w:rPr>
      <w:color w:val="0563C1" w:themeColor="hyperlink"/>
      <w:u w:val="single"/>
    </w:rPr>
  </w:style>
  <w:style w:type="character" w:styleId="UnresolvedMention">
    <w:name w:val="Unresolved Mention"/>
    <w:basedOn w:val="DefaultParagraphFont"/>
    <w:uiPriority w:val="99"/>
    <w:semiHidden/>
    <w:unhideWhenUsed/>
    <w:rsid w:val="009701E8"/>
    <w:rPr>
      <w:color w:val="605E5C"/>
      <w:shd w:val="clear" w:color="auto" w:fill="E1DFDD"/>
    </w:rPr>
  </w:style>
  <w:style w:type="character" w:styleId="FollowedHyperlink">
    <w:name w:val="FollowedHyperlink"/>
    <w:basedOn w:val="DefaultParagraphFont"/>
    <w:uiPriority w:val="99"/>
    <w:semiHidden/>
    <w:unhideWhenUsed/>
    <w:rsid w:val="00CF7F12"/>
    <w:rPr>
      <w:color w:val="954F72" w:themeColor="followedHyperlink"/>
      <w:u w:val="single"/>
    </w:rPr>
  </w:style>
  <w:style w:type="paragraph" w:styleId="Title">
    <w:name w:val="Title"/>
    <w:basedOn w:val="Normal"/>
    <w:next w:val="Normal"/>
    <w:link w:val="TitleChar"/>
    <w:uiPriority w:val="10"/>
    <w:qFormat/>
    <w:rsid w:val="005844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4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844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1415">
      <w:bodyDiv w:val="1"/>
      <w:marLeft w:val="0"/>
      <w:marRight w:val="0"/>
      <w:marTop w:val="0"/>
      <w:marBottom w:val="0"/>
      <w:divBdr>
        <w:top w:val="none" w:sz="0" w:space="0" w:color="auto"/>
        <w:left w:val="none" w:sz="0" w:space="0" w:color="auto"/>
        <w:bottom w:val="none" w:sz="0" w:space="0" w:color="auto"/>
        <w:right w:val="none" w:sz="0" w:space="0" w:color="auto"/>
      </w:divBdr>
      <w:divsChild>
        <w:div w:id="1971354873">
          <w:marLeft w:val="0"/>
          <w:marRight w:val="0"/>
          <w:marTop w:val="0"/>
          <w:marBottom w:val="0"/>
          <w:divBdr>
            <w:top w:val="none" w:sz="0" w:space="0" w:color="auto"/>
            <w:left w:val="none" w:sz="0" w:space="0" w:color="auto"/>
            <w:bottom w:val="none" w:sz="0" w:space="0" w:color="auto"/>
            <w:right w:val="none" w:sz="0" w:space="0" w:color="auto"/>
          </w:divBdr>
          <w:divsChild>
            <w:div w:id="20319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6588">
      <w:bodyDiv w:val="1"/>
      <w:marLeft w:val="0"/>
      <w:marRight w:val="0"/>
      <w:marTop w:val="0"/>
      <w:marBottom w:val="0"/>
      <w:divBdr>
        <w:top w:val="none" w:sz="0" w:space="0" w:color="auto"/>
        <w:left w:val="none" w:sz="0" w:space="0" w:color="auto"/>
        <w:bottom w:val="none" w:sz="0" w:space="0" w:color="auto"/>
        <w:right w:val="none" w:sz="0" w:space="0" w:color="auto"/>
      </w:divBdr>
      <w:divsChild>
        <w:div w:id="1917205986">
          <w:marLeft w:val="0"/>
          <w:marRight w:val="0"/>
          <w:marTop w:val="0"/>
          <w:marBottom w:val="0"/>
          <w:divBdr>
            <w:top w:val="none" w:sz="0" w:space="0" w:color="auto"/>
            <w:left w:val="none" w:sz="0" w:space="0" w:color="auto"/>
            <w:bottom w:val="none" w:sz="0" w:space="0" w:color="auto"/>
            <w:right w:val="none" w:sz="0" w:space="0" w:color="auto"/>
          </w:divBdr>
          <w:divsChild>
            <w:div w:id="10733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megroup.com/trading/interest-rates/us-treasury.html" TargetMode="External"/><Relationship Id="rId13" Type="http://schemas.openxmlformats.org/officeDocument/2006/relationships/image" Target="media/image4.png"/><Relationship Id="rId18" Type="http://schemas.openxmlformats.org/officeDocument/2006/relationships/hyperlink" Target="https://www.cmegroup.com/tools-information/vendorSymbol.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cmegroup.com/markets/interest-rates/us-treasury/20-year-us-treasury-bond.html" TargetMode="External"/><Relationship Id="rId12" Type="http://schemas.openxmlformats.org/officeDocument/2006/relationships/hyperlink" Target="https://pages.stern.nyu.edu/~jcarpen0/courses/b403333/23bondfutures.pdf"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cmegroup.com/trading/interest-rates/us-treasury.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cmegroup.com/markets/interest-rates/us-treasury/10-year-us-treasury-note.volume.html" TargetMode="External"/><Relationship Id="rId5" Type="http://schemas.openxmlformats.org/officeDocument/2006/relationships/hyperlink" Target="https://www.cmegroup.com/trading/interest-rates/us-treasury.html" TargetMode="Externa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Bejarano, Jeremiah</dc:creator>
  <cp:keywords/>
  <dc:description/>
  <cp:lastModifiedBy>Bejarano, Jeremiah</cp:lastModifiedBy>
  <cp:revision>2</cp:revision>
  <dcterms:created xsi:type="dcterms:W3CDTF">2023-05-05T16:26:00Z</dcterms:created>
  <dcterms:modified xsi:type="dcterms:W3CDTF">2023-05-05T16:26:00Z</dcterms:modified>
</cp:coreProperties>
</file>