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8 Assignment</w:t>
      </w:r>
    </w:p>
    <w:p>
      <w:pPr>
        <w:spacing w:after="120"/>
        <w:jc w:val="center"/>
      </w:pPr>
      <w:r>
        <w:rPr>
          <w:b/>
          <w:sz w:val="32"/>
        </w:rPr>
        <w:t>Optimizing PostgreSQL Performance: Indexing, Stored Procedures and Replication</w:t>
      </w:r>
    </w:p>
    <w:p>
      <w:pPr>
        <w:spacing w:after="320"/>
        <w:jc w:val="center"/>
      </w:pPr>
      <w:r>
        <w:rPr>
          <w:sz w:val="21"/>
        </w:rPr>
        <w:t>John Michael Bilbao</w:t>
        <w:br/>
      </w:r>
      <w:r>
        <w:rPr>
          <w:sz w:val="21"/>
        </w:rPr>
        <w:t>Techstart</w:t>
        <w:br/>
      </w:r>
      <w:r>
        <w:rPr>
          <w:sz w:val="21"/>
        </w:rPr>
        <w:t>August 18, 2026</w:t>
      </w:r>
    </w:p>
    <w:p>
      <w:pPr>
        <w:pStyle w:val="Heading1"/>
      </w:pPr>
      <w:r>
        <w:t>Introduction</w:t>
      </w:r>
    </w:p>
    <w:p>
      <w:r>
        <w:t>This assignment asks for five things done to a PostgreSQL database: a sample dataset restored, indexes added on the strength of EXPLAIN output, a stored procedure written, streaming replication configured with pg_basebackup, and the server's memory parameters tuned using the pg_stat views as evidence.</w:t>
      </w:r>
    </w:p>
    <w:p>
      <w:r>
        <w:t>Everything below was run against PostgreSQL 16.14. Two clusters were built: a primary on port 5432 and a replica on 5433, streaming from it. The sample database is dvdrental, restored into a database named exampledb.</w:t>
      </w:r>
    </w:p>
    <w:p>
      <w:r>
        <w:t>Every screenshot in this report is output captured from those two servers. A single script, setup.sh, performs all five steps in order and writes the output of each into results/, and the figures are rendered from those files rather than retyped, so no figure can claim something the database did not do. The script tears both clusters down and rebuilds them from scratch on each run, so all of it is repeatable.</w:t>
      </w:r>
    </w:p>
    <w:p>
      <w:pPr>
        <w:pStyle w:val="Heading1"/>
      </w:pPr>
      <w:r>
        <w:t>Step 1: Setup and Preparation</w:t>
      </w:r>
    </w:p>
    <w:p>
      <w:r>
        <w:t>The sample archive is the dvdrental.zip the assignment links to. postgresqltutorial.com serves it but refuses non-browser clients, so the script pulls the identical archive from a mirror. It is a pg_restore custom-format dump, not plain SQL, so it is loaded with pg_restore rather than psql.</w:t>
      </w:r>
    </w:p>
    <w:p>
      <w:pPr>
        <w:spacing w:before="160" w:after="40"/>
        <w:jc w:val="center"/>
      </w:pPr>
      <w:r>
        <w:drawing>
          <wp:inline xmlns:a="http://schemas.openxmlformats.org/drawingml/2006/main" xmlns:pic="http://schemas.openxmlformats.org/drawingml/2006/picture">
            <wp:extent cx="5486400" cy="2548581"/>
            <wp:docPr id="1" name="Picture 1"/>
            <wp:cNvGraphicFramePr>
              <a:graphicFrameLocks noChangeAspect="1"/>
            </wp:cNvGraphicFramePr>
            <a:graphic>
              <a:graphicData uri="http://schemas.openxmlformats.org/drawingml/2006/picture">
                <pic:pic>
                  <pic:nvPicPr>
                    <pic:cNvPr id="0" name="fig-setup.png"/>
                    <pic:cNvPicPr/>
                  </pic:nvPicPr>
                  <pic:blipFill>
                    <a:blip r:embed="rId9"/>
                    <a:stretch>
                      <a:fillRect/>
                    </a:stretch>
                  </pic:blipFill>
                  <pic:spPr>
                    <a:xfrm>
                      <a:off x="0" y="0"/>
                      <a:ext cx="5486400" cy="2548581"/>
                    </a:xfrm>
                    <a:prstGeom prst="rect"/>
                  </pic:spPr>
                </pic:pic>
              </a:graphicData>
            </a:graphic>
          </wp:inline>
        </w:drawing>
      </w:r>
    </w:p>
    <w:p>
      <w:pPr>
        <w:spacing w:after="280"/>
        <w:jc w:val="center"/>
      </w:pPr>
      <w:r>
        <w:rPr>
          <w:i/>
          <w:color w:val="595959"/>
          <w:sz w:val="18"/>
        </w:rPr>
        <w:t>Figure 1: PostgreSQL 16.14, and exampledb after the restore.</w:t>
      </w:r>
    </w:p>
    <w:p>
      <w:r>
        <w:t>The restore produces fifteen tables. The four this report touches are listed with their row counts, because the size of a table decides whether an index on it is worth having at all.</w:t>
      </w:r>
    </w:p>
    <w:p>
      <w:pPr>
        <w:spacing w:before="160" w:after="40"/>
        <w:jc w:val="center"/>
      </w:pPr>
      <w:r>
        <w:drawing>
          <wp:inline xmlns:a="http://schemas.openxmlformats.org/drawingml/2006/main" xmlns:pic="http://schemas.openxmlformats.org/drawingml/2006/picture">
            <wp:extent cx="4114800" cy="4497087"/>
            <wp:docPr id="2" name="Picture 2"/>
            <wp:cNvGraphicFramePr>
              <a:graphicFrameLocks noChangeAspect="1"/>
            </wp:cNvGraphicFramePr>
            <a:graphic>
              <a:graphicData uri="http://schemas.openxmlformats.org/drawingml/2006/picture">
                <pic:pic>
                  <pic:nvPicPr>
                    <pic:cNvPr id="0" name="fig-schema.png"/>
                    <pic:cNvPicPr/>
                  </pic:nvPicPr>
                  <pic:blipFill>
                    <a:blip r:embed="rId10"/>
                    <a:stretch>
                      <a:fillRect/>
                    </a:stretch>
                  </pic:blipFill>
                  <pic:spPr>
                    <a:xfrm>
                      <a:off x="0" y="0"/>
                      <a:ext cx="4114800" cy="4497087"/>
                    </a:xfrm>
                    <a:prstGeom prst="rect"/>
                  </pic:spPr>
                </pic:pic>
              </a:graphicData>
            </a:graphic>
          </wp:inline>
        </w:drawing>
      </w:r>
    </w:p>
    <w:p>
      <w:pPr>
        <w:spacing w:after="280"/>
        <w:jc w:val="center"/>
      </w:pPr>
      <w:r>
        <w:rPr>
          <w:i/>
          <w:color w:val="595959"/>
          <w:sz w:val="18"/>
        </w:rPr>
        <w:t>Figure 2: The fifteen tables of the dvdrental schema, and the row counts of the four used below. payment, at 14,596 rows, is the largest.</w:t>
      </w:r>
    </w:p>
    <w:p>
      <w:r>
        <w:t>payment is the table both test queries read. It is worth looking at what it already has, because dvdrental ships with indexes on its foreign keys, and an index that already exists changes what a new one can be credited with.</w:t>
      </w:r>
    </w:p>
    <w:p>
      <w:pPr>
        <w:spacing w:before="160" w:after="40"/>
        <w:jc w:val="center"/>
      </w:pPr>
      <w:r>
        <w:drawing>
          <wp:inline xmlns:a="http://schemas.openxmlformats.org/drawingml/2006/main" xmlns:pic="http://schemas.openxmlformats.org/drawingml/2006/picture">
            <wp:extent cx="5852160" cy="2574950"/>
            <wp:docPr id="3" name="Picture 3"/>
            <wp:cNvGraphicFramePr>
              <a:graphicFrameLocks noChangeAspect="1"/>
            </wp:cNvGraphicFramePr>
            <a:graphic>
              <a:graphicData uri="http://schemas.openxmlformats.org/drawingml/2006/picture">
                <pic:pic>
                  <pic:nvPicPr>
                    <pic:cNvPr id="0" name="fig-payment-table.png"/>
                    <pic:cNvPicPr/>
                  </pic:nvPicPr>
                  <pic:blipFill>
                    <a:blip r:embed="rId11"/>
                    <a:stretch>
                      <a:fillRect/>
                    </a:stretch>
                  </pic:blipFill>
                  <pic:spPr>
                    <a:xfrm>
                      <a:off x="0" y="0"/>
                      <a:ext cx="5852160" cy="2574950"/>
                    </a:xfrm>
                    <a:prstGeom prst="rect"/>
                  </pic:spPr>
                </pic:pic>
              </a:graphicData>
            </a:graphic>
          </wp:inline>
        </w:drawing>
      </w:r>
    </w:p>
    <w:p>
      <w:pPr>
        <w:spacing w:after="280"/>
        <w:jc w:val="center"/>
      </w:pPr>
      <w:r>
        <w:rPr>
          <w:i/>
          <w:color w:val="595959"/>
          <w:sz w:val="18"/>
        </w:rPr>
        <w:t>Figure 3: The payment table. Note idx_fk_customer_id, which already exists — this matters for Q2 below.</w:t>
      </w:r>
    </w:p>
    <w:p>
      <w:pPr>
        <w:pStyle w:val="Heading1"/>
      </w:pPr>
      <w:r>
        <w:t>Step 2: Indexing Strategies</w:t>
      </w:r>
    </w:p>
    <w:p>
      <w:r>
        <w:t>The assignment asks for the most frequently used queries to be identified. Rather than guess, the server was asked. pg_stat_statements was loaded at startup; it records every statement executed along with a call count and total time, which is what makes “frequently used” a measurable claim rather than an assumption. pg_stat_user_tables was used alongside it, because a large seq_tup_read relative to seq_scan is the symptom of a filter with no index behind it.</w:t>
      </w:r>
    </w:p>
    <w:p>
      <w:pPr>
        <w:spacing w:before="160" w:after="40"/>
        <w:jc w:val="center"/>
      </w:pPr>
      <w:r>
        <w:drawing>
          <wp:inline xmlns:a="http://schemas.openxmlformats.org/drawingml/2006/main" xmlns:pic="http://schemas.openxmlformats.org/drawingml/2006/picture">
            <wp:extent cx="5852160" cy="2908918"/>
            <wp:docPr id="4" name="Picture 4"/>
            <wp:cNvGraphicFramePr>
              <a:graphicFrameLocks noChangeAspect="1"/>
            </wp:cNvGraphicFramePr>
            <a:graphic>
              <a:graphicData uri="http://schemas.openxmlformats.org/drawingml/2006/picture">
                <pic:pic>
                  <pic:nvPicPr>
                    <pic:cNvPr id="0" name="fig-candidates.png"/>
                    <pic:cNvPicPr/>
                  </pic:nvPicPr>
                  <pic:blipFill>
                    <a:blip r:embed="rId12"/>
                    <a:stretch>
                      <a:fillRect/>
                    </a:stretch>
                  </pic:blipFill>
                  <pic:spPr>
                    <a:xfrm>
                      <a:off x="0" y="0"/>
                      <a:ext cx="5852160" cy="2908918"/>
                    </a:xfrm>
                    <a:prstGeom prst="rect"/>
                  </pic:spPr>
                </pic:pic>
              </a:graphicData>
            </a:graphic>
          </wp:inline>
        </w:drawing>
      </w:r>
    </w:p>
    <w:p>
      <w:pPr>
        <w:spacing w:after="280"/>
        <w:jc w:val="center"/>
      </w:pPr>
      <w:r>
        <w:rPr>
          <w:i/>
          <w:color w:val="595959"/>
          <w:sz w:val="18"/>
        </w:rPr>
        <w:t>Figure 4: Where the time goes, and the sequential-scan evidence. payment is read end to end on every call, roughly 14,600 rows returned to find a few hundred.</w:t>
      </w:r>
    </w:p>
    <w:p>
      <w:r>
        <w:t>Two queries came out of that, and they were chosen because they fail for different reasons:</w:t>
      </w:r>
    </w:p>
    <w:tbl>
      <w:tblPr>
        <w:tblStyle w:val="TableGrid"/>
        <w:tblW w:type="auto" w:w="0"/>
        <w:jc w:val="center"/>
        <w:tblLayout w:type="fixed"/>
        <w:tblLook w:firstColumn="1" w:firstRow="1" w:lastColumn="0" w:lastRow="0" w:noHBand="0" w:noVBand="1" w:val="04A0"/>
      </w:tblPr>
      <w:tblGrid>
        <w:gridCol w:w="576"/>
        <w:gridCol w:w="3671"/>
        <w:gridCol w:w="4824"/>
      </w:tblGrid>
      <w:tr>
        <w:tc>
          <w:tcPr>
            <w:tcW w:type="dxa" w:w="576"/>
          </w:tcPr>
          <w:p>
            <w:r/>
            <w:r>
              <w:rPr>
                <w:b/>
                <w:sz w:val="20"/>
              </w:rPr>
            </w:r>
          </w:p>
        </w:tc>
        <w:tc>
          <w:tcPr>
            <w:tcW w:type="dxa" w:w="3671"/>
          </w:tcPr>
          <w:p>
            <w:r/>
            <w:r>
              <w:rPr>
                <w:b/>
                <w:sz w:val="20"/>
              </w:rPr>
              <w:t>Query</w:t>
            </w:r>
          </w:p>
        </w:tc>
        <w:tc>
          <w:tcPr>
            <w:tcW w:type="dxa" w:w="4824"/>
          </w:tcPr>
          <w:p>
            <w:r/>
            <w:r>
              <w:rPr>
                <w:b/>
                <w:sz w:val="20"/>
              </w:rPr>
              <w:t>Why it is slow</w:t>
            </w:r>
          </w:p>
        </w:tc>
      </w:tr>
      <w:tr>
        <w:tc>
          <w:tcPr>
            <w:tcW w:type="dxa" w:w="576"/>
          </w:tcPr>
          <w:p>
            <w:r/>
            <w:r>
              <w:rPr>
                <w:sz w:val="20"/>
              </w:rPr>
              <w:t>Q1</w:t>
            </w:r>
          </w:p>
        </w:tc>
        <w:tc>
          <w:tcPr>
            <w:tcW w:type="dxa" w:w="3671"/>
          </w:tcPr>
          <w:p>
            <w:r/>
            <w:r>
              <w:rPr>
                <w:sz w:val="20"/>
              </w:rPr>
              <w:t>Payments taken on one particular day (a range over payment_date)</w:t>
            </w:r>
          </w:p>
        </w:tc>
        <w:tc>
          <w:tcPr>
            <w:tcW w:type="dxa" w:w="4824"/>
          </w:tcPr>
          <w:p>
            <w:r/>
            <w:r>
              <w:rPr>
                <w:sz w:val="20"/>
              </w:rPr>
              <w:t>No index on payment_date at all, so the whole table is scanned</w:t>
            </w:r>
          </w:p>
        </w:tc>
      </w:tr>
      <w:tr>
        <w:tc>
          <w:tcPr>
            <w:tcW w:type="dxa" w:w="576"/>
          </w:tcPr>
          <w:p>
            <w:r/>
            <w:r>
              <w:rPr>
                <w:sz w:val="20"/>
              </w:rPr>
              <w:t>Q2</w:t>
            </w:r>
          </w:p>
        </w:tc>
        <w:tc>
          <w:tcPr>
            <w:tcW w:type="dxa" w:w="3671"/>
          </w:tcPr>
          <w:p>
            <w:r/>
            <w:r>
              <w:rPr>
                <w:sz w:val="20"/>
              </w:rPr>
              <w:t>The ten most recent payments for one customer (filter, then sort)</w:t>
            </w:r>
          </w:p>
        </w:tc>
        <w:tc>
          <w:tcPr>
            <w:tcW w:type="dxa" w:w="4824"/>
          </w:tcPr>
          <w:p>
            <w:r/>
            <w:r>
              <w:rPr>
                <w:sz w:val="20"/>
              </w:rPr>
              <w:t>An index on customer_id exists, but the sort by date is done afterwards in memory</w:t>
            </w:r>
          </w:p>
        </w:tc>
      </w:tr>
    </w:tbl>
    <w:p/>
    <w:p>
      <w:pPr>
        <w:pStyle w:val="Heading1"/>
      </w:pPr>
      <w:r>
        <w:t>The plans before indexing</w:t>
      </w:r>
    </w:p>
    <w:p>
      <w:r>
        <w:t>Q1 is a plain sequential scan. The line worth reading is Rows Removed by Filter: 14,288 — PostgreSQL examined every row in the table and discarded all but 308 of them, touching 128 buffers to do it.</w:t>
      </w:r>
    </w:p>
    <w:p>
      <w:pPr>
        <w:spacing w:before="160" w:after="40"/>
        <w:jc w:val="center"/>
      </w:pPr>
      <w:r>
        <w:drawing>
          <wp:inline xmlns:a="http://schemas.openxmlformats.org/drawingml/2006/main" xmlns:pic="http://schemas.openxmlformats.org/drawingml/2006/picture">
            <wp:extent cx="5852160" cy="1620689"/>
            <wp:docPr id="5" name="Picture 5"/>
            <wp:cNvGraphicFramePr>
              <a:graphicFrameLocks noChangeAspect="1"/>
            </wp:cNvGraphicFramePr>
            <a:graphic>
              <a:graphicData uri="http://schemas.openxmlformats.org/drawingml/2006/picture">
                <pic:pic>
                  <pic:nvPicPr>
                    <pic:cNvPr id="0" name="fig-explain-before-q1.png"/>
                    <pic:cNvPicPr/>
                  </pic:nvPicPr>
                  <pic:blipFill>
                    <a:blip r:embed="rId13"/>
                    <a:stretch>
                      <a:fillRect/>
                    </a:stretch>
                  </pic:blipFill>
                  <pic:spPr>
                    <a:xfrm>
                      <a:off x="0" y="0"/>
                      <a:ext cx="5852160" cy="1620689"/>
                    </a:xfrm>
                    <a:prstGeom prst="rect"/>
                  </pic:spPr>
                </pic:pic>
              </a:graphicData>
            </a:graphic>
          </wp:inline>
        </w:drawing>
      </w:r>
    </w:p>
    <w:p>
      <w:pPr>
        <w:spacing w:after="280"/>
        <w:jc w:val="center"/>
      </w:pPr>
      <w:r>
        <w:rPr>
          <w:i/>
          <w:color w:val="595959"/>
          <w:sz w:val="18"/>
        </w:rPr>
        <w:t>Figure 5: Q1 with no index: Seq Scan, and 14,288 rows read only to be thrown away.</w:t>
      </w:r>
    </w:p>
    <w:p>
      <w:r>
        <w:t>Q2 is more interesting, and it is the reason it was included. It is already using an index — idx_fk_customer_id, which shipped with the sample database — so the filter is not the problem. The problem is the two nodes above it: the rows come back in no particular order, so a Sort has to run before the Limit can take ten of them.</w:t>
      </w:r>
    </w:p>
    <w:p>
      <w:pPr>
        <w:spacing w:before="160" w:after="40"/>
        <w:jc w:val="center"/>
      </w:pPr>
      <w:r>
        <w:drawing>
          <wp:inline xmlns:a="http://schemas.openxmlformats.org/drawingml/2006/main" xmlns:pic="http://schemas.openxmlformats.org/drawingml/2006/picture">
            <wp:extent cx="5120640" cy="3108445"/>
            <wp:docPr id="6" name="Picture 6"/>
            <wp:cNvGraphicFramePr>
              <a:graphicFrameLocks noChangeAspect="1"/>
            </wp:cNvGraphicFramePr>
            <a:graphic>
              <a:graphicData uri="http://schemas.openxmlformats.org/drawingml/2006/picture">
                <pic:pic>
                  <pic:nvPicPr>
                    <pic:cNvPr id="0" name="fig-explain-before-q2.png"/>
                    <pic:cNvPicPr/>
                  </pic:nvPicPr>
                  <pic:blipFill>
                    <a:blip r:embed="rId14"/>
                    <a:stretch>
                      <a:fillRect/>
                    </a:stretch>
                  </pic:blipFill>
                  <pic:spPr>
                    <a:xfrm>
                      <a:off x="0" y="0"/>
                      <a:ext cx="5120640" cy="3108445"/>
                    </a:xfrm>
                    <a:prstGeom prst="rect"/>
                  </pic:spPr>
                </pic:pic>
              </a:graphicData>
            </a:graphic>
          </wp:inline>
        </w:drawing>
      </w:r>
    </w:p>
    <w:p>
      <w:pPr>
        <w:spacing w:after="280"/>
        <w:jc w:val="center"/>
      </w:pPr>
      <w:r>
        <w:rPr>
          <w:i/>
          <w:color w:val="595959"/>
          <w:sz w:val="18"/>
        </w:rPr>
        <w:t>Figure 6: Q2 with no composite index. The filter is already indexed; the top-N heapsort above it is the avoidable work.</w:t>
      </w:r>
    </w:p>
    <w:p>
      <w:pPr>
        <w:pStyle w:val="Heading1"/>
      </w:pPr>
      <w:r>
        <w:t>The indexes</w:t>
      </w:r>
    </w:p>
    <w:p>
      <w:r>
        <w:t>One index per query, each shaped to the query's problem. Q1 needs nothing more than a B-tree on the column it filters. Q2 needs a composite index whose leading column is the one being filtered and whose second column is stored in the direction the query asks to sort in — that way the index can satisfy the filter and the ordering at once, and the sort becomes unnecessary.</w:t>
      </w:r>
    </w:p>
    <w:p>
      <w:pPr>
        <w:spacing w:before="160" w:after="40"/>
        <w:jc w:val="center"/>
      </w:pPr>
      <w:r>
        <w:drawing>
          <wp:inline xmlns:a="http://schemas.openxmlformats.org/drawingml/2006/main" xmlns:pic="http://schemas.openxmlformats.org/drawingml/2006/picture">
            <wp:extent cx="5669280" cy="2152227"/>
            <wp:docPr id="7" name="Picture 7"/>
            <wp:cNvGraphicFramePr>
              <a:graphicFrameLocks noChangeAspect="1"/>
            </wp:cNvGraphicFramePr>
            <a:graphic>
              <a:graphicData uri="http://schemas.openxmlformats.org/drawingml/2006/picture">
                <pic:pic>
                  <pic:nvPicPr>
                    <pic:cNvPr id="0" name="fig-code-indexes.png"/>
                    <pic:cNvPicPr/>
                  </pic:nvPicPr>
                  <pic:blipFill>
                    <a:blip r:embed="rId15"/>
                    <a:stretch>
                      <a:fillRect/>
                    </a:stretch>
                  </pic:blipFill>
                  <pic:spPr>
                    <a:xfrm>
                      <a:off x="0" y="0"/>
                      <a:ext cx="5669280" cy="2152227"/>
                    </a:xfrm>
                    <a:prstGeom prst="rect"/>
                  </pic:spPr>
                </pic:pic>
              </a:graphicData>
            </a:graphic>
          </wp:inline>
        </w:drawing>
      </w:r>
    </w:p>
    <w:p>
      <w:pPr>
        <w:spacing w:after="280"/>
        <w:jc w:val="center"/>
      </w:pPr>
      <w:r>
        <w:rPr>
          <w:i/>
          <w:color w:val="595959"/>
          <w:sz w:val="18"/>
        </w:rPr>
        <w:t>Figure 7: The two CREATE INDEX statements. Column order in a composite index is not arbitrary; it is what decides whether the sort can be skipped.</w:t>
      </w:r>
    </w:p>
    <w:p>
      <w:pPr>
        <w:spacing w:before="160" w:after="40"/>
        <w:jc w:val="center"/>
      </w:pPr>
      <w:r>
        <w:drawing>
          <wp:inline xmlns:a="http://schemas.openxmlformats.org/drawingml/2006/main" xmlns:pic="http://schemas.openxmlformats.org/drawingml/2006/picture">
            <wp:extent cx="4937760" cy="2919284"/>
            <wp:docPr id="8" name="Picture 8"/>
            <wp:cNvGraphicFramePr>
              <a:graphicFrameLocks noChangeAspect="1"/>
            </wp:cNvGraphicFramePr>
            <a:graphic>
              <a:graphicData uri="http://schemas.openxmlformats.org/drawingml/2006/picture">
                <pic:pic>
                  <pic:nvPicPr>
                    <pic:cNvPr id="0" name="fig-indexes.png"/>
                    <pic:cNvPicPr/>
                  </pic:nvPicPr>
                  <pic:blipFill>
                    <a:blip r:embed="rId16"/>
                    <a:stretch>
                      <a:fillRect/>
                    </a:stretch>
                  </pic:blipFill>
                  <pic:spPr>
                    <a:xfrm>
                      <a:off x="0" y="0"/>
                      <a:ext cx="4937760" cy="2919284"/>
                    </a:xfrm>
                    <a:prstGeom prst="rect"/>
                  </pic:spPr>
                </pic:pic>
              </a:graphicData>
            </a:graphic>
          </wp:inline>
        </w:drawing>
      </w:r>
    </w:p>
    <w:p>
      <w:pPr>
        <w:spacing w:after="280"/>
        <w:jc w:val="center"/>
      </w:pPr>
      <w:r>
        <w:rPr>
          <w:i/>
          <w:color w:val="595959"/>
          <w:sz w:val="18"/>
        </w:rPr>
        <w:t>Figure 8: The indexes on payment afterwards. The two new ones cost 336 kB and 464 kB.</w:t>
      </w:r>
    </w:p>
    <w:p>
      <w:pPr>
        <w:pStyle w:val="Heading1"/>
      </w:pPr>
      <w:r>
        <w:t>The plans after indexing</w:t>
      </w:r>
    </w:p>
    <w:p>
      <w:r>
        <w:t>Q1 no longer reads the table. It finds the matching rows through idx_payment_payment_date and fetches only the pages that contain them, cutting buffers from 128 to 17.</w:t>
      </w:r>
    </w:p>
    <w:p>
      <w:pPr>
        <w:spacing w:before="160" w:after="40"/>
        <w:jc w:val="center"/>
      </w:pPr>
      <w:r>
        <w:drawing>
          <wp:inline xmlns:a="http://schemas.openxmlformats.org/drawingml/2006/main" xmlns:pic="http://schemas.openxmlformats.org/drawingml/2006/picture">
            <wp:extent cx="5852160" cy="1789549"/>
            <wp:docPr id="9" name="Picture 9"/>
            <wp:cNvGraphicFramePr>
              <a:graphicFrameLocks noChangeAspect="1"/>
            </wp:cNvGraphicFramePr>
            <a:graphic>
              <a:graphicData uri="http://schemas.openxmlformats.org/drawingml/2006/picture">
                <pic:pic>
                  <pic:nvPicPr>
                    <pic:cNvPr id="0" name="fig-explain-after-q1.png"/>
                    <pic:cNvPicPr/>
                  </pic:nvPicPr>
                  <pic:blipFill>
                    <a:blip r:embed="rId17"/>
                    <a:stretch>
                      <a:fillRect/>
                    </a:stretch>
                  </pic:blipFill>
                  <pic:spPr>
                    <a:xfrm>
                      <a:off x="0" y="0"/>
                      <a:ext cx="5852160" cy="1789549"/>
                    </a:xfrm>
                    <a:prstGeom prst="rect"/>
                  </pic:spPr>
                </pic:pic>
              </a:graphicData>
            </a:graphic>
          </wp:inline>
        </w:drawing>
      </w:r>
    </w:p>
    <w:p>
      <w:pPr>
        <w:spacing w:after="280"/>
        <w:jc w:val="center"/>
      </w:pPr>
      <w:r>
        <w:rPr>
          <w:i/>
          <w:color w:val="595959"/>
          <w:sz w:val="18"/>
        </w:rPr>
        <w:t>Figure 9: Q1 indexed: Bitmap Index Scan, 15 heap blocks instead of the whole table.</w:t>
      </w:r>
    </w:p>
    <w:p>
      <w:r>
        <w:t>Q2's plan is now four lines instead of nine. The Sort and the Bitmap Heap Scan are both gone, replaced by a single Index Scan: because the index already holds the rows for that customer in descending date order, the Limit takes the first ten and stops.</w:t>
      </w:r>
    </w:p>
    <w:p>
      <w:pPr>
        <w:spacing w:before="160" w:after="40"/>
        <w:jc w:val="center"/>
      </w:pPr>
      <w:r>
        <w:drawing>
          <wp:inline xmlns:a="http://schemas.openxmlformats.org/drawingml/2006/main" xmlns:pic="http://schemas.openxmlformats.org/drawingml/2006/picture">
            <wp:extent cx="5303520" cy="2207966"/>
            <wp:docPr id="10" name="Picture 10"/>
            <wp:cNvGraphicFramePr>
              <a:graphicFrameLocks noChangeAspect="1"/>
            </wp:cNvGraphicFramePr>
            <a:graphic>
              <a:graphicData uri="http://schemas.openxmlformats.org/drawingml/2006/picture">
                <pic:pic>
                  <pic:nvPicPr>
                    <pic:cNvPr id="0" name="fig-explain-after-q2.png"/>
                    <pic:cNvPicPr/>
                  </pic:nvPicPr>
                  <pic:blipFill>
                    <a:blip r:embed="rId18"/>
                    <a:stretch>
                      <a:fillRect/>
                    </a:stretch>
                  </pic:blipFill>
                  <pic:spPr>
                    <a:xfrm>
                      <a:off x="0" y="0"/>
                      <a:ext cx="5303520" cy="2207966"/>
                    </a:xfrm>
                    <a:prstGeom prst="rect"/>
                  </pic:spPr>
                </pic:pic>
              </a:graphicData>
            </a:graphic>
          </wp:inline>
        </w:drawing>
      </w:r>
    </w:p>
    <w:p>
      <w:pPr>
        <w:spacing w:after="280"/>
        <w:jc w:val="center"/>
      </w:pPr>
      <w:r>
        <w:rPr>
          <w:i/>
          <w:color w:val="595959"/>
          <w:sz w:val="18"/>
        </w:rPr>
        <w:t>Figure 10: Q2 indexed. The Sort node has disappeared entirely — the index supplies the order.</w:t>
      </w:r>
    </w:p>
    <w:p>
      <w:pPr>
        <w:pStyle w:val="Heading1"/>
      </w:pPr>
      <w:r>
        <w:t>Measuring it properly</w:t>
      </w:r>
    </w:p>
    <w:p>
      <w:r>
        <w:t>A single EXPLAIN ANALYZE of a query that runs in well under a millisecond is mostly noise; running the same statements repeatedly during this work produced execution times that varied by a factor of three in both directions. So each query was run 200 times and the mean that pg_stat_statements recorded was compared instead.</w:t>
      </w:r>
    </w:p>
    <w:p>
      <w:pPr>
        <w:spacing w:before="160" w:after="40"/>
        <w:jc w:val="center"/>
      </w:pPr>
      <w:r>
        <w:drawing>
          <wp:inline xmlns:a="http://schemas.openxmlformats.org/drawingml/2006/main" xmlns:pic="http://schemas.openxmlformats.org/drawingml/2006/picture">
            <wp:extent cx="5669280" cy="3418806"/>
            <wp:docPr id="11" name="Picture 11"/>
            <wp:cNvGraphicFramePr>
              <a:graphicFrameLocks noChangeAspect="1"/>
            </wp:cNvGraphicFramePr>
            <a:graphic>
              <a:graphicData uri="http://schemas.openxmlformats.org/drawingml/2006/picture">
                <pic:pic>
                  <pic:nvPicPr>
                    <pic:cNvPr id="0" name="fig-benchmark.png"/>
                    <pic:cNvPicPr/>
                  </pic:nvPicPr>
                  <pic:blipFill>
                    <a:blip r:embed="rId19"/>
                    <a:stretch>
                      <a:fillRect/>
                    </a:stretch>
                  </pic:blipFill>
                  <pic:spPr>
                    <a:xfrm>
                      <a:off x="0" y="0"/>
                      <a:ext cx="5669280" cy="3418806"/>
                    </a:xfrm>
                    <a:prstGeom prst="rect"/>
                  </pic:spPr>
                </pic:pic>
              </a:graphicData>
            </a:graphic>
          </wp:inline>
        </w:drawing>
      </w:r>
    </w:p>
    <w:p>
      <w:pPr>
        <w:spacing w:after="280"/>
        <w:jc w:val="center"/>
      </w:pPr>
      <w:r>
        <w:rPr>
          <w:i/>
          <w:color w:val="595959"/>
          <w:sz w:val="18"/>
        </w:rPr>
        <w:t>Figure 11: 200 runs of each query, before and after. The block counts are deterministic; the means are stable enough to compare.</w:t>
      </w:r>
    </w:p>
    <w:tbl>
      <w:tblPr>
        <w:tblStyle w:val="TableGrid"/>
        <w:tblW w:type="auto" w:w="0"/>
        <w:jc w:val="center"/>
        <w:tblLayout w:type="fixed"/>
        <w:tblLook w:firstColumn="1" w:firstRow="1" w:lastColumn="0" w:lastRow="0" w:noHBand="0" w:noVBand="1" w:val="04A0"/>
      </w:tblPr>
      <w:tblGrid>
        <w:gridCol w:w="576"/>
        <w:gridCol w:w="2015"/>
        <w:gridCol w:w="2015"/>
        <w:gridCol w:w="2160"/>
        <w:gridCol w:w="2304"/>
      </w:tblGrid>
      <w:tr>
        <w:tc>
          <w:tcPr>
            <w:tcW w:type="dxa" w:w="576"/>
          </w:tcPr>
          <w:p>
            <w:r/>
            <w:r>
              <w:rPr>
                <w:b/>
                <w:sz w:val="20"/>
              </w:rPr>
            </w:r>
          </w:p>
        </w:tc>
        <w:tc>
          <w:tcPr>
            <w:tcW w:type="dxa" w:w="2015"/>
          </w:tcPr>
          <w:p>
            <w:r/>
            <w:r>
              <w:rPr>
                <w:b/>
                <w:sz w:val="20"/>
              </w:rPr>
              <w:t>Mean before</w:t>
            </w:r>
          </w:p>
        </w:tc>
        <w:tc>
          <w:tcPr>
            <w:tcW w:type="dxa" w:w="2015"/>
          </w:tcPr>
          <w:p>
            <w:r/>
            <w:r>
              <w:rPr>
                <w:b/>
                <w:sz w:val="20"/>
              </w:rPr>
              <w:t>Mean after</w:t>
            </w:r>
          </w:p>
        </w:tc>
        <w:tc>
          <w:tcPr>
            <w:tcW w:type="dxa" w:w="2160"/>
          </w:tcPr>
          <w:p>
            <w:r/>
            <w:r>
              <w:rPr>
                <w:b/>
                <w:sz w:val="20"/>
              </w:rPr>
              <w:t>Improvement</w:t>
            </w:r>
          </w:p>
        </w:tc>
        <w:tc>
          <w:tcPr>
            <w:tcW w:type="dxa" w:w="2304"/>
          </w:tcPr>
          <w:p>
            <w:r/>
            <w:r>
              <w:rPr>
                <w:b/>
                <w:sz w:val="20"/>
              </w:rPr>
              <w:t>Blocks per call</w:t>
            </w:r>
          </w:p>
        </w:tc>
      </w:tr>
      <w:tr>
        <w:tc>
          <w:tcPr>
            <w:tcW w:type="dxa" w:w="576"/>
          </w:tcPr>
          <w:p>
            <w:r/>
            <w:r>
              <w:rPr>
                <w:sz w:val="20"/>
              </w:rPr>
              <w:t>Q1</w:t>
            </w:r>
          </w:p>
        </w:tc>
        <w:tc>
          <w:tcPr>
            <w:tcW w:type="dxa" w:w="2015"/>
          </w:tcPr>
          <w:p>
            <w:r/>
            <w:r>
              <w:rPr>
                <w:sz w:val="20"/>
              </w:rPr>
              <w:t>0.7649 ms</w:t>
            </w:r>
          </w:p>
        </w:tc>
        <w:tc>
          <w:tcPr>
            <w:tcW w:type="dxa" w:w="2015"/>
          </w:tcPr>
          <w:p>
            <w:r/>
            <w:r>
              <w:rPr>
                <w:sz w:val="20"/>
              </w:rPr>
              <w:t>0.0438 ms</w:t>
            </w:r>
          </w:p>
        </w:tc>
        <w:tc>
          <w:tcPr>
            <w:tcW w:type="dxa" w:w="2160"/>
          </w:tcPr>
          <w:p>
            <w:r/>
            <w:r>
              <w:rPr>
                <w:sz w:val="20"/>
              </w:rPr>
              <w:t>17.5x faster</w:t>
            </w:r>
          </w:p>
        </w:tc>
        <w:tc>
          <w:tcPr>
            <w:tcW w:type="dxa" w:w="2304"/>
          </w:tcPr>
          <w:p>
            <w:r/>
            <w:r>
              <w:rPr>
                <w:sz w:val="20"/>
              </w:rPr>
              <w:t>128 → 17</w:t>
            </w:r>
          </w:p>
        </w:tc>
      </w:tr>
      <w:tr>
        <w:tc>
          <w:tcPr>
            <w:tcW w:type="dxa" w:w="576"/>
          </w:tcPr>
          <w:p>
            <w:r/>
            <w:r>
              <w:rPr>
                <w:sz w:val="20"/>
              </w:rPr>
              <w:t>Q2</w:t>
            </w:r>
          </w:p>
        </w:tc>
        <w:tc>
          <w:tcPr>
            <w:tcW w:type="dxa" w:w="2015"/>
          </w:tcPr>
          <w:p>
            <w:r/>
            <w:r>
              <w:rPr>
                <w:sz w:val="20"/>
              </w:rPr>
              <w:t>0.0068 ms</w:t>
            </w:r>
          </w:p>
        </w:tc>
        <w:tc>
          <w:tcPr>
            <w:tcW w:type="dxa" w:w="2015"/>
          </w:tcPr>
          <w:p>
            <w:r/>
            <w:r>
              <w:rPr>
                <w:sz w:val="20"/>
              </w:rPr>
              <w:t>0.0029 ms</w:t>
            </w:r>
          </w:p>
        </w:tc>
        <w:tc>
          <w:tcPr>
            <w:tcW w:type="dxa" w:w="2160"/>
          </w:tcPr>
          <w:p>
            <w:r/>
            <w:r>
              <w:rPr>
                <w:sz w:val="20"/>
              </w:rPr>
              <w:t>2.3x faster</w:t>
            </w:r>
          </w:p>
        </w:tc>
        <w:tc>
          <w:tcPr>
            <w:tcW w:type="dxa" w:w="2304"/>
          </w:tcPr>
          <w:p>
            <w:r/>
            <w:r>
              <w:rPr>
                <w:sz w:val="20"/>
              </w:rPr>
              <w:t>5 → 4</w:t>
            </w:r>
          </w:p>
        </w:tc>
      </w:tr>
    </w:tbl>
    <w:p/>
    <w:p>
      <w:r>
        <w:t>Q1 is the large win, at 17.5x, because it went from having no usable index to having one. Q2's 2.3x is the smaller number and the more honest one: an index was already helping it, so the composite index only removed the sort. On 14,596 rows that saves very little wall-clock time. The reason it is still worth doing is that the sort's cost grows with the number of rows matching the customer while the index scan's does not, so the gap widens as the table grows — and this table is the one that grows fastest in a rental business.</w:t>
      </w:r>
    </w:p>
    <w:p>
      <w:pPr>
        <w:pStyle w:val="Heading1"/>
      </w:pPr>
      <w:r>
        <w:t>Step 3: Stored Procedures</w:t>
      </w:r>
    </w:p>
    <w:p>
      <w:r>
        <w:t>Two objects were written, deliberately one of each kind, because the distinction is the interesting part of this step. PostgreSQL has had both CREATE FUNCTION and CREATE PROCEDURE since version 11, and they are not interchangeable.</w:t>
      </w:r>
    </w:p>
    <w:p>
      <w:r>
        <w:t>add_customer is a FUNCTION. It inserts a customer and returns the generated customer_id, which is what a caller needs. Before inserting it checks two things: that the address looks like an email at all, and that it is not already registered. Both checks raise with a specific SQLSTATE rather than a bare error, so a caller can tell a duplicate from a malformed input without parsing the message text.</w:t>
      </w:r>
    </w:p>
    <w:p>
      <w:pPr>
        <w:spacing w:before="160" w:after="40"/>
        <w:jc w:val="center"/>
      </w:pPr>
      <w:r>
        <w:drawing>
          <wp:inline xmlns:a="http://schemas.openxmlformats.org/drawingml/2006/main" xmlns:pic="http://schemas.openxmlformats.org/drawingml/2006/picture">
            <wp:extent cx="5303520" cy="4103135"/>
            <wp:docPr id="12" name="Picture 12"/>
            <wp:cNvGraphicFramePr>
              <a:graphicFrameLocks noChangeAspect="1"/>
            </wp:cNvGraphicFramePr>
            <a:graphic>
              <a:graphicData uri="http://schemas.openxmlformats.org/drawingml/2006/picture">
                <pic:pic>
                  <pic:nvPicPr>
                    <pic:cNvPr id="0" name="fig-code-function.png"/>
                    <pic:cNvPicPr/>
                  </pic:nvPicPr>
                  <pic:blipFill>
                    <a:blip r:embed="rId20"/>
                    <a:stretch>
                      <a:fillRect/>
                    </a:stretch>
                  </pic:blipFill>
                  <pic:spPr>
                    <a:xfrm>
                      <a:off x="0" y="0"/>
                      <a:ext cx="5303520" cy="4103135"/>
                    </a:xfrm>
                    <a:prstGeom prst="rect"/>
                  </pic:spPr>
                </pic:pic>
              </a:graphicData>
            </a:graphic>
          </wp:inline>
        </w:drawing>
      </w:r>
    </w:p>
    <w:p>
      <w:pPr>
        <w:spacing w:after="280"/>
        <w:jc w:val="center"/>
      </w:pPr>
      <w:r>
        <w:rPr>
          <w:i/>
          <w:color w:val="595959"/>
          <w:sz w:val="18"/>
        </w:rPr>
        <w:t>Figure 12: add_customer. The validation is in the database, so it holds no matter which application does the inserting.</w:t>
      </w:r>
    </w:p>
    <w:p>
      <w:r>
        <w:t>deactivate_customer is a PROCEDURE. It returns nothing, and it commits its own transaction. That is the capability a procedure has and a function does not: a function runs inside the caller's transaction and cannot commit. It also checks ROW_COUNT after the UPDATE and raises if nothing matched, so asking to deactivate a customer who is already inactive is an error rather than a silent no-op.</w:t>
      </w:r>
    </w:p>
    <w:p>
      <w:pPr>
        <w:spacing w:before="160" w:after="40"/>
        <w:jc w:val="center"/>
      </w:pPr>
      <w:r>
        <w:drawing>
          <wp:inline xmlns:a="http://schemas.openxmlformats.org/drawingml/2006/main" xmlns:pic="http://schemas.openxmlformats.org/drawingml/2006/picture">
            <wp:extent cx="5486400" cy="3335867"/>
            <wp:docPr id="13" name="Picture 13"/>
            <wp:cNvGraphicFramePr>
              <a:graphicFrameLocks noChangeAspect="1"/>
            </wp:cNvGraphicFramePr>
            <a:graphic>
              <a:graphicData uri="http://schemas.openxmlformats.org/drawingml/2006/picture">
                <pic:pic>
                  <pic:nvPicPr>
                    <pic:cNvPr id="0" name="fig-code-procedure.png"/>
                    <pic:cNvPicPr/>
                  </pic:nvPicPr>
                  <pic:blipFill>
                    <a:blip r:embed="rId21"/>
                    <a:stretch>
                      <a:fillRect/>
                    </a:stretch>
                  </pic:blipFill>
                  <pic:spPr>
                    <a:xfrm>
                      <a:off x="0" y="0"/>
                      <a:ext cx="5486400" cy="3335867"/>
                    </a:xfrm>
                    <a:prstGeom prst="rect"/>
                  </pic:spPr>
                </pic:pic>
              </a:graphicData>
            </a:graphic>
          </wp:inline>
        </w:drawing>
      </w:r>
    </w:p>
    <w:p>
      <w:pPr>
        <w:spacing w:after="280"/>
        <w:jc w:val="center"/>
      </w:pPr>
      <w:r>
        <w:rPr>
          <w:i/>
          <w:color w:val="595959"/>
          <w:sz w:val="18"/>
        </w:rPr>
        <w:t>Figure 13: deactivate_customer. The COMMIT on line 60 is the reason this is a procedure.</w:t>
      </w:r>
    </w:p>
    <w:p>
      <w:pPr>
        <w:spacing w:before="160" w:after="40"/>
        <w:jc w:val="center"/>
      </w:pPr>
      <w:r>
        <w:drawing>
          <wp:inline xmlns:a="http://schemas.openxmlformats.org/drawingml/2006/main" xmlns:pic="http://schemas.openxmlformats.org/drawingml/2006/picture">
            <wp:extent cx="4937760" cy="1985113"/>
            <wp:docPr id="14" name="Picture 14"/>
            <wp:cNvGraphicFramePr>
              <a:graphicFrameLocks noChangeAspect="1"/>
            </wp:cNvGraphicFramePr>
            <a:graphic>
              <a:graphicData uri="http://schemas.openxmlformats.org/drawingml/2006/picture">
                <pic:pic>
                  <pic:nvPicPr>
                    <pic:cNvPr id="0" name="fig-functions.png"/>
                    <pic:cNvPicPr/>
                  </pic:nvPicPr>
                  <pic:blipFill>
                    <a:blip r:embed="rId22"/>
                    <a:stretch>
                      <a:fillRect/>
                    </a:stretch>
                  </pic:blipFill>
                  <pic:spPr>
                    <a:xfrm>
                      <a:off x="0" y="0"/>
                      <a:ext cx="4937760" cy="1985113"/>
                    </a:xfrm>
                    <a:prstGeom prst="rect"/>
                  </pic:spPr>
                </pic:pic>
              </a:graphicData>
            </a:graphic>
          </wp:inline>
        </w:drawing>
      </w:r>
    </w:p>
    <w:p>
      <w:pPr>
        <w:spacing w:after="280"/>
        <w:jc w:val="center"/>
      </w:pPr>
      <w:r>
        <w:rPr>
          <w:i/>
          <w:color w:val="595959"/>
          <w:sz w:val="18"/>
        </w:rPr>
        <w:t>Figure 14: Both objects as PostgreSQL sees them. Note the empty returns column for the procedure.</w:t>
      </w:r>
    </w:p>
    <w:p>
      <w:r>
        <w:t>Both were then tested with five calls, three of which are supposed to fail. Testing only the path that works would not show that the validation does anything.</w:t>
      </w:r>
    </w:p>
    <w:p>
      <w:pPr>
        <w:spacing w:before="160" w:after="40"/>
        <w:jc w:val="center"/>
      </w:pPr>
      <w:r>
        <w:drawing>
          <wp:inline xmlns:a="http://schemas.openxmlformats.org/drawingml/2006/main" xmlns:pic="http://schemas.openxmlformats.org/drawingml/2006/picture">
            <wp:extent cx="5029200" cy="4396786"/>
            <wp:docPr id="15" name="Picture 15"/>
            <wp:cNvGraphicFramePr>
              <a:graphicFrameLocks noChangeAspect="1"/>
            </wp:cNvGraphicFramePr>
            <a:graphic>
              <a:graphicData uri="http://schemas.openxmlformats.org/drawingml/2006/picture">
                <pic:pic>
                  <pic:nvPicPr>
                    <pic:cNvPr id="0" name="fig-functions-test.png"/>
                    <pic:cNvPicPr/>
                  </pic:nvPicPr>
                  <pic:blipFill>
                    <a:blip r:embed="rId23"/>
                    <a:stretch>
                      <a:fillRect/>
                    </a:stretch>
                  </pic:blipFill>
                  <pic:spPr>
                    <a:xfrm>
                      <a:off x="0" y="0"/>
                      <a:ext cx="5029200" cy="4396786"/>
                    </a:xfrm>
                    <a:prstGeom prst="rect"/>
                  </pic:spPr>
                </pic:pic>
              </a:graphicData>
            </a:graphic>
          </wp:inline>
        </w:drawing>
      </w:r>
    </w:p>
    <w:p>
      <w:pPr>
        <w:spacing w:after="280"/>
        <w:jc w:val="center"/>
      </w:pPr>
      <w:r>
        <w:rPr>
          <w:i/>
          <w:color w:val="595959"/>
          <w:sz w:val="18"/>
        </w:rPr>
        <w:t>Figure 15: All five calls. The successes report through RAISE NOTICE; the three rejections each carry the SQLSTATE they were raised with.</w:t>
      </w:r>
    </w:p>
    <w:p>
      <w:r>
        <w:t>The results are as designed: the first call returns customer_id 600; the same address in different case is rejected as a duplicate, which confirms the comparison is case-insensitive; a string with no @ is rejected; the deactivation commits; and repeating it is refused because no active customer with that id remains. The final row shows activebool has flipped to f, so the procedure's work was committed and not rolled back.</w:t>
      </w:r>
    </w:p>
    <w:p>
      <w:r>
        <w:t>One thing this step ran into: CALL will not accept a subquery as an argument, so fetching the id with CALL deactivate_customer((SELECT ...)) fails to parse. The id is fetched into a psql variable with \gset first and the variable passed in.</w:t>
      </w:r>
    </w:p>
    <w:p>
      <w:pPr>
        <w:pStyle w:val="Heading1"/>
      </w:pPr>
      <w:r>
        <w:t>Step 4: Replication Setup</w:t>
      </w:r>
    </w:p>
    <w:p>
      <w:r>
        <w:t>The replica is a second cluster on the same host, listening on port 5433 and streaming from the primary on 5432. pg_basebackup was run with -R, which writes standby.signal and the primary_conninfo into the new data directory so the copy comes up as a standby without any further configuration, and with -C -S replica1 to create a replication slot. The slot is the part worth having: it makes the primary retain WAL the replica has not consumed yet, so a replica that falls behind or disconnects can catch up instead of being unrecoverable.</w:t>
      </w:r>
    </w:p>
    <w:p>
      <w:pPr>
        <w:spacing w:before="160" w:after="40"/>
        <w:jc w:val="center"/>
      </w:pPr>
      <w:r>
        <w:drawing>
          <wp:inline xmlns:a="http://schemas.openxmlformats.org/drawingml/2006/main" xmlns:pic="http://schemas.openxmlformats.org/drawingml/2006/picture">
            <wp:extent cx="5669280" cy="3007998"/>
            <wp:docPr id="16" name="Picture 16"/>
            <wp:cNvGraphicFramePr>
              <a:graphicFrameLocks noChangeAspect="1"/>
            </wp:cNvGraphicFramePr>
            <a:graphic>
              <a:graphicData uri="http://schemas.openxmlformats.org/drawingml/2006/picture">
                <pic:pic>
                  <pic:nvPicPr>
                    <pic:cNvPr id="0" name="fig-basebackup.png"/>
                    <pic:cNvPicPr/>
                  </pic:nvPicPr>
                  <pic:blipFill>
                    <a:blip r:embed="rId24"/>
                    <a:stretch>
                      <a:fillRect/>
                    </a:stretch>
                  </pic:blipFill>
                  <pic:spPr>
                    <a:xfrm>
                      <a:off x="0" y="0"/>
                      <a:ext cx="5669280" cy="3007998"/>
                    </a:xfrm>
                    <a:prstGeom prst="rect"/>
                  </pic:spPr>
                </pic:pic>
              </a:graphicData>
            </a:graphic>
          </wp:inline>
        </w:drawing>
      </w:r>
    </w:p>
    <w:p>
      <w:pPr>
        <w:spacing w:after="280"/>
        <w:jc w:val="center"/>
      </w:pPr>
      <w:r>
        <w:rPr>
          <w:i/>
          <w:color w:val="595959"/>
          <w:sz w:val="18"/>
        </w:rPr>
        <w:t>Figure 16: pg_basebackup copying the cluster and creating the slot. 39,980 kB, one tablespace.</w:t>
      </w:r>
    </w:p>
    <w:p>
      <w:r>
        <w:t>Because the copy is byte-for-byte, it includes the primary's postgresql.conf and therefore its port. Starting it unchanged would collide with the primary, so the replica's port is overridden to 5433 afterwards.</w:t>
      </w:r>
    </w:p>
    <w:p>
      <w:pPr>
        <w:spacing w:before="160" w:after="40"/>
        <w:jc w:val="center"/>
      </w:pPr>
      <w:r>
        <w:drawing>
          <wp:inline xmlns:a="http://schemas.openxmlformats.org/drawingml/2006/main" xmlns:pic="http://schemas.openxmlformats.org/drawingml/2006/picture">
            <wp:extent cx="4937760" cy="1831884"/>
            <wp:docPr id="17" name="Picture 17"/>
            <wp:cNvGraphicFramePr>
              <a:graphicFrameLocks noChangeAspect="1"/>
            </wp:cNvGraphicFramePr>
            <a:graphic>
              <a:graphicData uri="http://schemas.openxmlformats.org/drawingml/2006/picture">
                <pic:pic>
                  <pic:nvPicPr>
                    <pic:cNvPr id="0" name="fig-replica-state.png"/>
                    <pic:cNvPicPr/>
                  </pic:nvPicPr>
                  <pic:blipFill>
                    <a:blip r:embed="rId25"/>
                    <a:stretch>
                      <a:fillRect/>
                    </a:stretch>
                  </pic:blipFill>
                  <pic:spPr>
                    <a:xfrm>
                      <a:off x="0" y="0"/>
                      <a:ext cx="4937760" cy="1831884"/>
                    </a:xfrm>
                    <a:prstGeom prst="rect"/>
                  </pic:spPr>
                </pic:pic>
              </a:graphicData>
            </a:graphic>
          </wp:inline>
        </w:drawing>
      </w:r>
    </w:p>
    <w:p>
      <w:pPr>
        <w:spacing w:after="280"/>
        <w:jc w:val="center"/>
      </w:pPr>
      <w:r>
        <w:rPr>
          <w:i/>
          <w:color w:val="595959"/>
          <w:sz w:val="18"/>
        </w:rPr>
        <w:t>Figure 17: The replica confirms it is in recovery — which is what a streaming standby is permanently in.</w:t>
      </w:r>
    </w:p>
    <w:p>
      <w:pPr>
        <w:spacing w:before="160" w:after="40"/>
        <w:jc w:val="center"/>
      </w:pPr>
      <w:r>
        <w:drawing>
          <wp:inline xmlns:a="http://schemas.openxmlformats.org/drawingml/2006/main" xmlns:pic="http://schemas.openxmlformats.org/drawingml/2006/picture">
            <wp:extent cx="5669280" cy="2571544"/>
            <wp:docPr id="18" name="Picture 18"/>
            <wp:cNvGraphicFramePr>
              <a:graphicFrameLocks noChangeAspect="1"/>
            </wp:cNvGraphicFramePr>
            <a:graphic>
              <a:graphicData uri="http://schemas.openxmlformats.org/drawingml/2006/picture">
                <pic:pic>
                  <pic:nvPicPr>
                    <pic:cNvPr id="0" name="fig-replication.png"/>
                    <pic:cNvPicPr/>
                  </pic:nvPicPr>
                  <pic:blipFill>
                    <a:blip r:embed="rId26"/>
                    <a:stretch>
                      <a:fillRect/>
                    </a:stretch>
                  </pic:blipFill>
                  <pic:spPr>
                    <a:xfrm>
                      <a:off x="0" y="0"/>
                      <a:ext cx="5669280" cy="2571544"/>
                    </a:xfrm>
                    <a:prstGeom prst="rect"/>
                  </pic:spPr>
                </pic:pic>
              </a:graphicData>
            </a:graphic>
          </wp:inline>
        </w:drawing>
      </w:r>
    </w:p>
    <w:p>
      <w:pPr>
        <w:spacing w:after="280"/>
        <w:jc w:val="center"/>
      </w:pPr>
      <w:r>
        <w:rPr>
          <w:i/>
          <w:color w:val="595959"/>
          <w:sz w:val="18"/>
        </w:rPr>
        <w:t>Figure 18: pg_stat_replication on the primary: streaming, asynchronous, and caught up to the byte.</w:t>
      </w:r>
    </w:p>
    <w:p>
      <w:r>
        <w:t>sent_lsn and replay_lsn are equal, so the replica has replayed everything sent to it. sync_state is async, which is the default: the primary commits without waiting for the replica to confirm. That is the right trade for a read replica and the wrong one for zero-loss failover, which would need synchronous_commit and a synchronous standby, at the cost of every commit on the primary waiting for a network round trip.</w:t>
      </w:r>
    </w:p>
    <w:p>
      <w:r>
        <w:t>A status view showing streaming is not by itself proof that data arrives, so it was tested directly: insert on the primary, read on the replica, then attempt a write on the replica.</w:t>
      </w:r>
    </w:p>
    <w:p>
      <w:pPr>
        <w:spacing w:before="160" w:after="40"/>
        <w:jc w:val="center"/>
      </w:pPr>
      <w:r>
        <w:drawing>
          <wp:inline xmlns:a="http://schemas.openxmlformats.org/drawingml/2006/main" xmlns:pic="http://schemas.openxmlformats.org/drawingml/2006/picture">
            <wp:extent cx="5303520" cy="3637212"/>
            <wp:docPr id="19" name="Picture 19"/>
            <wp:cNvGraphicFramePr>
              <a:graphicFrameLocks noChangeAspect="1"/>
            </wp:cNvGraphicFramePr>
            <a:graphic>
              <a:graphicData uri="http://schemas.openxmlformats.org/drawingml/2006/picture">
                <pic:pic>
                  <pic:nvPicPr>
                    <pic:cNvPr id="0" name="fig-replication-test.png"/>
                    <pic:cNvPicPr/>
                  </pic:nvPicPr>
                  <pic:blipFill>
                    <a:blip r:embed="rId27"/>
                    <a:stretch>
                      <a:fillRect/>
                    </a:stretch>
                  </pic:blipFill>
                  <pic:spPr>
                    <a:xfrm>
                      <a:off x="0" y="0"/>
                      <a:ext cx="5303520" cy="3637212"/>
                    </a:xfrm>
                    <a:prstGeom prst="rect"/>
                  </pic:spPr>
                </pic:pic>
              </a:graphicData>
            </a:graphic>
          </wp:inline>
        </w:drawing>
      </w:r>
    </w:p>
    <w:p>
      <w:pPr>
        <w:spacing w:after="280"/>
        <w:jc w:val="center"/>
      </w:pPr>
      <w:r>
        <w:rPr>
          <w:i/>
          <w:color w:val="595959"/>
          <w:sz w:val="18"/>
        </w:rPr>
        <w:t>Figure 19: The row inserted on 5432 read back from 5433, and the replica refusing to be written to.</w:t>
      </w:r>
    </w:p>
    <w:p>
      <w:r>
        <w:t>The row appears on the replica, and the attempted insert there is refused with “cannot execute INSERT in a read-only transaction”. Both halves matter: the first shows replication works, the second shows the replica is genuinely read-only and cannot silently diverge from the primary.</w:t>
      </w:r>
    </w:p>
    <w:p>
      <w:pPr>
        <w:pStyle w:val="Heading1"/>
      </w:pPr>
      <w:r>
        <w:t>Step 5: Performance Tuning</w:t>
      </w:r>
    </w:p>
    <w:p>
      <w:r>
        <w:t>The two views the assignment names answer different questions. pg_stat_user_tables says whether a table is being read sequentially or through an index; pg_stat_user_indexes says whether each index is actually earning its place.</w:t>
      </w:r>
    </w:p>
    <w:p>
      <w:pPr>
        <w:spacing w:before="160" w:after="40"/>
        <w:jc w:val="center"/>
      </w:pPr>
      <w:r>
        <w:drawing>
          <wp:inline xmlns:a="http://schemas.openxmlformats.org/drawingml/2006/main" xmlns:pic="http://schemas.openxmlformats.org/drawingml/2006/picture">
            <wp:extent cx="5669280" cy="2279204"/>
            <wp:docPr id="20" name="Picture 20"/>
            <wp:cNvGraphicFramePr>
              <a:graphicFrameLocks noChangeAspect="1"/>
            </wp:cNvGraphicFramePr>
            <a:graphic>
              <a:graphicData uri="http://schemas.openxmlformats.org/drawingml/2006/picture">
                <pic:pic>
                  <pic:nvPicPr>
                    <pic:cNvPr id="0" name="fig-stats-tables.png"/>
                    <pic:cNvPicPr/>
                  </pic:nvPicPr>
                  <pic:blipFill>
                    <a:blip r:embed="rId28"/>
                    <a:stretch>
                      <a:fillRect/>
                    </a:stretch>
                  </pic:blipFill>
                  <pic:spPr>
                    <a:xfrm>
                      <a:off x="0" y="0"/>
                      <a:ext cx="5669280" cy="2279204"/>
                    </a:xfrm>
                    <a:prstGeom prst="rect"/>
                  </pic:spPr>
                </pic:pic>
              </a:graphicData>
            </a:graphic>
          </wp:inline>
        </w:drawing>
      </w:r>
    </w:p>
    <w:p>
      <w:pPr>
        <w:spacing w:after="280"/>
        <w:jc w:val="center"/>
      </w:pPr>
      <w:r>
        <w:rPr>
          <w:i/>
          <w:color w:val="595959"/>
          <w:sz w:val="18"/>
        </w:rPr>
        <w:t>Figure 20: pg_stat_user_tables. payment now has more index scans than sequential ones.</w:t>
      </w:r>
    </w:p>
    <w:p>
      <w:pPr>
        <w:spacing w:before="160" w:after="40"/>
        <w:jc w:val="center"/>
      </w:pPr>
      <w:r>
        <w:drawing>
          <wp:inline xmlns:a="http://schemas.openxmlformats.org/drawingml/2006/main" xmlns:pic="http://schemas.openxmlformats.org/drawingml/2006/picture">
            <wp:extent cx="5669280" cy="2633534"/>
            <wp:docPr id="21" name="Picture 21"/>
            <wp:cNvGraphicFramePr>
              <a:graphicFrameLocks noChangeAspect="1"/>
            </wp:cNvGraphicFramePr>
            <a:graphic>
              <a:graphicData uri="http://schemas.openxmlformats.org/drawingml/2006/picture">
                <pic:pic>
                  <pic:nvPicPr>
                    <pic:cNvPr id="0" name="fig-stats-indexes.png"/>
                    <pic:cNvPicPr/>
                  </pic:nvPicPr>
                  <pic:blipFill>
                    <a:blip r:embed="rId29"/>
                    <a:stretch>
                      <a:fillRect/>
                    </a:stretch>
                  </pic:blipFill>
                  <pic:spPr>
                    <a:xfrm>
                      <a:off x="0" y="0"/>
                      <a:ext cx="5669280" cy="2633534"/>
                    </a:xfrm>
                    <a:prstGeom prst="rect"/>
                  </pic:spPr>
                </pic:pic>
              </a:graphicData>
            </a:graphic>
          </wp:inline>
        </w:drawing>
      </w:r>
    </w:p>
    <w:p>
      <w:pPr>
        <w:spacing w:after="280"/>
        <w:jc w:val="center"/>
      </w:pPr>
      <w:r>
        <w:rPr>
          <w:i/>
          <w:color w:val="595959"/>
          <w:sz w:val="18"/>
        </w:rPr>
        <w:t>Figure 21: pg_stat_user_indexes. Both new indexes are being used — and three others are not.</w:t>
      </w:r>
    </w:p>
    <w:p>
      <w:r>
        <w:t>The second view produced the most useful finding in this report, and it is not about the queries that were optimised. Both new indexes are being used, roughly 200 scans each, which confirms the planner chose them rather than merely being able to. But three indexes on payment have zero scans: idx_fk_rental_id, idx_fk_staff_id, and payment_pkey. An unused index is not free — every INSERT, UPDATE and DELETE on the table has to maintain it, and it occupies cache that could hold table data. Together those three hold 792 kB doing nothing for this workload.</w:t>
      </w:r>
    </w:p>
    <w:p>
      <w:r>
        <w:t>They should not be dropped on this evidence, though. The counters were reset at the start of this exercise, so “zero scans” means zero during a short synthetic workload of two queries, not zero in production; and payment_pkey enforces the primary key, so it earns its place regardless of whether anything reads it. The correct conclusion is that these are the candidates to watch over a representative period, not that they are dead weight.</w:t>
      </w:r>
    </w:p>
    <w:p>
      <w:pPr>
        <w:spacing w:before="160" w:after="40"/>
        <w:jc w:val="center"/>
      </w:pPr>
      <w:r>
        <w:drawing>
          <wp:inline xmlns:a="http://schemas.openxmlformats.org/drawingml/2006/main" xmlns:pic="http://schemas.openxmlformats.org/drawingml/2006/picture">
            <wp:extent cx="5669280" cy="2275360"/>
            <wp:docPr id="22" name="Picture 22"/>
            <wp:cNvGraphicFramePr>
              <a:graphicFrameLocks noChangeAspect="1"/>
            </wp:cNvGraphicFramePr>
            <a:graphic>
              <a:graphicData uri="http://schemas.openxmlformats.org/drawingml/2006/picture">
                <pic:pic>
                  <pic:nvPicPr>
                    <pic:cNvPr id="0" name="fig-cache.png"/>
                    <pic:cNvPicPr/>
                  </pic:nvPicPr>
                  <pic:blipFill>
                    <a:blip r:embed="rId30"/>
                    <a:stretch>
                      <a:fillRect/>
                    </a:stretch>
                  </pic:blipFill>
                  <pic:spPr>
                    <a:xfrm>
                      <a:off x="0" y="0"/>
                      <a:ext cx="5669280" cy="2275360"/>
                    </a:xfrm>
                    <a:prstGeom prst="rect"/>
                  </pic:spPr>
                </pic:pic>
              </a:graphicData>
            </a:graphic>
          </wp:inline>
        </w:drawing>
      </w:r>
    </w:p>
    <w:p>
      <w:pPr>
        <w:spacing w:after="280"/>
        <w:jc w:val="center"/>
      </w:pPr>
      <w:r>
        <w:rPr>
          <w:i/>
          <w:color w:val="595959"/>
          <w:sz w:val="18"/>
        </w:rPr>
        <w:t>Figure 22: pg_statio_user_tables: every read was served from shared_buffers.</w:t>
      </w:r>
    </w:p>
    <w:p>
      <w:r>
        <w:t>The cache hit ratio is 100%, which is worth interpreting rather than celebrating. exampledb is 16 MB and the default shared_buffers is 128 MB, so the entire database fits in memory several times over. It also explains why the improvements in Step 2 are measured in microseconds: no query in this exercise ever waited on a disk. On a database larger than RAM the same index changes would show much larger gains, because the buffer reduction of 128 blocks to 17 would be 111 fewer trips to storage rather than 111 fewer memory lookups.</w:t>
      </w:r>
    </w:p>
    <w:p>
      <w:pPr>
        <w:pStyle w:val="Heading1"/>
      </w:pPr>
      <w:r>
        <w:t>Configuration</w:t>
      </w:r>
    </w:p>
    <w:p>
      <w:pPr>
        <w:spacing w:before="160" w:after="40"/>
        <w:jc w:val="center"/>
      </w:pPr>
      <w:r>
        <w:drawing>
          <wp:inline xmlns:a="http://schemas.openxmlformats.org/drawingml/2006/main" xmlns:pic="http://schemas.openxmlformats.org/drawingml/2006/picture">
            <wp:extent cx="5120640" cy="2707366"/>
            <wp:docPr id="23" name="Picture 23"/>
            <wp:cNvGraphicFramePr>
              <a:graphicFrameLocks noChangeAspect="1"/>
            </wp:cNvGraphicFramePr>
            <a:graphic>
              <a:graphicData uri="http://schemas.openxmlformats.org/drawingml/2006/picture">
                <pic:pic>
                  <pic:nvPicPr>
                    <pic:cNvPr id="0" name="fig-tuning-before.png"/>
                    <pic:cNvPicPr/>
                  </pic:nvPicPr>
                  <pic:blipFill>
                    <a:blip r:embed="rId31"/>
                    <a:stretch>
                      <a:fillRect/>
                    </a:stretch>
                  </pic:blipFill>
                  <pic:spPr>
                    <a:xfrm>
                      <a:off x="0" y="0"/>
                      <a:ext cx="5120640" cy="2707366"/>
                    </a:xfrm>
                    <a:prstGeom prst="rect"/>
                  </pic:spPr>
                </pic:pic>
              </a:graphicData>
            </a:graphic>
          </wp:inline>
        </w:drawing>
      </w:r>
    </w:p>
    <w:p>
      <w:pPr>
        <w:spacing w:after="280"/>
        <w:jc w:val="center"/>
      </w:pPr>
      <w:r>
        <w:rPr>
          <w:i/>
          <w:color w:val="595959"/>
          <w:sz w:val="18"/>
        </w:rPr>
        <w:t>Figure 23: The defaults. shared_buffers of 128 MB on a machine with 31 GB.</w:t>
      </w:r>
    </w:p>
    <w:p>
      <w:r>
        <w:t>The defaults are deliberately conservative so that PostgreSQL starts on almost anything, which means they are wrong for any real server. The values below were sized from the machine actually being used — 31,560 MB of RAM across 8 cores — rather than copied from a guide.</w:t>
      </w:r>
    </w:p>
    <w:tbl>
      <w:tblPr>
        <w:tblStyle w:val="TableGrid"/>
        <w:tblW w:type="auto" w:w="0"/>
        <w:jc w:val="center"/>
        <w:tblLayout w:type="fixed"/>
        <w:tblLook w:firstColumn="1" w:firstRow="1" w:lastColumn="0" w:lastRow="0" w:noHBand="0" w:noVBand="1" w:val="04A0"/>
      </w:tblPr>
      <w:tblGrid>
        <w:gridCol w:w="2160"/>
        <w:gridCol w:w="1080"/>
        <w:gridCol w:w="1080"/>
        <w:gridCol w:w="4752"/>
      </w:tblGrid>
      <w:tr>
        <w:tc>
          <w:tcPr>
            <w:tcW w:type="dxa" w:w="2160"/>
          </w:tcPr>
          <w:p>
            <w:r/>
            <w:r>
              <w:rPr>
                <w:b/>
                <w:sz w:val="20"/>
              </w:rPr>
              <w:t>Parameter</w:t>
            </w:r>
          </w:p>
        </w:tc>
        <w:tc>
          <w:tcPr>
            <w:tcW w:type="dxa" w:w="1080"/>
          </w:tcPr>
          <w:p>
            <w:r/>
            <w:r>
              <w:rPr>
                <w:b/>
                <w:sz w:val="20"/>
              </w:rPr>
              <w:t>Default</w:t>
            </w:r>
          </w:p>
        </w:tc>
        <w:tc>
          <w:tcPr>
            <w:tcW w:type="dxa" w:w="1080"/>
          </w:tcPr>
          <w:p>
            <w:r/>
            <w:r>
              <w:rPr>
                <w:b/>
                <w:sz w:val="20"/>
              </w:rPr>
              <w:t>Set to</w:t>
            </w:r>
          </w:p>
        </w:tc>
        <w:tc>
          <w:tcPr>
            <w:tcW w:type="dxa" w:w="4752"/>
          </w:tcPr>
          <w:p>
            <w:r/>
            <w:r>
              <w:rPr>
                <w:b/>
                <w:sz w:val="20"/>
              </w:rPr>
              <w:t>Reasoning</w:t>
            </w:r>
          </w:p>
        </w:tc>
      </w:tr>
      <w:tr>
        <w:tc>
          <w:tcPr>
            <w:tcW w:type="dxa" w:w="2160"/>
          </w:tcPr>
          <w:p>
            <w:r/>
            <w:r>
              <w:rPr>
                <w:sz w:val="20"/>
              </w:rPr>
              <w:t>shared_buffers</w:t>
            </w:r>
          </w:p>
        </w:tc>
        <w:tc>
          <w:tcPr>
            <w:tcW w:type="dxa" w:w="1080"/>
          </w:tcPr>
          <w:p>
            <w:r/>
            <w:r>
              <w:rPr>
                <w:sz w:val="20"/>
              </w:rPr>
              <w:t>128 MB</w:t>
            </w:r>
          </w:p>
        </w:tc>
        <w:tc>
          <w:tcPr>
            <w:tcW w:type="dxa" w:w="1080"/>
          </w:tcPr>
          <w:p>
            <w:r/>
            <w:r>
              <w:rPr>
                <w:sz w:val="20"/>
              </w:rPr>
              <w:t>7890 MB</w:t>
            </w:r>
          </w:p>
        </w:tc>
        <w:tc>
          <w:tcPr>
            <w:tcW w:type="dxa" w:w="4752"/>
          </w:tcPr>
          <w:p>
            <w:r/>
            <w:r>
              <w:rPr>
                <w:sz w:val="20"/>
              </w:rPr>
              <w:t>25% of RAM, the conventional starting point; PostgreSQL relies on the OS page cache for the rest</w:t>
            </w:r>
          </w:p>
        </w:tc>
      </w:tr>
      <w:tr>
        <w:tc>
          <w:tcPr>
            <w:tcW w:type="dxa" w:w="2160"/>
          </w:tcPr>
          <w:p>
            <w:r/>
            <w:r>
              <w:rPr>
                <w:sz w:val="20"/>
              </w:rPr>
              <w:t>effective_cache_size</w:t>
            </w:r>
          </w:p>
        </w:tc>
        <w:tc>
          <w:tcPr>
            <w:tcW w:type="dxa" w:w="1080"/>
          </w:tcPr>
          <w:p>
            <w:r/>
            <w:r>
              <w:rPr>
                <w:sz w:val="20"/>
              </w:rPr>
              <w:t>4 GB</w:t>
            </w:r>
          </w:p>
        </w:tc>
        <w:tc>
          <w:tcPr>
            <w:tcW w:type="dxa" w:w="1080"/>
          </w:tcPr>
          <w:p>
            <w:r/>
            <w:r>
              <w:rPr>
                <w:sz w:val="20"/>
              </w:rPr>
              <w:t>23 GB</w:t>
            </w:r>
          </w:p>
        </w:tc>
        <w:tc>
          <w:tcPr>
            <w:tcW w:type="dxa" w:w="4752"/>
          </w:tcPr>
          <w:p>
            <w:r/>
            <w:r>
              <w:rPr>
                <w:sz w:val="20"/>
              </w:rPr>
              <w:t>75% of RAM. Allocates nothing — it tells the planner how much caching to assume, which makes it favour index scans</w:t>
            </w:r>
          </w:p>
        </w:tc>
      </w:tr>
      <w:tr>
        <w:tc>
          <w:tcPr>
            <w:tcW w:type="dxa" w:w="2160"/>
          </w:tcPr>
          <w:p>
            <w:r/>
            <w:r>
              <w:rPr>
                <w:sz w:val="20"/>
              </w:rPr>
              <w:t>work_mem</w:t>
            </w:r>
          </w:p>
        </w:tc>
        <w:tc>
          <w:tcPr>
            <w:tcW w:type="dxa" w:w="1080"/>
          </w:tcPr>
          <w:p>
            <w:r/>
            <w:r>
              <w:rPr>
                <w:sz w:val="20"/>
              </w:rPr>
              <w:t>4 MB</w:t>
            </w:r>
          </w:p>
        </w:tc>
        <w:tc>
          <w:tcPr>
            <w:tcW w:type="dxa" w:w="1080"/>
          </w:tcPr>
          <w:p>
            <w:r/>
            <w:r>
              <w:rPr>
                <w:sz w:val="20"/>
              </w:rPr>
              <w:t>32 MB</w:t>
            </w:r>
          </w:p>
        </w:tc>
        <w:tc>
          <w:tcPr>
            <w:tcW w:type="dxa" w:w="4752"/>
          </w:tcPr>
          <w:p>
            <w:r/>
            <w:r>
              <w:rPr>
                <w:sz w:val="20"/>
              </w:rPr>
              <w:t>Per sort or hash, not per connection, so it multiplies; raised modestly to keep sorts out of temporary files</w:t>
            </w:r>
          </w:p>
        </w:tc>
      </w:tr>
      <w:tr>
        <w:tc>
          <w:tcPr>
            <w:tcW w:type="dxa" w:w="2160"/>
          </w:tcPr>
          <w:p>
            <w:r/>
            <w:r>
              <w:rPr>
                <w:sz w:val="20"/>
              </w:rPr>
              <w:t>maintenance_work_mem</w:t>
            </w:r>
          </w:p>
        </w:tc>
        <w:tc>
          <w:tcPr>
            <w:tcW w:type="dxa" w:w="1080"/>
          </w:tcPr>
          <w:p>
            <w:r/>
            <w:r>
              <w:rPr>
                <w:sz w:val="20"/>
              </w:rPr>
              <w:t>512 MB</w:t>
            </w:r>
          </w:p>
        </w:tc>
        <w:tc>
          <w:tcPr>
            <w:tcW w:type="dxa" w:w="1080"/>
          </w:tcPr>
          <w:p>
            <w:r/>
            <w:r>
              <w:rPr>
                <w:sz w:val="20"/>
              </w:rPr>
              <w:t>512 MB</w:t>
            </w:r>
          </w:p>
        </w:tc>
        <w:tc>
          <w:tcPr>
            <w:tcW w:type="dxa" w:w="4752"/>
          </w:tcPr>
          <w:p>
            <w:r/>
            <w:r>
              <w:rPr>
                <w:sz w:val="20"/>
              </w:rPr>
              <w:t>Used by CREATE INDEX and VACUUM, which run few at a time, so it can be far larger than work_mem</w:t>
            </w:r>
          </w:p>
        </w:tc>
      </w:tr>
      <w:tr>
        <w:tc>
          <w:tcPr>
            <w:tcW w:type="dxa" w:w="2160"/>
          </w:tcPr>
          <w:p>
            <w:r/>
            <w:r>
              <w:rPr>
                <w:sz w:val="20"/>
              </w:rPr>
              <w:t>random_page_cost</w:t>
            </w:r>
          </w:p>
        </w:tc>
        <w:tc>
          <w:tcPr>
            <w:tcW w:type="dxa" w:w="1080"/>
          </w:tcPr>
          <w:p>
            <w:r/>
            <w:r>
              <w:rPr>
                <w:sz w:val="20"/>
              </w:rPr>
              <w:t>4</w:t>
            </w:r>
          </w:p>
        </w:tc>
        <w:tc>
          <w:tcPr>
            <w:tcW w:type="dxa" w:w="1080"/>
          </w:tcPr>
          <w:p>
            <w:r/>
            <w:r>
              <w:rPr>
                <w:sz w:val="20"/>
              </w:rPr>
              <w:t>1.1</w:t>
            </w:r>
          </w:p>
        </w:tc>
        <w:tc>
          <w:tcPr>
            <w:tcW w:type="dxa" w:w="4752"/>
          </w:tcPr>
          <w:p>
            <w:r/>
            <w:r>
              <w:rPr>
                <w:sz w:val="20"/>
              </w:rPr>
              <w:t>The default assumes spinning disks. On SSD a random read costs nearly what a sequential one does, and leaving it at 4 makes the planner avoid indexes it should use</w:t>
            </w:r>
          </w:p>
        </w:tc>
      </w:tr>
    </w:tbl>
    <w:p/>
    <w:p>
      <w:r>
        <w:t>shared_buffers is the one that needs a restart rather than a reload, because it allocates a shared memory segment at startup. The other four would have taken a reload.</w:t>
      </w:r>
    </w:p>
    <w:p>
      <w:pPr>
        <w:spacing w:before="160" w:after="40"/>
        <w:jc w:val="center"/>
      </w:pPr>
      <w:r>
        <w:drawing>
          <wp:inline xmlns:a="http://schemas.openxmlformats.org/drawingml/2006/main" xmlns:pic="http://schemas.openxmlformats.org/drawingml/2006/picture">
            <wp:extent cx="5669280" cy="3429065"/>
            <wp:docPr id="24" name="Picture 24"/>
            <wp:cNvGraphicFramePr>
              <a:graphicFrameLocks noChangeAspect="1"/>
            </wp:cNvGraphicFramePr>
            <a:graphic>
              <a:graphicData uri="http://schemas.openxmlformats.org/drawingml/2006/picture">
                <pic:pic>
                  <pic:nvPicPr>
                    <pic:cNvPr id="0" name="fig-tuning-after.png"/>
                    <pic:cNvPicPr/>
                  </pic:nvPicPr>
                  <pic:blipFill>
                    <a:blip r:embed="rId32"/>
                    <a:stretch>
                      <a:fillRect/>
                    </a:stretch>
                  </pic:blipFill>
                  <pic:spPr>
                    <a:xfrm>
                      <a:off x="0" y="0"/>
                      <a:ext cx="5669280" cy="3429065"/>
                    </a:xfrm>
                    <a:prstGeom prst="rect"/>
                  </pic:spPr>
                </pic:pic>
              </a:graphicData>
            </a:graphic>
          </wp:inline>
        </w:drawing>
      </w:r>
    </w:p>
    <w:p>
      <w:pPr>
        <w:spacing w:after="280"/>
        <w:jc w:val="center"/>
      </w:pPr>
      <w:r>
        <w:rPr>
          <w:i/>
          <w:color w:val="595959"/>
          <w:sz w:val="18"/>
        </w:rPr>
        <w:t>Figure 24: The five parameters in effect after the restart, and the replica back in streaming state.</w:t>
      </w:r>
    </w:p>
    <w:p>
      <w:r>
        <w:t>The second half of that screenshot is there on purpose. Restarting the primary drops the replica's connection, and it reconnects on its own when it next retries — the interval is wal_retrieve_retry_interval, 5 seconds by default. Querying pg_stat_replication sooner than that returns no rows and looks exactly like replication having broken, which is what happened on the first attempt at this capture.</w:t>
      </w:r>
    </w:p>
    <w:p>
      <w:pPr>
        <w:pStyle w:val="Heading1"/>
      </w:pPr>
      <w:r>
        <w:t>Findings and Recommendations</w:t>
      </w:r>
    </w:p>
    <w:p>
      <w:r>
        <w:t>The indexes did what they were meant to. Q1 went from reading all 14,596 rows to reading 308, 17.5x faster over 200 runs with buffer reads down from 128 to 17. Q2 kept the same speed to within a microsecond or two but lost a Sort node, which is the change that will matter as the table grows.</w:t>
      </w:r>
    </w:p>
    <w:p>
      <w:r>
        <w:t>The clearer lesson is about what the numbers do and do not show. This database is 16 MB and fits entirely in cache, so every measurement here is of CPU and memory work, never of disk. That makes the millisecond figures the least transferable thing in this report and the buffer counts and plan shapes the most: those are deterministic, and on a database that does not fit in RAM they are what turns into real time.</w:t>
      </w:r>
    </w:p>
    <w:p>
      <w:r>
        <w:t>Recommendations, in the order worth acting on:</w:t>
      </w:r>
    </w:p>
    <w:p>
      <w:pPr>
        <w:pStyle w:val="ListBullet"/>
      </w:pPr>
      <w:r>
        <w:t>Leave pg_stat_statements enabled permanently. Every indexing decision in this report came out of it, and it costs very little.</w:t>
      </w:r>
    </w:p>
    <w:p>
      <w:pPr>
        <w:pStyle w:val="ListBullet"/>
      </w:pPr>
      <w:r>
        <w:t>Re-check pg_stat_user_indexes after a representative period, not after a synthetic workload. Three indexes on payment show zero scans here, which is a question to investigate rather than an answer.</w:t>
      </w:r>
    </w:p>
    <w:p>
      <w:pPr>
        <w:pStyle w:val="ListBullet"/>
      </w:pPr>
      <w:r>
        <w:t>Apply the same configuration to the replica. It was cloned before the parameters were changed, so it is still running the defaults — which is a problem the moment it is promoted or used to serve reads.</w:t>
      </w:r>
    </w:p>
    <w:p>
      <w:pPr>
        <w:pStyle w:val="ListBullet"/>
      </w:pPr>
      <w:r>
        <w:t>Consider making the replica synchronous only if losing recently committed transactions on failover is unacceptable, and accept that every commit on the primary then waits for it.</w:t>
      </w:r>
    </w:p>
    <w:p>
      <w:pPr>
        <w:pStyle w:val="ListBullet"/>
      </w:pPr>
      <w:r>
        <w:t>Do the indexing work again against production-sized data. The plans chosen here are correct, but the planner's choices depend on table statistics, and 14,596 rows is small enough that it will sometimes prefer a sequential scan on principle.</w:t>
      </w:r>
    </w:p>
    <w:p>
      <w:r>
        <w:t>A note on presentation: the shell prompts in the figures are shown as PowerShell to match the earlier assignments in this series. The psql output is unedited apart from shortening the absolute cluster paths to the short names used in this report, which setup.sh does to its own captures so that the shortening is applied consistently rather than by hand.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