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776A1" w14:textId="77777777" w:rsidR="00164A6F" w:rsidRPr="00413F82" w:rsidRDefault="003B0F04">
      <w:pPr>
        <w:rPr>
          <w:b/>
          <w:sz w:val="24"/>
          <w:lang w:val="en-US"/>
        </w:rPr>
      </w:pPr>
      <w:r w:rsidRPr="00413F82">
        <w:rPr>
          <w:b/>
          <w:sz w:val="24"/>
          <w:lang w:val="en-US"/>
        </w:rPr>
        <w:t xml:space="preserve">Specific </w:t>
      </w:r>
      <w:r w:rsidR="00413F82" w:rsidRPr="00413F82">
        <w:rPr>
          <w:b/>
          <w:sz w:val="24"/>
          <w:lang w:val="en-US"/>
        </w:rPr>
        <w:t>Question</w:t>
      </w:r>
      <w:r w:rsidRPr="00413F82">
        <w:rPr>
          <w:b/>
          <w:sz w:val="24"/>
          <w:lang w:val="en-US"/>
        </w:rPr>
        <w:t>:</w:t>
      </w:r>
    </w:p>
    <w:p w14:paraId="604EE583" w14:textId="77777777" w:rsidR="00413F82" w:rsidRDefault="00413F82" w:rsidP="00413F82">
      <w:p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 xml:space="preserve">We want to build the relation chain from diffusion coefficient D </w:t>
      </w:r>
      <w:r w:rsidRPr="00413F82">
        <w:rPr>
          <w:rFonts w:eastAsiaTheme="minorEastAsia"/>
          <w:sz w:val="24"/>
          <w:szCs w:val="28"/>
          <w:lang w:val="en-US"/>
        </w:rPr>
        <w:sym w:font="Wingdings" w:char="F0E0"/>
      </w:r>
      <w:r>
        <w:rPr>
          <w:rFonts w:eastAsiaTheme="minorEastAsia"/>
          <w:sz w:val="24"/>
          <w:szCs w:val="28"/>
          <w:lang w:val="en-US"/>
        </w:rPr>
        <w:t xml:space="preserve"> activation energy E</w:t>
      </w:r>
      <w:r w:rsidRPr="00413F82">
        <w:rPr>
          <w:rFonts w:eastAsiaTheme="minorEastAsia"/>
          <w:sz w:val="24"/>
          <w:szCs w:val="28"/>
          <w:vertAlign w:val="subscript"/>
          <w:lang w:val="en-US"/>
        </w:rPr>
        <w:t>A</w:t>
      </w:r>
      <w:r>
        <w:rPr>
          <w:rFonts w:eastAsiaTheme="minorEastAsia"/>
          <w:sz w:val="24"/>
          <w:szCs w:val="28"/>
          <w:lang w:val="en-US"/>
        </w:rPr>
        <w:t xml:space="preserve"> </w:t>
      </w:r>
      <w:r w:rsidRPr="00413F82">
        <w:rPr>
          <w:rFonts w:eastAsiaTheme="minorEastAsia"/>
          <w:sz w:val="24"/>
          <w:szCs w:val="28"/>
          <w:lang w:val="en-US"/>
        </w:rPr>
        <w:sym w:font="Wingdings" w:char="F0E0"/>
      </w:r>
      <w:r>
        <w:rPr>
          <w:rFonts w:eastAsiaTheme="minorEastAsia"/>
          <w:sz w:val="24"/>
          <w:szCs w:val="28"/>
          <w:lang w:val="en-US"/>
        </w:rPr>
        <w:t xml:space="preserve"> hopping length L </w:t>
      </w:r>
      <w:r w:rsidRPr="00413F82">
        <w:rPr>
          <w:rFonts w:eastAsiaTheme="minorEastAsia"/>
          <w:sz w:val="24"/>
          <w:szCs w:val="28"/>
          <w:lang w:val="en-US"/>
        </w:rPr>
        <w:sym w:font="Wingdings" w:char="F0E0"/>
      </w:r>
      <w:r>
        <w:rPr>
          <w:rFonts w:eastAsiaTheme="minorEastAsia"/>
          <w:sz w:val="24"/>
          <w:szCs w:val="28"/>
          <w:lang w:val="en-US"/>
        </w:rPr>
        <w:t xml:space="preserve"> structure data</w:t>
      </w:r>
    </w:p>
    <w:p w14:paraId="4DC7C980" w14:textId="77777777" w:rsidR="00634C65" w:rsidRDefault="00634C65" w:rsidP="00413F82">
      <w:pPr>
        <w:rPr>
          <w:rFonts w:eastAsiaTheme="minorEastAsia"/>
          <w:sz w:val="24"/>
          <w:szCs w:val="28"/>
          <w:lang w:val="en-US"/>
        </w:rPr>
      </w:pPr>
    </w:p>
    <w:p w14:paraId="048A1775" w14:textId="77777777" w:rsidR="00634C65" w:rsidRDefault="00634C65" w:rsidP="00634C65">
      <w:p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 xml:space="preserve">From POWGEN structure analysis (at 300K) we got the Li </w:t>
      </w:r>
      <w:r w:rsidRPr="007F6987">
        <w:rPr>
          <w:rFonts w:eastAsiaTheme="minorEastAsia"/>
          <w:sz w:val="24"/>
          <w:szCs w:val="28"/>
          <w:lang w:val="en-US"/>
        </w:rPr>
        <w:sym w:font="Wingdings" w:char="F0E0"/>
      </w:r>
      <w:r>
        <w:rPr>
          <w:rFonts w:eastAsiaTheme="minorEastAsia"/>
          <w:sz w:val="24"/>
          <w:szCs w:val="28"/>
          <w:lang w:val="en-US"/>
        </w:rPr>
        <w:t xml:space="preserve"> Li site distances. I determined them for all three structures (tetragonal LLZO, 36Al-LLZO and 60Ta-LLZO) with Diamond 4 crystal structure software, so we can compare them.</w:t>
      </w:r>
    </w:p>
    <w:p w14:paraId="40B2A2D2" w14:textId="77777777" w:rsidR="00413F82" w:rsidRPr="00413F82" w:rsidRDefault="00413F82">
      <w:pPr>
        <w:rPr>
          <w:b/>
          <w:sz w:val="24"/>
          <w:lang w:val="en-US"/>
        </w:rPr>
      </w:pPr>
    </w:p>
    <w:p w14:paraId="201D186D" w14:textId="77777777" w:rsidR="003B0F04" w:rsidRDefault="003B0F04">
      <w:pPr>
        <w:rPr>
          <w:sz w:val="24"/>
          <w:lang w:val="en-US"/>
        </w:rPr>
      </w:pPr>
      <w:r w:rsidRPr="003B0F04">
        <w:rPr>
          <w:sz w:val="24"/>
          <w:lang w:val="en-US"/>
        </w:rPr>
        <w:t>I read about Chudney-Elliot Equation</w:t>
      </w:r>
      <w:r>
        <w:rPr>
          <w:sz w:val="24"/>
          <w:lang w:val="en-US"/>
        </w:rPr>
        <w:t xml:space="preserve"> (CEEq) in Hempelmann’s book “</w:t>
      </w:r>
      <w:r w:rsidRPr="003B0F04">
        <w:rPr>
          <w:i/>
          <w:sz w:val="24"/>
          <w:lang w:val="en-US"/>
        </w:rPr>
        <w:t>QENS and solid state diffusion</w:t>
      </w:r>
      <w:r>
        <w:rPr>
          <w:i/>
          <w:sz w:val="24"/>
          <w:lang w:val="en-US"/>
        </w:rPr>
        <w:t>”</w:t>
      </w:r>
      <w:r>
        <w:rPr>
          <w:sz w:val="24"/>
          <w:lang w:val="en-US"/>
        </w:rPr>
        <w:t xml:space="preserve"> [year 2000] (p. 118-119) that CEEq is useful for calculation the Diffusion coefficient at large Q-values (&gt;1 Å</w:t>
      </w:r>
      <w:r w:rsidRPr="003B0F04">
        <w:rPr>
          <w:sz w:val="24"/>
          <w:vertAlign w:val="superscript"/>
          <w:lang w:val="en-US"/>
        </w:rPr>
        <w:t>-1</w:t>
      </w:r>
      <w:r>
        <w:rPr>
          <w:sz w:val="24"/>
          <w:lang w:val="en-US"/>
        </w:rPr>
        <w:t>) and that for small Q-values Fick’s 1</w:t>
      </w:r>
      <w:r w:rsidRPr="003B0F04">
        <w:rPr>
          <w:sz w:val="24"/>
          <w:vertAlign w:val="superscript"/>
          <w:lang w:val="en-US"/>
        </w:rPr>
        <w:t>st</w:t>
      </w:r>
      <w:r>
        <w:rPr>
          <w:sz w:val="24"/>
          <w:lang w:val="en-US"/>
        </w:rPr>
        <w:t xml:space="preserve"> law (F1</w:t>
      </w:r>
      <w:r w:rsidR="00CE6691" w:rsidRPr="00CE6691">
        <w:rPr>
          <w:sz w:val="24"/>
          <w:vertAlign w:val="superscript"/>
          <w:lang w:val="en-US"/>
        </w:rPr>
        <w:t>st</w:t>
      </w:r>
      <w:r>
        <w:rPr>
          <w:sz w:val="24"/>
          <w:lang w:val="en-US"/>
        </w:rPr>
        <w:t>L) can be used. This is basic we all know.</w:t>
      </w:r>
    </w:p>
    <w:p w14:paraId="173EC1AD" w14:textId="77777777" w:rsidR="003B0F04" w:rsidRDefault="003B0F04">
      <w:pPr>
        <w:rPr>
          <w:rFonts w:eastAsiaTheme="minorEastAsia"/>
          <w:sz w:val="24"/>
          <w:lang w:val="en-US"/>
        </w:rPr>
      </w:pPr>
      <w:r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32"/>
            <w:lang w:val="en-US"/>
          </w:rPr>
          <m:t>CEEq</m:t>
        </m:r>
        <m:r>
          <w:rPr>
            <w:rFonts w:ascii="Cambria Math" w:hAnsi="Cambria Math"/>
            <w:sz w:val="28"/>
            <w:lang w:val="en-US"/>
          </w:rPr>
          <m:t xml:space="preserve">:   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HWHM</m:t>
            </m:r>
          </m:e>
        </m:d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ħ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τ</m:t>
            </m:r>
          </m:den>
        </m:f>
        <m:r>
          <w:rPr>
            <w:rFonts w:ascii="Cambria Math" w:hAnsi="Cambria Math"/>
            <w:sz w:val="28"/>
            <w:lang w:val="en-US"/>
          </w:rPr>
          <m:t>[1-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 xml:space="preserve">-(D τ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)</m:t>
            </m:r>
          </m:sup>
        </m:sSup>
        <m:r>
          <w:rPr>
            <w:rFonts w:ascii="Cambria Math" w:hAnsi="Cambria Math"/>
            <w:sz w:val="28"/>
            <w:lang w:val="en-US"/>
          </w:rPr>
          <m:t>]</m:t>
        </m:r>
      </m:oMath>
      <w:r>
        <w:rPr>
          <w:rFonts w:eastAsiaTheme="minorEastAsia"/>
          <w:sz w:val="24"/>
          <w:lang w:val="en-US"/>
        </w:rPr>
        <w:tab/>
      </w:r>
    </w:p>
    <w:p w14:paraId="5D98C68A" w14:textId="77777777" w:rsidR="003B0F04" w:rsidRDefault="003B0F04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L:        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HWHM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 xml:space="preserve">&gt;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6 τ</m:t>
            </m:r>
          </m:den>
        </m:f>
      </m:oMath>
      <w:r w:rsidR="007F6987">
        <w:rPr>
          <w:rFonts w:eastAsiaTheme="minorEastAsia"/>
          <w:sz w:val="28"/>
          <w:szCs w:val="28"/>
          <w:lang w:val="en-US"/>
        </w:rPr>
        <w:tab/>
      </w:r>
    </w:p>
    <w:p w14:paraId="49057AEB" w14:textId="77777777" w:rsidR="007F6987" w:rsidRDefault="007F6987">
      <w:pPr>
        <w:rPr>
          <w:rFonts w:eastAsiaTheme="minorEastAsia"/>
          <w:sz w:val="24"/>
          <w:szCs w:val="28"/>
          <w:lang w:val="en-US"/>
        </w:rPr>
      </w:pPr>
    </w:p>
    <w:p w14:paraId="72495A97" w14:textId="77777777" w:rsidR="007F6987" w:rsidRDefault="007F6987">
      <w:p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>As I noticed that the jump distance L can be determined by F</w:t>
      </w:r>
      <w:r w:rsidR="00413F82">
        <w:rPr>
          <w:rFonts w:eastAsiaTheme="minorEastAsia"/>
          <w:sz w:val="24"/>
          <w:szCs w:val="28"/>
          <w:lang w:val="en-US"/>
        </w:rPr>
        <w:t xml:space="preserve">ick’s </w:t>
      </w:r>
      <w:r>
        <w:rPr>
          <w:rFonts w:eastAsiaTheme="minorEastAsia"/>
          <w:sz w:val="24"/>
          <w:szCs w:val="28"/>
          <w:lang w:val="en-US"/>
        </w:rPr>
        <w:t>1</w:t>
      </w:r>
      <w:r w:rsidR="00413F82" w:rsidRPr="00413F82">
        <w:rPr>
          <w:rFonts w:eastAsiaTheme="minorEastAsia"/>
          <w:sz w:val="24"/>
          <w:szCs w:val="28"/>
          <w:vertAlign w:val="superscript"/>
          <w:lang w:val="en-US"/>
        </w:rPr>
        <w:t>st</w:t>
      </w:r>
      <w:r w:rsidR="00413F82">
        <w:rPr>
          <w:rFonts w:eastAsiaTheme="minorEastAsia"/>
          <w:sz w:val="24"/>
          <w:szCs w:val="28"/>
          <w:lang w:val="en-US"/>
        </w:rPr>
        <w:t xml:space="preserve"> </w:t>
      </w:r>
      <w:r>
        <w:rPr>
          <w:rFonts w:eastAsiaTheme="minorEastAsia"/>
          <w:sz w:val="24"/>
          <w:szCs w:val="28"/>
          <w:lang w:val="en-US"/>
        </w:rPr>
        <w:t>L</w:t>
      </w:r>
      <w:r w:rsidR="00413F82">
        <w:rPr>
          <w:rFonts w:eastAsiaTheme="minorEastAsia"/>
          <w:sz w:val="24"/>
          <w:szCs w:val="28"/>
          <w:lang w:val="en-US"/>
        </w:rPr>
        <w:t>aw, too</w:t>
      </w:r>
      <w:r>
        <w:rPr>
          <w:rFonts w:eastAsiaTheme="minorEastAsia"/>
          <w:sz w:val="24"/>
          <w:szCs w:val="28"/>
          <w:lang w:val="en-US"/>
        </w:rPr>
        <w:t>, that makes everything a little bit easier for us, as we only work at small Q-range of 0.3-1.1 Å</w:t>
      </w:r>
      <w:r w:rsidRPr="007F6987">
        <w:rPr>
          <w:rFonts w:eastAsiaTheme="minorEastAsia"/>
          <w:sz w:val="24"/>
          <w:szCs w:val="28"/>
          <w:vertAlign w:val="superscript"/>
          <w:lang w:val="en-US"/>
        </w:rPr>
        <w:t>-1</w:t>
      </w:r>
      <w:r>
        <w:rPr>
          <w:rFonts w:eastAsiaTheme="minorEastAsia"/>
          <w:sz w:val="24"/>
          <w:szCs w:val="28"/>
          <w:lang w:val="en-US"/>
        </w:rPr>
        <w:t xml:space="preserve">. </w:t>
      </w:r>
    </w:p>
    <w:p w14:paraId="03254F2A" w14:textId="77777777" w:rsidR="008A5BA5" w:rsidRDefault="008A5BA5">
      <w:pPr>
        <w:rPr>
          <w:rFonts w:eastAsiaTheme="minorEastAsia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6 D τ</m:t>
              </m:r>
            </m:e>
          </m:rad>
        </m:oMath>
      </m:oMathPara>
    </w:p>
    <w:p w14:paraId="495ABEEC" w14:textId="77777777" w:rsidR="007F6987" w:rsidRDefault="007F6987">
      <w:p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 xml:space="preserve">The residence time </w:t>
      </w:r>
      <w:r w:rsidRPr="007F6987">
        <w:rPr>
          <w:rFonts w:eastAsiaTheme="minorEastAsia"/>
          <w:b/>
          <w:sz w:val="28"/>
          <w:szCs w:val="28"/>
          <w:lang w:val="en-US"/>
        </w:rPr>
        <w:t>τ</w:t>
      </w:r>
      <w:r>
        <w:rPr>
          <w:rFonts w:eastAsiaTheme="minorEastAsia"/>
          <w:sz w:val="24"/>
          <w:szCs w:val="28"/>
          <w:lang w:val="en-US"/>
        </w:rPr>
        <w:t xml:space="preserve"> can be determined by the equation, with </w:t>
      </w:r>
      <w:r w:rsidRPr="00634C65">
        <w:rPr>
          <w:rFonts w:eastAsiaTheme="minorEastAsia"/>
          <w:b/>
          <w:sz w:val="24"/>
          <w:szCs w:val="28"/>
          <w:lang w:val="en-US"/>
        </w:rPr>
        <w:t>τ</w:t>
      </w:r>
      <w:r w:rsidRPr="00634C65">
        <w:rPr>
          <w:rFonts w:eastAsiaTheme="minorEastAsia"/>
          <w:b/>
          <w:sz w:val="24"/>
          <w:szCs w:val="28"/>
          <w:vertAlign w:val="subscript"/>
          <w:lang w:val="en-US"/>
        </w:rPr>
        <w:t>0</w:t>
      </w:r>
      <w:r>
        <w:rPr>
          <w:rFonts w:eastAsiaTheme="minorEastAsia"/>
          <w:sz w:val="24"/>
          <w:szCs w:val="28"/>
          <w:vertAlign w:val="subscript"/>
          <w:lang w:val="en-US"/>
        </w:rPr>
        <w:t xml:space="preserve"> </w:t>
      </w:r>
      <w:r w:rsidRPr="007F6987">
        <w:rPr>
          <w:rFonts w:eastAsiaTheme="minorEastAsia"/>
          <w:sz w:val="24"/>
          <w:szCs w:val="28"/>
          <w:lang w:val="en-US"/>
        </w:rPr>
        <w:t xml:space="preserve">the </w:t>
      </w:r>
      <w:r>
        <w:rPr>
          <w:rFonts w:eastAsiaTheme="minorEastAsia"/>
          <w:sz w:val="24"/>
          <w:szCs w:val="28"/>
          <w:lang w:val="en-US"/>
        </w:rPr>
        <w:t>pre-exponential factor:</w:t>
      </w:r>
    </w:p>
    <w:p w14:paraId="395B3436" w14:textId="77777777" w:rsidR="007F6987" w:rsidRDefault="007F6987">
      <w:pPr>
        <w:rPr>
          <w:rFonts w:eastAsiaTheme="minorEastAsia"/>
          <w:sz w:val="24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sup>
        </m:sSup>
      </m:oMath>
      <w:r>
        <w:rPr>
          <w:rFonts w:eastAsiaTheme="minorEastAsia"/>
          <w:sz w:val="24"/>
          <w:szCs w:val="28"/>
          <w:lang w:val="en-US"/>
        </w:rPr>
        <w:tab/>
      </w:r>
    </w:p>
    <w:p w14:paraId="7AEEC93D" w14:textId="77777777" w:rsidR="007F6987" w:rsidRDefault="007F6987">
      <w:pPr>
        <w:rPr>
          <w:rFonts w:eastAsiaTheme="minorEastAsia"/>
          <w:sz w:val="24"/>
          <w:szCs w:val="28"/>
          <w:lang w:val="en-US"/>
        </w:rPr>
      </w:pPr>
    </w:p>
    <w:p w14:paraId="35AB3042" w14:textId="77777777" w:rsidR="007F6987" w:rsidRPr="00413F82" w:rsidRDefault="007F6987">
      <w:pPr>
        <w:rPr>
          <w:rFonts w:eastAsiaTheme="minorEastAsia"/>
          <w:b/>
          <w:sz w:val="24"/>
          <w:szCs w:val="28"/>
          <w:lang w:val="en-US"/>
        </w:rPr>
      </w:pPr>
      <w:r w:rsidRPr="00413F82">
        <w:rPr>
          <w:rFonts w:eastAsiaTheme="minorEastAsia"/>
          <w:b/>
          <w:sz w:val="24"/>
          <w:szCs w:val="28"/>
          <w:lang w:val="en-US"/>
        </w:rPr>
        <w:t>Now the question:</w:t>
      </w:r>
    </w:p>
    <w:p w14:paraId="03671AA3" w14:textId="77777777" w:rsidR="007F6987" w:rsidRDefault="007F6987">
      <w:p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>To determine the jump</w:t>
      </w:r>
      <w:r w:rsidR="00634C65">
        <w:rPr>
          <w:rFonts w:eastAsiaTheme="minorEastAsia"/>
          <w:sz w:val="24"/>
          <w:szCs w:val="28"/>
          <w:lang w:val="en-US"/>
        </w:rPr>
        <w:t>/hopping</w:t>
      </w:r>
      <w:r>
        <w:rPr>
          <w:rFonts w:eastAsiaTheme="minorEastAsia"/>
          <w:sz w:val="24"/>
          <w:szCs w:val="28"/>
          <w:lang w:val="en-US"/>
        </w:rPr>
        <w:t xml:space="preserve"> distance L, we need the residence time </w:t>
      </w:r>
      <w:r w:rsidRPr="008A5BA5">
        <w:rPr>
          <w:rFonts w:eastAsiaTheme="minorEastAsia"/>
          <w:b/>
          <w:sz w:val="24"/>
          <w:szCs w:val="28"/>
          <w:lang w:val="en-US"/>
        </w:rPr>
        <w:t>τ</w:t>
      </w:r>
      <w:r>
        <w:rPr>
          <w:rFonts w:eastAsiaTheme="minorEastAsia"/>
          <w:sz w:val="24"/>
          <w:szCs w:val="28"/>
          <w:lang w:val="en-US"/>
        </w:rPr>
        <w:t>. How do we get this</w:t>
      </w:r>
      <w:r w:rsidR="00413F82">
        <w:rPr>
          <w:rFonts w:eastAsiaTheme="minorEastAsia"/>
          <w:sz w:val="24"/>
          <w:szCs w:val="28"/>
          <w:lang w:val="en-US"/>
        </w:rPr>
        <w:t xml:space="preserve"> </w:t>
      </w:r>
      <w:r w:rsidR="008A5BA5">
        <w:rPr>
          <w:rFonts w:eastAsiaTheme="minorEastAsia"/>
          <w:sz w:val="24"/>
          <w:szCs w:val="28"/>
          <w:lang w:val="en-US"/>
        </w:rPr>
        <w:t xml:space="preserve">residence time </w:t>
      </w:r>
      <w:r w:rsidR="00413F82">
        <w:rPr>
          <w:rFonts w:eastAsiaTheme="minorEastAsia"/>
          <w:sz w:val="24"/>
          <w:szCs w:val="28"/>
          <w:lang w:val="en-US"/>
        </w:rPr>
        <w:t>value</w:t>
      </w:r>
      <w:r w:rsidR="00634C65">
        <w:rPr>
          <w:rFonts w:eastAsiaTheme="minorEastAsia"/>
          <w:sz w:val="24"/>
          <w:szCs w:val="28"/>
          <w:lang w:val="en-US"/>
        </w:rPr>
        <w:t xml:space="preserve">, or the pre-exponential factor </w:t>
      </w:r>
      <w:r w:rsidR="00634C65" w:rsidRPr="008A5BA5">
        <w:rPr>
          <w:rFonts w:eastAsiaTheme="minorEastAsia"/>
          <w:b/>
          <w:sz w:val="24"/>
          <w:szCs w:val="28"/>
          <w:lang w:val="en-US"/>
        </w:rPr>
        <w:t>τ</w:t>
      </w:r>
      <w:r w:rsidR="00634C65" w:rsidRPr="008A5BA5">
        <w:rPr>
          <w:rFonts w:eastAsiaTheme="minorEastAsia"/>
          <w:b/>
          <w:sz w:val="24"/>
          <w:szCs w:val="28"/>
          <w:vertAlign w:val="subscript"/>
          <w:lang w:val="en-US"/>
        </w:rPr>
        <w:t>0</w:t>
      </w:r>
      <w:r>
        <w:rPr>
          <w:rFonts w:eastAsiaTheme="minorEastAsia"/>
          <w:sz w:val="24"/>
          <w:szCs w:val="28"/>
          <w:lang w:val="en-US"/>
        </w:rPr>
        <w:t>?</w:t>
      </w:r>
      <w:r w:rsidR="008A5BA5">
        <w:rPr>
          <w:rFonts w:eastAsiaTheme="minorEastAsia"/>
          <w:sz w:val="24"/>
          <w:szCs w:val="28"/>
          <w:lang w:val="en-US"/>
        </w:rPr>
        <w:t xml:space="preserve"> </w:t>
      </w:r>
    </w:p>
    <w:p w14:paraId="25759DB5" w14:textId="77777777" w:rsidR="00413F82" w:rsidRDefault="00197BA2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Maybe Robert knows the answer, as he calculated it in his draft paper?</w:t>
      </w:r>
    </w:p>
    <w:p w14:paraId="2C2FEEF7" w14:textId="77777777" w:rsidR="00B83510" w:rsidRDefault="00B83510">
      <w:pPr>
        <w:rPr>
          <w:color w:val="FF0000"/>
          <w:sz w:val="24"/>
          <w:szCs w:val="28"/>
          <w:lang w:val="en-US"/>
        </w:rPr>
      </w:pPr>
    </w:p>
    <w:p w14:paraId="38F85D78" w14:textId="32770CF0" w:rsidR="00AD24A5" w:rsidRDefault="00B83510">
      <w:pPr>
        <w:rPr>
          <w:color w:val="FF0000"/>
          <w:sz w:val="24"/>
          <w:szCs w:val="28"/>
          <w:lang w:val="en-US"/>
        </w:rPr>
      </w:pPr>
      <w:r>
        <w:rPr>
          <w:color w:val="FF0000"/>
          <w:sz w:val="24"/>
          <w:szCs w:val="28"/>
          <w:lang w:val="en-US"/>
        </w:rPr>
        <w:t xml:space="preserve">The residence time should </w:t>
      </w:r>
      <w:r w:rsidR="00AD24A5">
        <w:rPr>
          <w:color w:val="FF0000"/>
          <w:sz w:val="24"/>
          <w:szCs w:val="28"/>
          <w:lang w:val="en-US"/>
        </w:rPr>
        <w:t xml:space="preserve">in principle </w:t>
      </w:r>
      <w:r>
        <w:rPr>
          <w:color w:val="FF0000"/>
          <w:sz w:val="24"/>
          <w:szCs w:val="28"/>
          <w:lang w:val="en-US"/>
        </w:rPr>
        <w:t>come directly from the fit of HWHM over the whole range of Q, including high Q</w:t>
      </w:r>
      <w:r w:rsidR="00AD24A5">
        <w:rPr>
          <w:color w:val="FF0000"/>
          <w:sz w:val="24"/>
          <w:szCs w:val="28"/>
          <w:lang w:val="en-US"/>
        </w:rPr>
        <w:t xml:space="preserve"> </w:t>
      </w:r>
      <w:r w:rsidR="00316530">
        <w:rPr>
          <w:color w:val="FF0000"/>
          <w:sz w:val="24"/>
          <w:szCs w:val="28"/>
          <w:lang w:val="en-US"/>
        </w:rPr>
        <w:t>as we discussed during the expe</w:t>
      </w:r>
      <w:r w:rsidR="00AD24A5">
        <w:rPr>
          <w:color w:val="FF0000"/>
          <w:sz w:val="24"/>
          <w:szCs w:val="28"/>
          <w:lang w:val="en-US"/>
        </w:rPr>
        <w:t>r</w:t>
      </w:r>
      <w:r w:rsidR="00316530">
        <w:rPr>
          <w:color w:val="FF0000"/>
          <w:sz w:val="24"/>
          <w:szCs w:val="28"/>
          <w:lang w:val="en-US"/>
        </w:rPr>
        <w:t>i</w:t>
      </w:r>
      <w:r w:rsidR="00AD24A5">
        <w:rPr>
          <w:color w:val="FF0000"/>
          <w:sz w:val="24"/>
          <w:szCs w:val="28"/>
          <w:lang w:val="en-US"/>
        </w:rPr>
        <w:t>ments</w:t>
      </w:r>
      <w:r>
        <w:rPr>
          <w:color w:val="FF0000"/>
          <w:sz w:val="24"/>
          <w:szCs w:val="28"/>
          <w:lang w:val="en-US"/>
        </w:rPr>
        <w:t>. I know we limited ourselves to 1.1 A-1 in the fits</w:t>
      </w:r>
      <w:r w:rsidR="00AD24A5">
        <w:rPr>
          <w:color w:val="FF0000"/>
          <w:sz w:val="24"/>
          <w:szCs w:val="28"/>
          <w:lang w:val="en-US"/>
        </w:rPr>
        <w:t xml:space="preserve"> due to coherent peaks at high Q</w:t>
      </w:r>
      <w:r>
        <w:rPr>
          <w:color w:val="FF0000"/>
          <w:sz w:val="24"/>
          <w:szCs w:val="28"/>
          <w:lang w:val="en-US"/>
        </w:rPr>
        <w:t xml:space="preserve">. </w:t>
      </w:r>
    </w:p>
    <w:p w14:paraId="45EF34C6" w14:textId="3C4F12FF" w:rsidR="00B83510" w:rsidRDefault="00AD24A5">
      <w:pPr>
        <w:rPr>
          <w:color w:val="FF0000"/>
          <w:sz w:val="24"/>
          <w:szCs w:val="28"/>
          <w:lang w:val="en-US"/>
        </w:rPr>
      </w:pPr>
      <w:r>
        <w:rPr>
          <w:color w:val="FF0000"/>
          <w:sz w:val="24"/>
          <w:szCs w:val="28"/>
          <w:lang w:val="en-US"/>
        </w:rPr>
        <w:t>Note however, that f</w:t>
      </w:r>
      <w:r w:rsidR="00B83510">
        <w:rPr>
          <w:color w:val="FF0000"/>
          <w:sz w:val="24"/>
          <w:szCs w:val="28"/>
          <w:lang w:val="en-US"/>
        </w:rPr>
        <w:t>or long range translational diffusion</w:t>
      </w:r>
      <w:r w:rsidR="00E86838">
        <w:rPr>
          <w:color w:val="FF0000"/>
          <w:sz w:val="24"/>
          <w:szCs w:val="28"/>
          <w:lang w:val="en-US"/>
        </w:rPr>
        <w:t xml:space="preserve"> as seems to be the case in your systems</w:t>
      </w:r>
      <w:r w:rsidR="007E38A3">
        <w:rPr>
          <w:color w:val="FF0000"/>
          <w:sz w:val="24"/>
          <w:szCs w:val="28"/>
          <w:lang w:val="en-US"/>
        </w:rPr>
        <w:t xml:space="preserve"> (and not in the amorphous LiSi Sacci measured)</w:t>
      </w:r>
      <w:r>
        <w:rPr>
          <w:color w:val="FF0000"/>
          <w:sz w:val="24"/>
          <w:szCs w:val="28"/>
          <w:lang w:val="en-US"/>
        </w:rPr>
        <w:t xml:space="preserve">, tau becomes </w:t>
      </w:r>
      <w:r w:rsidR="00B83510">
        <w:rPr>
          <w:color w:val="FF0000"/>
          <w:sz w:val="24"/>
          <w:szCs w:val="28"/>
          <w:lang w:val="en-US"/>
        </w:rPr>
        <w:t>infinitely small and can not be calculated a Li does not reside long enough in any site.</w:t>
      </w:r>
      <w:r w:rsidR="00E86838">
        <w:rPr>
          <w:color w:val="FF0000"/>
          <w:sz w:val="24"/>
          <w:szCs w:val="28"/>
          <w:lang w:val="en-US"/>
        </w:rPr>
        <w:t xml:space="preserve"> Perhaps we should plot data over whole Q range to see …</w:t>
      </w:r>
    </w:p>
    <w:p w14:paraId="11A81369" w14:textId="77777777" w:rsidR="00027C9B" w:rsidRDefault="00027C9B">
      <w:pPr>
        <w:rPr>
          <w:color w:val="FF0000"/>
          <w:sz w:val="24"/>
          <w:szCs w:val="28"/>
          <w:lang w:val="en-US"/>
        </w:rPr>
      </w:pPr>
    </w:p>
    <w:p w14:paraId="77FD66CD" w14:textId="3AF9EBC8" w:rsidR="00027C9B" w:rsidRDefault="00027C9B">
      <w:pPr>
        <w:rPr>
          <w:color w:val="FF0000"/>
          <w:sz w:val="24"/>
          <w:szCs w:val="28"/>
          <w:lang w:val="en-US"/>
        </w:rPr>
      </w:pPr>
      <w:r>
        <w:rPr>
          <w:color w:val="FF0000"/>
          <w:sz w:val="24"/>
          <w:szCs w:val="28"/>
          <w:lang w:val="en-US"/>
        </w:rPr>
        <w:t xml:space="preserve">Assuming we </w:t>
      </w:r>
      <w:r w:rsidR="00E86838">
        <w:rPr>
          <w:color w:val="FF0000"/>
          <w:sz w:val="24"/>
          <w:szCs w:val="28"/>
          <w:lang w:val="en-US"/>
        </w:rPr>
        <w:t>can pull all</w:t>
      </w:r>
      <w:r>
        <w:rPr>
          <w:color w:val="FF0000"/>
          <w:sz w:val="24"/>
          <w:szCs w:val="28"/>
          <w:lang w:val="en-US"/>
        </w:rPr>
        <w:t xml:space="preserve"> tau vs T, then the pr</w:t>
      </w:r>
      <w:r w:rsidR="00FC53EB">
        <w:rPr>
          <w:color w:val="FF0000"/>
          <w:sz w:val="24"/>
          <w:szCs w:val="28"/>
          <w:lang w:val="en-US"/>
        </w:rPr>
        <w:t>-</w:t>
      </w:r>
      <w:r>
        <w:rPr>
          <w:color w:val="FF0000"/>
          <w:sz w:val="24"/>
          <w:szCs w:val="28"/>
          <w:lang w:val="en-US"/>
        </w:rPr>
        <w:t>efactor comes simply from fitting the Arrhenius expression you wrote above.</w:t>
      </w:r>
      <w:r w:rsidR="00FC53EB">
        <w:rPr>
          <w:color w:val="FF0000"/>
          <w:sz w:val="24"/>
          <w:szCs w:val="28"/>
          <w:lang w:val="en-US"/>
        </w:rPr>
        <w:t xml:space="preserve"> </w:t>
      </w:r>
    </w:p>
    <w:p w14:paraId="0D777616" w14:textId="77777777" w:rsidR="00FC53EB" w:rsidRDefault="00FC53EB">
      <w:pPr>
        <w:rPr>
          <w:color w:val="FF0000"/>
          <w:sz w:val="24"/>
          <w:szCs w:val="28"/>
          <w:lang w:val="en-US"/>
        </w:rPr>
      </w:pPr>
    </w:p>
    <w:p w14:paraId="20D71D91" w14:textId="7E5D72F4" w:rsidR="00FC53EB" w:rsidRPr="00B83510" w:rsidRDefault="00FC53EB">
      <w:pPr>
        <w:rPr>
          <w:color w:val="FF0000"/>
          <w:sz w:val="24"/>
          <w:szCs w:val="28"/>
          <w:lang w:val="en-US"/>
        </w:rPr>
      </w:pPr>
      <w:r>
        <w:rPr>
          <w:color w:val="FF0000"/>
          <w:sz w:val="24"/>
          <w:szCs w:val="28"/>
          <w:lang w:val="en-US"/>
        </w:rPr>
        <w:t>Now perhaps, you could use your estimated jump length from POWGEN to estimate the tau values, (tau=D/6l) if you assume hopping mechanism.</w:t>
      </w:r>
      <w:bookmarkStart w:id="0" w:name="_GoBack"/>
      <w:bookmarkEnd w:id="0"/>
      <w:r>
        <w:rPr>
          <w:color w:val="FF0000"/>
          <w:sz w:val="24"/>
          <w:szCs w:val="28"/>
          <w:lang w:val="en-US"/>
        </w:rPr>
        <w:t xml:space="preserve"> </w:t>
      </w:r>
    </w:p>
    <w:sectPr w:rsidR="00FC53EB" w:rsidRPr="00B835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04"/>
    <w:rsid w:val="00027C9B"/>
    <w:rsid w:val="0010377E"/>
    <w:rsid w:val="00117A57"/>
    <w:rsid w:val="00164A6F"/>
    <w:rsid w:val="00197BA2"/>
    <w:rsid w:val="00316530"/>
    <w:rsid w:val="003B0F04"/>
    <w:rsid w:val="00413F82"/>
    <w:rsid w:val="00634C65"/>
    <w:rsid w:val="007E38A3"/>
    <w:rsid w:val="007F6987"/>
    <w:rsid w:val="008A5BA5"/>
    <w:rsid w:val="00AD24A5"/>
    <w:rsid w:val="00B83510"/>
    <w:rsid w:val="00CE6691"/>
    <w:rsid w:val="00E86838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20A0"/>
  <w15:chartTrackingRefBased/>
  <w15:docId w15:val="{CC998169-9F23-48BE-AF1A-3DD497D2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Thorcologne</dc:creator>
  <cp:keywords/>
  <dc:description/>
  <cp:lastModifiedBy>souleymane diallo</cp:lastModifiedBy>
  <cp:revision>3</cp:revision>
  <dcterms:created xsi:type="dcterms:W3CDTF">2016-11-22T19:15:00Z</dcterms:created>
  <dcterms:modified xsi:type="dcterms:W3CDTF">2016-11-22T19:18:00Z</dcterms:modified>
</cp:coreProperties>
</file>