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E8D" w:rsidRDefault="009E43C1" w:rsidP="009E43C1">
      <w:pPr>
        <w:spacing w:line="480" w:lineRule="auto"/>
        <w:rPr>
          <w:rFonts w:ascii="Times New Roman" w:hAnsi="Times New Roman" w:cs="Times New Roman"/>
          <w:sz w:val="24"/>
          <w:szCs w:val="24"/>
        </w:rPr>
      </w:pPr>
      <w:r w:rsidRPr="009E43C1">
        <w:rPr>
          <w:rFonts w:ascii="Times New Roman" w:hAnsi="Times New Roman" w:cs="Times New Roman"/>
          <w:sz w:val="24"/>
          <w:szCs w:val="24"/>
        </w:rPr>
        <w:t>For every recorded conformation, we c</w:t>
      </w:r>
      <w:r w:rsidRPr="009E43C1">
        <w:rPr>
          <w:rFonts w:ascii="Times New Roman" w:hAnsi="Times New Roman" w:cs="Times New Roman"/>
          <w:sz w:val="24"/>
          <w:szCs w:val="24"/>
        </w:rPr>
        <w:t>alculate the number of isopropanol molecules in contact with each protein residue</w:t>
      </w:r>
      <w:r w:rsidRPr="009E43C1">
        <w:rPr>
          <w:rFonts w:ascii="Times New Roman" w:hAnsi="Times New Roman" w:cs="Times New Roman"/>
          <w:sz w:val="24"/>
          <w:szCs w:val="24"/>
        </w:rPr>
        <w:t>, deemed as the isopropanol occupancy for each protein residue. Then, we perform an average over all conformations in the 100ns trajectory except for the first 10ns. We take advantage of the fact that the average number of isopropanol molecules in contact with the protein saturates in the 15-30% volume concentration range (Fig. 1) in order to average the occupancies in this concentration range. There are 39 residues with a</w:t>
      </w:r>
      <w:r>
        <w:rPr>
          <w:rFonts w:ascii="Times New Roman" w:hAnsi="Times New Roman" w:cs="Times New Roman"/>
          <w:sz w:val="24"/>
          <w:szCs w:val="24"/>
        </w:rPr>
        <w:t xml:space="preserve"> high </w:t>
      </w:r>
      <w:r w:rsidRPr="009E43C1">
        <w:rPr>
          <w:rFonts w:ascii="Times New Roman" w:hAnsi="Times New Roman" w:cs="Times New Roman"/>
          <w:sz w:val="24"/>
          <w:szCs w:val="24"/>
        </w:rPr>
        <w:t>average occupancy</w:t>
      </w:r>
      <w:r>
        <w:rPr>
          <w:rFonts w:ascii="Times New Roman" w:hAnsi="Times New Roman" w:cs="Times New Roman"/>
          <w:sz w:val="24"/>
          <w:szCs w:val="24"/>
        </w:rPr>
        <w:t>,</w:t>
      </w:r>
      <w:r w:rsidRPr="009E43C1">
        <w:rPr>
          <w:rFonts w:ascii="Times New Roman" w:hAnsi="Times New Roman" w:cs="Times New Roman"/>
          <w:sz w:val="24"/>
          <w:szCs w:val="24"/>
        </w:rPr>
        <w:t xml:space="preserve"> equal or higher than </w:t>
      </w:r>
      <w:r>
        <w:rPr>
          <w:rFonts w:ascii="Times New Roman" w:hAnsi="Times New Roman" w:cs="Times New Roman"/>
          <w:sz w:val="24"/>
          <w:szCs w:val="24"/>
        </w:rPr>
        <w:t>1.0 (Fig. 2a). There are</w:t>
      </w:r>
      <w:r w:rsidRPr="009E43C1">
        <w:rPr>
          <w:rFonts w:ascii="Times New Roman" w:hAnsi="Times New Roman" w:cs="Times New Roman"/>
          <w:sz w:val="24"/>
          <w:szCs w:val="24"/>
        </w:rPr>
        <w:t xml:space="preserve"> </w:t>
      </w:r>
      <w:r>
        <w:rPr>
          <w:rFonts w:ascii="Times New Roman" w:hAnsi="Times New Roman" w:cs="Times New Roman"/>
          <w:sz w:val="24"/>
          <w:szCs w:val="24"/>
        </w:rPr>
        <w:t>six</w:t>
      </w:r>
      <w:r w:rsidRPr="009E43C1">
        <w:rPr>
          <w:rFonts w:ascii="Times New Roman" w:hAnsi="Times New Roman" w:cs="Times New Roman"/>
          <w:sz w:val="24"/>
          <w:szCs w:val="24"/>
        </w:rPr>
        <w:t xml:space="preserve"> residues</w:t>
      </w:r>
      <w:r>
        <w:rPr>
          <w:rFonts w:ascii="Times New Roman" w:hAnsi="Times New Roman" w:cs="Times New Roman"/>
          <w:sz w:val="24"/>
          <w:szCs w:val="24"/>
        </w:rPr>
        <w:t xml:space="preserve"> with a very high average occupancy, equal or higher than 1.9 (Fig. </w:t>
      </w:r>
      <w:r w:rsidR="005E6545">
        <w:rPr>
          <w:rFonts w:ascii="Times New Roman" w:hAnsi="Times New Roman" w:cs="Times New Roman"/>
          <w:sz w:val="24"/>
          <w:szCs w:val="24"/>
        </w:rPr>
        <w:t>2b</w:t>
      </w:r>
      <w:r>
        <w:rPr>
          <w:rFonts w:ascii="Times New Roman" w:hAnsi="Times New Roman" w:cs="Times New Roman"/>
          <w:sz w:val="24"/>
          <w:szCs w:val="24"/>
        </w:rPr>
        <w:t>)</w:t>
      </w:r>
      <w:r w:rsidRPr="009E43C1">
        <w:rPr>
          <w:rFonts w:ascii="Times New Roman" w:hAnsi="Times New Roman" w:cs="Times New Roman"/>
          <w:sz w:val="24"/>
          <w:szCs w:val="24"/>
        </w:rPr>
        <w:t>.</w:t>
      </w:r>
    </w:p>
    <w:p w:rsidR="009E43C1" w:rsidRDefault="005E6545" w:rsidP="009E43C1">
      <w:pPr>
        <w:spacing w:line="480" w:lineRule="auto"/>
        <w:rPr>
          <w:rFonts w:ascii="Times New Roman" w:hAnsi="Times New Roman" w:cs="Times New Roman"/>
          <w:sz w:val="24"/>
          <w:szCs w:val="24"/>
        </w:rPr>
      </w:pPr>
      <w:r>
        <w:rPr>
          <w:rFonts w:ascii="Times New Roman" w:hAnsi="Times New Roman" w:cs="Times New Roman"/>
          <w:sz w:val="24"/>
          <w:szCs w:val="24"/>
        </w:rPr>
        <w:t xml:space="preserve">A high isopropanol occupancy may be the result of many, short-lived contacts, or the result of few, long-lived contacts between isopropanol and protein. To distinguish </w:t>
      </w:r>
      <w:r w:rsidR="00F801F2">
        <w:rPr>
          <w:rFonts w:ascii="Times New Roman" w:hAnsi="Times New Roman" w:cs="Times New Roman"/>
          <w:sz w:val="24"/>
          <w:szCs w:val="24"/>
        </w:rPr>
        <w:t xml:space="preserve">between these scenarios, we </w:t>
      </w:r>
      <w:r>
        <w:rPr>
          <w:rFonts w:ascii="Times New Roman" w:hAnsi="Times New Roman" w:cs="Times New Roman"/>
          <w:sz w:val="24"/>
          <w:szCs w:val="24"/>
        </w:rPr>
        <w:t xml:space="preserve">calculate the </w:t>
      </w:r>
      <w:r w:rsidR="00F801F2">
        <w:rPr>
          <w:rFonts w:ascii="Times New Roman" w:hAnsi="Times New Roman" w:cs="Times New Roman"/>
          <w:sz w:val="24"/>
          <w:szCs w:val="24"/>
        </w:rPr>
        <w:t xml:space="preserve">residence lifetime </w:t>
      </w:r>
      <w:r>
        <w:rPr>
          <w:rFonts w:ascii="Times New Roman" w:hAnsi="Times New Roman" w:cs="Times New Roman"/>
          <w:sz w:val="24"/>
          <w:szCs w:val="24"/>
        </w:rPr>
        <w:t xml:space="preserve">of each </w:t>
      </w:r>
      <w:r w:rsidR="00F801F2">
        <w:rPr>
          <w:rFonts w:ascii="Times New Roman" w:hAnsi="Times New Roman" w:cs="Times New Roman"/>
          <w:sz w:val="24"/>
          <w:szCs w:val="24"/>
        </w:rPr>
        <w:t xml:space="preserve">contact between an </w:t>
      </w:r>
      <w:r>
        <w:rPr>
          <w:rFonts w:ascii="Times New Roman" w:hAnsi="Times New Roman" w:cs="Times New Roman"/>
          <w:sz w:val="24"/>
          <w:szCs w:val="24"/>
        </w:rPr>
        <w:t xml:space="preserve">isopropanol </w:t>
      </w:r>
      <w:r w:rsidR="00F801F2">
        <w:rPr>
          <w:rFonts w:ascii="Times New Roman" w:hAnsi="Times New Roman" w:cs="Times New Roman"/>
          <w:sz w:val="24"/>
          <w:szCs w:val="24"/>
        </w:rPr>
        <w:t>molecule and</w:t>
      </w:r>
      <w:r>
        <w:rPr>
          <w:rFonts w:ascii="Times New Roman" w:hAnsi="Times New Roman" w:cs="Times New Roman"/>
          <w:sz w:val="24"/>
          <w:szCs w:val="24"/>
        </w:rPr>
        <w:t xml:space="preserve"> a particular </w:t>
      </w:r>
      <w:r w:rsidR="00F801F2">
        <w:rPr>
          <w:rFonts w:ascii="Times New Roman" w:hAnsi="Times New Roman" w:cs="Times New Roman"/>
          <w:sz w:val="24"/>
          <w:szCs w:val="24"/>
        </w:rPr>
        <w:t xml:space="preserve">protein residue. Of all the contacts that a particular residue participates in, we select the contact with the maximum residence lifetime observed in the simulations spanning the 15%-30% volume concentration range. There are 32 residues with an isopropanol bound for more than 5ns (Fig. 3a) and nine residues with an isopropanol bound for more than 7ns (Fig. 3b). We do not observe any isopropanol bound to the protein for more than 10ns, in agreement with results of X-Rays of DHFR soaked in isopropanol, where no crystallographic isopropanol was found </w:t>
      </w:r>
      <w:proofErr w:type="gramStart"/>
      <w:r w:rsidR="00F801F2">
        <w:rPr>
          <w:rFonts w:ascii="Times New Roman" w:hAnsi="Times New Roman" w:cs="Times New Roman"/>
          <w:sz w:val="24"/>
          <w:szCs w:val="24"/>
        </w:rPr>
        <w:t>under</w:t>
      </w:r>
      <w:proofErr w:type="gramEnd"/>
      <w:r w:rsidR="00F801F2">
        <w:rPr>
          <w:rFonts w:ascii="Times New Roman" w:hAnsi="Times New Roman" w:cs="Times New Roman"/>
          <w:sz w:val="24"/>
          <w:szCs w:val="24"/>
        </w:rPr>
        <w:t xml:space="preserve"> 30% volume concentration.</w:t>
      </w:r>
    </w:p>
    <w:p w:rsidR="009E43C1" w:rsidRDefault="009E43C1">
      <w:pPr>
        <w:rPr>
          <w:rFonts w:ascii="Times New Roman" w:hAnsi="Times New Roman" w:cs="Times New Roman"/>
          <w:sz w:val="24"/>
          <w:szCs w:val="24"/>
        </w:rPr>
      </w:pPr>
      <w:r>
        <w:rPr>
          <w:rFonts w:ascii="Times New Roman" w:hAnsi="Times New Roman" w:cs="Times New Roman"/>
          <w:sz w:val="24"/>
          <w:szCs w:val="24"/>
        </w:rPr>
        <w:br w:type="page"/>
      </w:r>
    </w:p>
    <w:p w:rsidR="009E43C1" w:rsidRDefault="009E43C1" w:rsidP="009E43C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49700" cy="3642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DhfrContacts_avg.png"/>
                    <pic:cNvPicPr/>
                  </pic:nvPicPr>
                  <pic:blipFill rotWithShape="1">
                    <a:blip r:embed="rId5" cstate="print">
                      <a:extLst>
                        <a:ext uri="{28A0092B-C50C-407E-A947-70E740481C1C}">
                          <a14:useLocalDpi xmlns:a14="http://schemas.microsoft.com/office/drawing/2010/main" val="0"/>
                        </a:ext>
                      </a:extLst>
                    </a:blip>
                    <a:srcRect l="2326" t="13712" r="32933" b="7024"/>
                    <a:stretch/>
                  </pic:blipFill>
                  <pic:spPr bwMode="auto">
                    <a:xfrm>
                      <a:off x="0" y="0"/>
                      <a:ext cx="3847943" cy="3640570"/>
                    </a:xfrm>
                    <a:prstGeom prst="rect">
                      <a:avLst/>
                    </a:prstGeom>
                    <a:ln>
                      <a:noFill/>
                    </a:ln>
                    <a:extLst>
                      <a:ext uri="{53640926-AAD7-44D8-BBD7-CCE9431645EC}">
                        <a14:shadowObscured xmlns:a14="http://schemas.microsoft.com/office/drawing/2010/main"/>
                      </a:ext>
                    </a:extLst>
                  </pic:spPr>
                </pic:pic>
              </a:graphicData>
            </a:graphic>
          </wp:inline>
        </w:drawing>
      </w:r>
    </w:p>
    <w:p w:rsidR="009E43C1" w:rsidRDefault="009E43C1" w:rsidP="009E43C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Fig. 1.</w:t>
      </w:r>
      <w:proofErr w:type="gramEnd"/>
      <w:r>
        <w:rPr>
          <w:rFonts w:ascii="Times New Roman" w:hAnsi="Times New Roman" w:cs="Times New Roman"/>
          <w:sz w:val="24"/>
          <w:szCs w:val="24"/>
        </w:rPr>
        <w:t xml:space="preserve"> Average number of is</w:t>
      </w:r>
      <w:r w:rsidR="00EA182D">
        <w:rPr>
          <w:rFonts w:ascii="Times New Roman" w:hAnsi="Times New Roman" w:cs="Times New Roman"/>
          <w:sz w:val="24"/>
          <w:szCs w:val="24"/>
        </w:rPr>
        <w:t>opropanol-protein contacts. Contacts increase linearly in the 0%-15% range and saturate until the concentration reaches approximately 30%.</w:t>
      </w:r>
    </w:p>
    <w:p w:rsidR="00EA182D" w:rsidRDefault="00EA182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4788"/>
        <w:gridCol w:w="4788"/>
      </w:tblGrid>
      <w:tr w:rsidR="00EA182D" w:rsidTr="00EA182D">
        <w:tc>
          <w:tcPr>
            <w:tcW w:w="4788" w:type="dxa"/>
          </w:tcPr>
          <w:p w:rsidR="00EA182D" w:rsidRPr="008F2A60" w:rsidRDefault="00EA182D" w:rsidP="00EA182D">
            <w:pPr>
              <w:spacing w:line="480" w:lineRule="auto"/>
              <w:jc w:val="center"/>
              <w:rPr>
                <w:rFonts w:ascii="Times New Roman" w:hAnsi="Times New Roman" w:cs="Times New Roman"/>
                <w:b/>
                <w:sz w:val="24"/>
                <w:szCs w:val="24"/>
              </w:rPr>
            </w:pPr>
            <w:r w:rsidRPr="008F2A60">
              <w:rPr>
                <w:rFonts w:ascii="Times New Roman" w:hAnsi="Times New Roman" w:cs="Times New Roman"/>
                <w:b/>
                <w:sz w:val="24"/>
                <w:szCs w:val="24"/>
              </w:rPr>
              <w:lastRenderedPageBreak/>
              <w:t>(a)</w:t>
            </w:r>
          </w:p>
          <w:p w:rsidR="00EA182D" w:rsidRDefault="00EA182D" w:rsidP="00EA182D">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715F79" wp14:editId="43686193">
                  <wp:extent cx="2743200" cy="34838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_high_occupancy_15_to_30_pse.png"/>
                          <pic:cNvPicPr/>
                        </pic:nvPicPr>
                        <pic:blipFill rotWithShape="1">
                          <a:blip r:embed="rId6">
                            <a:extLst>
                              <a:ext uri="{28A0092B-C50C-407E-A947-70E740481C1C}">
                                <a14:useLocalDpi xmlns:a14="http://schemas.microsoft.com/office/drawing/2010/main" val="0"/>
                              </a:ext>
                            </a:extLst>
                          </a:blip>
                          <a:srcRect l="17582" t="14504" r="15968" b="9121"/>
                          <a:stretch/>
                        </pic:blipFill>
                        <pic:spPr bwMode="auto">
                          <a:xfrm>
                            <a:off x="0" y="0"/>
                            <a:ext cx="2743200" cy="3483864"/>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rsidR="008F2A60" w:rsidRPr="008F2A60" w:rsidRDefault="008F2A60" w:rsidP="008F2A60">
            <w:pPr>
              <w:spacing w:line="480" w:lineRule="auto"/>
              <w:jc w:val="center"/>
              <w:rPr>
                <w:rFonts w:ascii="Times New Roman" w:hAnsi="Times New Roman" w:cs="Times New Roman"/>
                <w:b/>
                <w:sz w:val="24"/>
                <w:szCs w:val="24"/>
              </w:rPr>
            </w:pPr>
            <w:r w:rsidRPr="008F2A60">
              <w:rPr>
                <w:rFonts w:ascii="Times New Roman" w:hAnsi="Times New Roman" w:cs="Times New Roman"/>
                <w:b/>
                <w:sz w:val="24"/>
                <w:szCs w:val="24"/>
              </w:rPr>
              <w:t>(b)</w:t>
            </w:r>
          </w:p>
          <w:p w:rsidR="00EA182D" w:rsidRDefault="008F2A60" w:rsidP="00EA182D">
            <w:pPr>
              <w:spacing w:before="24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741C39" wp14:editId="7F6B65AF">
                  <wp:extent cx="2743200" cy="3621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_veryhigh_occupancy_15_to_30_pse.png"/>
                          <pic:cNvPicPr/>
                        </pic:nvPicPr>
                        <pic:blipFill rotWithShape="1">
                          <a:blip r:embed="rId7">
                            <a:extLst>
                              <a:ext uri="{28A0092B-C50C-407E-A947-70E740481C1C}">
                                <a14:useLocalDpi xmlns:a14="http://schemas.microsoft.com/office/drawing/2010/main" val="0"/>
                              </a:ext>
                            </a:extLst>
                          </a:blip>
                          <a:srcRect l="18228" t="14269" r="16098" b="7368"/>
                          <a:stretch/>
                        </pic:blipFill>
                        <pic:spPr bwMode="auto">
                          <a:xfrm>
                            <a:off x="0" y="0"/>
                            <a:ext cx="2743200" cy="3621024"/>
                          </a:xfrm>
                          <a:prstGeom prst="rect">
                            <a:avLst/>
                          </a:prstGeom>
                          <a:ln>
                            <a:noFill/>
                          </a:ln>
                          <a:extLst>
                            <a:ext uri="{53640926-AAD7-44D8-BBD7-CCE9431645EC}">
                              <a14:shadowObscured xmlns:a14="http://schemas.microsoft.com/office/drawing/2010/main"/>
                            </a:ext>
                          </a:extLst>
                        </pic:spPr>
                      </pic:pic>
                    </a:graphicData>
                  </a:graphic>
                </wp:inline>
              </w:drawing>
            </w:r>
          </w:p>
        </w:tc>
      </w:tr>
    </w:tbl>
    <w:p w:rsidR="008F2A60" w:rsidRDefault="008F2A60" w:rsidP="008F2A60">
      <w:pPr>
        <w:spacing w:line="480" w:lineRule="auto"/>
        <w:rPr>
          <w:rFonts w:ascii="Times New Roman" w:hAnsi="Times New Roman" w:cs="Times New Roman"/>
          <w:sz w:val="24"/>
          <w:szCs w:val="24"/>
        </w:rPr>
      </w:pPr>
    </w:p>
    <w:p w:rsidR="00EA182D" w:rsidRDefault="008F2A60" w:rsidP="008F2A60">
      <w:pPr>
        <w:spacing w:line="480" w:lineRule="auto"/>
        <w:rPr>
          <w:rFonts w:ascii="Times New Roman" w:hAnsi="Times New Roman" w:cs="Times New Roman"/>
          <w:sz w:val="24"/>
          <w:szCs w:val="24"/>
        </w:rPr>
      </w:pPr>
      <w:r>
        <w:rPr>
          <w:rFonts w:ascii="Times New Roman" w:hAnsi="Times New Roman" w:cs="Times New Roman"/>
          <w:sz w:val="24"/>
          <w:szCs w:val="24"/>
        </w:rPr>
        <w:t>Fig. 2 Average isopropanol occupancy. (a) Residues in magenta and stick representation show a high (&gt;1.0) isopropanol average occupancy in the 15%-30% volume concentration range. (b) Residues showing a very high (&gt;1.9) average occupancy.</w:t>
      </w:r>
      <w:r w:rsidR="005E6545">
        <w:rPr>
          <w:rFonts w:ascii="Times New Roman" w:hAnsi="Times New Roman" w:cs="Times New Roman"/>
          <w:sz w:val="24"/>
          <w:szCs w:val="24"/>
        </w:rPr>
        <w:t xml:space="preserve"> </w:t>
      </w:r>
      <w:r w:rsidR="005E6545">
        <w:rPr>
          <w:rFonts w:ascii="Times New Roman" w:hAnsi="Times New Roman" w:cs="Times New Roman"/>
          <w:b/>
          <w:sz w:val="24"/>
          <w:szCs w:val="24"/>
        </w:rPr>
        <w:t xml:space="preserve">Note: </w:t>
      </w:r>
      <w:proofErr w:type="spellStart"/>
      <w:r w:rsidR="005E6545">
        <w:rPr>
          <w:rFonts w:ascii="Times New Roman" w:hAnsi="Times New Roman" w:cs="Times New Roman"/>
          <w:b/>
          <w:sz w:val="24"/>
          <w:szCs w:val="24"/>
        </w:rPr>
        <w:t>Pratul</w:t>
      </w:r>
      <w:proofErr w:type="spellEnd"/>
      <w:r w:rsidR="005E6545">
        <w:rPr>
          <w:rFonts w:ascii="Times New Roman" w:hAnsi="Times New Roman" w:cs="Times New Roman"/>
          <w:b/>
          <w:sz w:val="24"/>
          <w:szCs w:val="24"/>
        </w:rPr>
        <w:t>, if you want we can have different pictures, like a surface representation instead of the backbone (or both with semi-transparent surface)</w:t>
      </w:r>
      <w:r w:rsidR="005E6545">
        <w:rPr>
          <w:rFonts w:ascii="Times New Roman" w:hAnsi="Times New Roman" w:cs="Times New Roman"/>
          <w:sz w:val="24"/>
          <w:szCs w:val="24"/>
        </w:rPr>
        <w:t>.</w:t>
      </w:r>
    </w:p>
    <w:p w:rsidR="00F801F2" w:rsidRDefault="00F801F2">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4788"/>
        <w:gridCol w:w="4788"/>
      </w:tblGrid>
      <w:tr w:rsidR="00F801F2" w:rsidTr="00F801F2">
        <w:tc>
          <w:tcPr>
            <w:tcW w:w="4788" w:type="dxa"/>
          </w:tcPr>
          <w:p w:rsidR="00F801F2" w:rsidRDefault="00D631C7" w:rsidP="00F801F2">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(a)</w:t>
            </w:r>
            <w:r w:rsidR="00F801F2">
              <w:rPr>
                <w:rFonts w:ascii="Times New Roman" w:hAnsi="Times New Roman" w:cs="Times New Roman"/>
                <w:noProof/>
                <w:sz w:val="24"/>
                <w:szCs w:val="24"/>
              </w:rPr>
              <w:drawing>
                <wp:inline distT="0" distB="0" distL="0" distR="0">
                  <wp:extent cx="2743200" cy="34930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_high_residenceTimes_15_to_30.png"/>
                          <pic:cNvPicPr/>
                        </pic:nvPicPr>
                        <pic:blipFill rotWithShape="1">
                          <a:blip r:embed="rId8">
                            <a:extLst>
                              <a:ext uri="{28A0092B-C50C-407E-A947-70E740481C1C}">
                                <a14:useLocalDpi xmlns:a14="http://schemas.microsoft.com/office/drawing/2010/main" val="0"/>
                              </a:ext>
                            </a:extLst>
                          </a:blip>
                          <a:srcRect l="18875" t="13217" r="16873" b="12749"/>
                          <a:stretch/>
                        </pic:blipFill>
                        <pic:spPr bwMode="auto">
                          <a:xfrm>
                            <a:off x="0" y="0"/>
                            <a:ext cx="2743200" cy="3493008"/>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rsidR="00F801F2" w:rsidRDefault="00D631C7" w:rsidP="00F801F2">
            <w:pPr>
              <w:spacing w:line="480" w:lineRule="auto"/>
              <w:jc w:val="center"/>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noProof/>
                <w:sz w:val="24"/>
                <w:szCs w:val="24"/>
              </w:rPr>
              <w:drawing>
                <wp:inline distT="0" distB="0" distL="0" distR="0" wp14:anchorId="134AD756" wp14:editId="3933B7A3">
                  <wp:extent cx="27432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_veryhigh_residenceTimes_15_to_30.png"/>
                          <pic:cNvPicPr/>
                        </pic:nvPicPr>
                        <pic:blipFill rotWithShape="1">
                          <a:blip r:embed="rId9">
                            <a:extLst>
                              <a:ext uri="{28A0092B-C50C-407E-A947-70E740481C1C}">
                                <a14:useLocalDpi xmlns:a14="http://schemas.microsoft.com/office/drawing/2010/main" val="0"/>
                              </a:ext>
                            </a:extLst>
                          </a:blip>
                          <a:srcRect l="19004" t="13100" r="15580" b="14151"/>
                          <a:stretch/>
                        </pic:blipFill>
                        <pic:spPr bwMode="auto">
                          <a:xfrm>
                            <a:off x="0" y="0"/>
                            <a:ext cx="2743200" cy="3374136"/>
                          </a:xfrm>
                          <a:prstGeom prst="rect">
                            <a:avLst/>
                          </a:prstGeom>
                          <a:ln>
                            <a:noFill/>
                          </a:ln>
                          <a:extLst>
                            <a:ext uri="{53640926-AAD7-44D8-BBD7-CCE9431645EC}">
                              <a14:shadowObscured xmlns:a14="http://schemas.microsoft.com/office/drawing/2010/main"/>
                            </a:ext>
                          </a:extLst>
                        </pic:spPr>
                      </pic:pic>
                    </a:graphicData>
                  </a:graphic>
                </wp:inline>
              </w:drawing>
            </w:r>
          </w:p>
        </w:tc>
      </w:tr>
    </w:tbl>
    <w:p w:rsidR="00D631C7" w:rsidRDefault="00D631C7" w:rsidP="008F2A60">
      <w:pPr>
        <w:spacing w:line="480" w:lineRule="auto"/>
        <w:rPr>
          <w:rFonts w:ascii="Times New Roman" w:hAnsi="Times New Roman" w:cs="Times New Roman"/>
          <w:sz w:val="24"/>
          <w:szCs w:val="24"/>
        </w:rPr>
      </w:pPr>
    </w:p>
    <w:p w:rsidR="00D631C7" w:rsidRPr="005E6545" w:rsidRDefault="00D631C7" w:rsidP="008F2A6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Fig. 3 Maximum residence lifetimes.</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(a) Residues in magenta and stick representation </w:t>
      </w:r>
      <w:r>
        <w:rPr>
          <w:rFonts w:ascii="Times New Roman" w:hAnsi="Times New Roman" w:cs="Times New Roman"/>
          <w:sz w:val="24"/>
          <w:szCs w:val="24"/>
        </w:rPr>
        <w:t>participated in a contact with an isopropanol molecule for a long</w:t>
      </w:r>
      <w:r>
        <w:rPr>
          <w:rFonts w:ascii="Times New Roman" w:hAnsi="Times New Roman" w:cs="Times New Roman"/>
          <w:sz w:val="24"/>
          <w:szCs w:val="24"/>
        </w:rPr>
        <w:t xml:space="preserve"> (&gt;</w:t>
      </w:r>
      <w:r>
        <w:rPr>
          <w:rFonts w:ascii="Times New Roman" w:hAnsi="Times New Roman" w:cs="Times New Roman"/>
          <w:sz w:val="24"/>
          <w:szCs w:val="24"/>
        </w:rPr>
        <w:t xml:space="preserve"> 5ns</w:t>
      </w:r>
      <w:r>
        <w:rPr>
          <w:rFonts w:ascii="Times New Roman" w:hAnsi="Times New Roman" w:cs="Times New Roman"/>
          <w:sz w:val="24"/>
          <w:szCs w:val="24"/>
        </w:rPr>
        <w:t xml:space="preserve">) </w:t>
      </w:r>
      <w:r>
        <w:rPr>
          <w:rFonts w:ascii="Times New Roman" w:hAnsi="Times New Roman" w:cs="Times New Roman"/>
          <w:sz w:val="24"/>
          <w:szCs w:val="24"/>
        </w:rPr>
        <w:t xml:space="preserve">residence lifetime </w:t>
      </w:r>
      <w:r>
        <w:rPr>
          <w:rFonts w:ascii="Times New Roman" w:hAnsi="Times New Roman" w:cs="Times New Roman"/>
          <w:sz w:val="24"/>
          <w:szCs w:val="24"/>
        </w:rPr>
        <w:t xml:space="preserve">in </w:t>
      </w:r>
      <w:r>
        <w:rPr>
          <w:rFonts w:ascii="Times New Roman" w:hAnsi="Times New Roman" w:cs="Times New Roman"/>
          <w:sz w:val="24"/>
          <w:szCs w:val="24"/>
        </w:rPr>
        <w:t xml:space="preserve">simulations spanning </w:t>
      </w:r>
      <w:r>
        <w:rPr>
          <w:rFonts w:ascii="Times New Roman" w:hAnsi="Times New Roman" w:cs="Times New Roman"/>
          <w:sz w:val="24"/>
          <w:szCs w:val="24"/>
        </w:rPr>
        <w:t>the 15%-30% volume concentration range. (b) Residues sh</w:t>
      </w:r>
      <w:r>
        <w:rPr>
          <w:rFonts w:ascii="Times New Roman" w:hAnsi="Times New Roman" w:cs="Times New Roman"/>
          <w:sz w:val="24"/>
          <w:szCs w:val="24"/>
        </w:rPr>
        <w:t>owing a very long</w:t>
      </w:r>
      <w:bookmarkStart w:id="0" w:name="_GoBack"/>
      <w:bookmarkEnd w:id="0"/>
      <w:r>
        <w:rPr>
          <w:rFonts w:ascii="Times New Roman" w:hAnsi="Times New Roman" w:cs="Times New Roman"/>
          <w:sz w:val="24"/>
          <w:szCs w:val="24"/>
        </w:rPr>
        <w:t xml:space="preserve"> (&gt; 7ns</w:t>
      </w:r>
      <w:r>
        <w:rPr>
          <w:rFonts w:ascii="Times New Roman" w:hAnsi="Times New Roman" w:cs="Times New Roman"/>
          <w:sz w:val="24"/>
          <w:szCs w:val="24"/>
        </w:rPr>
        <w:t xml:space="preserve">) </w:t>
      </w:r>
      <w:r>
        <w:rPr>
          <w:rFonts w:ascii="Times New Roman" w:hAnsi="Times New Roman" w:cs="Times New Roman"/>
          <w:sz w:val="24"/>
          <w:szCs w:val="24"/>
        </w:rPr>
        <w:t>residence lifetime</w:t>
      </w:r>
      <w:r>
        <w:rPr>
          <w:rFonts w:ascii="Times New Roman" w:hAnsi="Times New Roman" w:cs="Times New Roman"/>
          <w:sz w:val="24"/>
          <w:szCs w:val="24"/>
        </w:rPr>
        <w:t>.</w:t>
      </w:r>
    </w:p>
    <w:p w:rsidR="009E43C1" w:rsidRPr="009E43C1" w:rsidRDefault="009E43C1" w:rsidP="009E43C1">
      <w:pPr>
        <w:spacing w:line="480" w:lineRule="auto"/>
        <w:jc w:val="center"/>
        <w:rPr>
          <w:rFonts w:ascii="Times New Roman" w:hAnsi="Times New Roman" w:cs="Times New Roman"/>
          <w:sz w:val="24"/>
          <w:szCs w:val="24"/>
        </w:rPr>
      </w:pPr>
    </w:p>
    <w:sectPr w:rsidR="009E43C1" w:rsidRPr="009E4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3C1"/>
    <w:rsid w:val="0043252F"/>
    <w:rsid w:val="00596BE5"/>
    <w:rsid w:val="005D2864"/>
    <w:rsid w:val="005E6545"/>
    <w:rsid w:val="008F2A60"/>
    <w:rsid w:val="009E43C1"/>
    <w:rsid w:val="00D631C7"/>
    <w:rsid w:val="00EA182D"/>
    <w:rsid w:val="00F024B6"/>
    <w:rsid w:val="00F20E8D"/>
    <w:rsid w:val="00F801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3C1"/>
    <w:rPr>
      <w:rFonts w:ascii="Tahoma" w:hAnsi="Tahoma" w:cs="Tahoma"/>
      <w:sz w:val="16"/>
      <w:szCs w:val="16"/>
    </w:rPr>
  </w:style>
  <w:style w:type="table" w:styleId="TableGrid">
    <w:name w:val="Table Grid"/>
    <w:basedOn w:val="TableNormal"/>
    <w:uiPriority w:val="59"/>
    <w:rsid w:val="00EA1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3C1"/>
    <w:rPr>
      <w:rFonts w:ascii="Tahoma" w:hAnsi="Tahoma" w:cs="Tahoma"/>
      <w:sz w:val="16"/>
      <w:szCs w:val="16"/>
    </w:rPr>
  </w:style>
  <w:style w:type="table" w:styleId="TableGrid">
    <w:name w:val="Table Grid"/>
    <w:basedOn w:val="TableNormal"/>
    <w:uiPriority w:val="59"/>
    <w:rsid w:val="00EA1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Borreguero Calvo</dc:creator>
  <cp:keywords/>
  <dc:description/>
  <cp:lastModifiedBy>Jose Borreguero Calvo</cp:lastModifiedBy>
  <cp:revision>1</cp:revision>
  <dcterms:created xsi:type="dcterms:W3CDTF">2014-07-01T23:23:00Z</dcterms:created>
  <dcterms:modified xsi:type="dcterms:W3CDTF">2014-07-02T17:48:00Z</dcterms:modified>
</cp:coreProperties>
</file>