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1EC8F" w14:textId="77777777" w:rsidR="00A955B6" w:rsidRDefault="00A955B6" w:rsidP="008F2485">
      <w:pPr>
        <w:spacing w:line="480" w:lineRule="auto"/>
        <w:rPr>
          <w:rFonts w:ascii="New times roman" w:hAnsi="New times roman"/>
        </w:rPr>
      </w:pPr>
    </w:p>
    <w:p w14:paraId="71B4D05A" w14:textId="77777777" w:rsidR="008F2485" w:rsidRDefault="008F2485" w:rsidP="008F2485">
      <w:pPr>
        <w:spacing w:line="480" w:lineRule="auto"/>
        <w:rPr>
          <w:rFonts w:ascii="New times roman" w:hAnsi="New times roman"/>
        </w:rPr>
      </w:pPr>
    </w:p>
    <w:p w14:paraId="546D7FF1" w14:textId="77777777" w:rsidR="008F2485" w:rsidRDefault="008F2485" w:rsidP="008F2485">
      <w:pPr>
        <w:spacing w:line="480" w:lineRule="auto"/>
        <w:rPr>
          <w:rFonts w:ascii="New times roman" w:hAnsi="New times roman"/>
        </w:rPr>
      </w:pPr>
    </w:p>
    <w:p w14:paraId="4D3FEDBE" w14:textId="77777777" w:rsidR="008F2485" w:rsidRPr="008F2485" w:rsidRDefault="008F2485" w:rsidP="008F2485">
      <w:pPr>
        <w:spacing w:line="480" w:lineRule="auto"/>
        <w:jc w:val="center"/>
        <w:rPr>
          <w:rFonts w:ascii="New times roman" w:hAnsi="New times roman"/>
          <w:b/>
          <w:bCs/>
          <w:sz w:val="24"/>
          <w:szCs w:val="24"/>
        </w:rPr>
      </w:pPr>
      <w:r w:rsidRPr="008F2485">
        <w:rPr>
          <w:rFonts w:ascii="New times roman" w:hAnsi="New times roman"/>
          <w:b/>
          <w:bCs/>
          <w:sz w:val="24"/>
          <w:szCs w:val="24"/>
        </w:rPr>
        <w:t>IT Security Policy for Handling Departing Students' Accounts</w:t>
      </w:r>
    </w:p>
    <w:p w14:paraId="2890730C" w14:textId="534D8998" w:rsidR="008F2485" w:rsidRPr="008F2485" w:rsidRDefault="008F2485" w:rsidP="008F2485">
      <w:pPr>
        <w:spacing w:line="480" w:lineRule="auto"/>
        <w:jc w:val="center"/>
        <w:rPr>
          <w:rFonts w:ascii="New times roman" w:hAnsi="New times roman"/>
          <w:b/>
          <w:bCs/>
          <w:sz w:val="24"/>
          <w:szCs w:val="24"/>
        </w:rPr>
      </w:pPr>
      <w:r w:rsidRPr="008F2485">
        <w:rPr>
          <w:rFonts w:ascii="New times roman" w:hAnsi="New times roman"/>
          <w:b/>
          <w:bCs/>
          <w:sz w:val="24"/>
          <w:szCs w:val="24"/>
        </w:rPr>
        <w:t>Jason Browder</w:t>
      </w:r>
    </w:p>
    <w:p w14:paraId="433C2BE4" w14:textId="77777777" w:rsidR="008F2485" w:rsidRPr="008F2485" w:rsidRDefault="008F2485" w:rsidP="008F2485">
      <w:pPr>
        <w:spacing w:line="480" w:lineRule="auto"/>
        <w:jc w:val="center"/>
        <w:rPr>
          <w:rFonts w:ascii="New times roman" w:hAnsi="New times roman"/>
          <w:b/>
          <w:bCs/>
          <w:sz w:val="24"/>
          <w:szCs w:val="24"/>
        </w:rPr>
      </w:pPr>
      <w:r w:rsidRPr="008F2485">
        <w:rPr>
          <w:rFonts w:ascii="New times roman" w:hAnsi="New times roman"/>
          <w:b/>
          <w:bCs/>
          <w:sz w:val="24"/>
          <w:szCs w:val="24"/>
        </w:rPr>
        <w:t>CS 4451 Computer Security</w:t>
      </w:r>
    </w:p>
    <w:p w14:paraId="39EB0216" w14:textId="3038C8A2" w:rsidR="008F2485" w:rsidRDefault="008F2485" w:rsidP="008F2485">
      <w:pPr>
        <w:spacing w:line="480" w:lineRule="auto"/>
        <w:jc w:val="center"/>
        <w:rPr>
          <w:rFonts w:ascii="New times roman" w:hAnsi="New times roman"/>
          <w:b/>
          <w:bCs/>
          <w:sz w:val="24"/>
          <w:szCs w:val="24"/>
        </w:rPr>
      </w:pPr>
      <w:r w:rsidRPr="008F2485">
        <w:rPr>
          <w:rFonts w:ascii="New times roman" w:hAnsi="New times roman"/>
          <w:b/>
          <w:bCs/>
          <w:sz w:val="24"/>
          <w:szCs w:val="24"/>
        </w:rPr>
        <w:t>Professor David Tyson</w:t>
      </w:r>
    </w:p>
    <w:p w14:paraId="2396FCC6" w14:textId="77777777" w:rsidR="008F2485" w:rsidRDefault="008F2485" w:rsidP="008F2485">
      <w:pPr>
        <w:spacing w:line="480" w:lineRule="auto"/>
        <w:jc w:val="center"/>
        <w:rPr>
          <w:rFonts w:ascii="New times roman" w:hAnsi="New times roman"/>
          <w:b/>
          <w:bCs/>
          <w:sz w:val="24"/>
          <w:szCs w:val="24"/>
        </w:rPr>
      </w:pPr>
    </w:p>
    <w:p w14:paraId="347D0C10" w14:textId="77777777" w:rsidR="008F2485" w:rsidRDefault="008F2485" w:rsidP="008F2485">
      <w:pPr>
        <w:spacing w:line="480" w:lineRule="auto"/>
        <w:jc w:val="center"/>
        <w:rPr>
          <w:rFonts w:ascii="New times roman" w:hAnsi="New times roman"/>
          <w:b/>
          <w:bCs/>
          <w:sz w:val="24"/>
          <w:szCs w:val="24"/>
        </w:rPr>
      </w:pPr>
    </w:p>
    <w:p w14:paraId="2E7EAE11" w14:textId="77777777" w:rsidR="008F2485" w:rsidRDefault="008F2485" w:rsidP="008F2485">
      <w:pPr>
        <w:spacing w:line="480" w:lineRule="auto"/>
        <w:jc w:val="center"/>
        <w:rPr>
          <w:rFonts w:ascii="New times roman" w:hAnsi="New times roman"/>
          <w:b/>
          <w:bCs/>
          <w:sz w:val="24"/>
          <w:szCs w:val="24"/>
        </w:rPr>
      </w:pPr>
    </w:p>
    <w:p w14:paraId="10437352" w14:textId="77777777" w:rsidR="008F2485" w:rsidRDefault="008F2485" w:rsidP="008F2485">
      <w:pPr>
        <w:spacing w:line="480" w:lineRule="auto"/>
        <w:jc w:val="center"/>
        <w:rPr>
          <w:rFonts w:ascii="New times roman" w:hAnsi="New times roman"/>
          <w:b/>
          <w:bCs/>
          <w:sz w:val="24"/>
          <w:szCs w:val="24"/>
        </w:rPr>
      </w:pPr>
    </w:p>
    <w:p w14:paraId="08EB1B7B" w14:textId="77777777" w:rsidR="008F2485" w:rsidRDefault="008F2485" w:rsidP="008F2485">
      <w:pPr>
        <w:spacing w:line="480" w:lineRule="auto"/>
        <w:jc w:val="center"/>
        <w:rPr>
          <w:rFonts w:ascii="New times roman" w:hAnsi="New times roman"/>
          <w:b/>
          <w:bCs/>
          <w:sz w:val="24"/>
          <w:szCs w:val="24"/>
        </w:rPr>
      </w:pPr>
    </w:p>
    <w:p w14:paraId="4AEA5B1A" w14:textId="77777777" w:rsidR="008F2485" w:rsidRDefault="008F2485" w:rsidP="008F2485">
      <w:pPr>
        <w:spacing w:line="480" w:lineRule="auto"/>
        <w:jc w:val="center"/>
        <w:rPr>
          <w:rFonts w:ascii="New times roman" w:hAnsi="New times roman"/>
          <w:b/>
          <w:bCs/>
          <w:sz w:val="24"/>
          <w:szCs w:val="24"/>
        </w:rPr>
      </w:pPr>
    </w:p>
    <w:p w14:paraId="2BD0F480" w14:textId="77777777" w:rsidR="008F2485" w:rsidRDefault="008F2485" w:rsidP="008F2485">
      <w:pPr>
        <w:spacing w:line="480" w:lineRule="auto"/>
        <w:jc w:val="center"/>
        <w:rPr>
          <w:rFonts w:ascii="New times roman" w:hAnsi="New times roman"/>
          <w:b/>
          <w:bCs/>
          <w:sz w:val="24"/>
          <w:szCs w:val="24"/>
        </w:rPr>
      </w:pPr>
    </w:p>
    <w:p w14:paraId="6A54C2FD" w14:textId="77777777" w:rsidR="008F2485" w:rsidRDefault="008F2485" w:rsidP="008F2485">
      <w:pPr>
        <w:spacing w:line="480" w:lineRule="auto"/>
        <w:jc w:val="center"/>
        <w:rPr>
          <w:rFonts w:ascii="New times roman" w:hAnsi="New times roman"/>
          <w:b/>
          <w:bCs/>
          <w:sz w:val="24"/>
          <w:szCs w:val="24"/>
        </w:rPr>
      </w:pPr>
    </w:p>
    <w:p w14:paraId="5507ACC3" w14:textId="77777777" w:rsidR="008F2485" w:rsidRDefault="008F2485" w:rsidP="008F2485">
      <w:pPr>
        <w:spacing w:line="480" w:lineRule="auto"/>
        <w:jc w:val="center"/>
        <w:rPr>
          <w:rFonts w:ascii="New times roman" w:hAnsi="New times roman"/>
          <w:b/>
          <w:bCs/>
          <w:sz w:val="24"/>
          <w:szCs w:val="24"/>
        </w:rPr>
      </w:pPr>
    </w:p>
    <w:p w14:paraId="3A8C04D4" w14:textId="65CBEEE5" w:rsidR="000819D2" w:rsidRPr="000819D2" w:rsidRDefault="000819D2" w:rsidP="000819D2">
      <w:pPr>
        <w:spacing w:line="480" w:lineRule="auto"/>
        <w:rPr>
          <w:rFonts w:ascii="New times roman" w:hAnsi="New times roman"/>
          <w:b/>
          <w:bCs/>
          <w:sz w:val="24"/>
          <w:szCs w:val="24"/>
        </w:rPr>
      </w:pPr>
    </w:p>
    <w:p w14:paraId="69927192" w14:textId="7B831A21" w:rsidR="000819D2" w:rsidRPr="000819D2" w:rsidRDefault="000819D2" w:rsidP="000819D2">
      <w:pPr>
        <w:spacing w:line="480" w:lineRule="auto"/>
        <w:ind w:firstLine="720"/>
        <w:rPr>
          <w:rFonts w:ascii="New times roman" w:hAnsi="New times roman"/>
          <w:sz w:val="24"/>
          <w:szCs w:val="24"/>
        </w:rPr>
      </w:pPr>
      <w:r w:rsidRPr="000819D2">
        <w:rPr>
          <w:rFonts w:ascii="New times roman" w:hAnsi="New times roman"/>
          <w:sz w:val="24"/>
          <w:szCs w:val="24"/>
        </w:rPr>
        <w:lastRenderedPageBreak/>
        <w:t>When students leave school before completing their programs, their digital footprints and account access must be handled carefully. If not managed properly, it can lead to security risks, data breaches, and even compliance violations (</w:t>
      </w:r>
      <w:proofErr w:type="spellStart"/>
      <w:r w:rsidRPr="000819D2">
        <w:rPr>
          <w:rFonts w:ascii="New times roman" w:hAnsi="New times roman"/>
          <w:sz w:val="24"/>
          <w:szCs w:val="24"/>
        </w:rPr>
        <w:t>Easttom</w:t>
      </w:r>
      <w:proofErr w:type="spellEnd"/>
      <w:r w:rsidRPr="000819D2">
        <w:rPr>
          <w:rFonts w:ascii="New times roman" w:hAnsi="New times roman"/>
          <w:sz w:val="24"/>
          <w:szCs w:val="24"/>
        </w:rPr>
        <w:t>, 2024). As educational institutions increasingly rely on cloud-based technologies, having a clear and structured policy for handling departing students’ accounts is more critical than ever.</w:t>
      </w:r>
    </w:p>
    <w:p w14:paraId="0C8F69CE" w14:textId="10530CFE" w:rsidR="000819D2" w:rsidRPr="000819D2" w:rsidRDefault="000819D2" w:rsidP="005E34CB">
      <w:pPr>
        <w:spacing w:line="480" w:lineRule="auto"/>
        <w:ind w:firstLine="720"/>
        <w:rPr>
          <w:rFonts w:ascii="New times roman" w:hAnsi="New times roman"/>
          <w:sz w:val="24"/>
          <w:szCs w:val="24"/>
        </w:rPr>
      </w:pPr>
      <w:r w:rsidRPr="000819D2">
        <w:rPr>
          <w:rFonts w:ascii="New times roman" w:hAnsi="New times roman"/>
          <w:sz w:val="24"/>
          <w:szCs w:val="24"/>
        </w:rPr>
        <w:t xml:space="preserve">This policy </w:t>
      </w:r>
      <w:r w:rsidR="005E34CB">
        <w:rPr>
          <w:rFonts w:ascii="New times roman" w:hAnsi="New times roman"/>
          <w:sz w:val="24"/>
          <w:szCs w:val="24"/>
        </w:rPr>
        <w:t>safeguards institutional data and ensures</w:t>
      </w:r>
      <w:r w:rsidRPr="000819D2">
        <w:rPr>
          <w:rFonts w:ascii="New times roman" w:hAnsi="New times roman"/>
          <w:sz w:val="24"/>
          <w:szCs w:val="24"/>
        </w:rPr>
        <w:t xml:space="preserve"> a smooth and secure process for deactivating departing students’ accounts while complying with security best practices and legal requirements.</w:t>
      </w:r>
      <w:r w:rsidR="005E34CB">
        <w:rPr>
          <w:rFonts w:ascii="New times roman" w:hAnsi="New times roman"/>
          <w:sz w:val="24"/>
          <w:szCs w:val="24"/>
        </w:rPr>
        <w:t xml:space="preserve"> </w:t>
      </w:r>
      <w:r w:rsidRPr="000819D2">
        <w:rPr>
          <w:rFonts w:ascii="New times roman" w:hAnsi="New times roman"/>
          <w:sz w:val="24"/>
          <w:szCs w:val="24"/>
        </w:rPr>
        <w:t>This policy applies to all students who leave before completing their academic programs, whether due to withdrawal, expulsion, or other forms of termination.</w:t>
      </w:r>
    </w:p>
    <w:p w14:paraId="74DACD30" w14:textId="77777777" w:rsidR="000819D2" w:rsidRPr="000819D2" w:rsidRDefault="000819D2" w:rsidP="000819D2">
      <w:pPr>
        <w:spacing w:line="480" w:lineRule="auto"/>
        <w:rPr>
          <w:rFonts w:ascii="New times roman" w:hAnsi="New times roman"/>
          <w:b/>
          <w:bCs/>
          <w:sz w:val="24"/>
          <w:szCs w:val="24"/>
        </w:rPr>
      </w:pPr>
      <w:r w:rsidRPr="000819D2">
        <w:rPr>
          <w:rFonts w:ascii="New times roman" w:hAnsi="New times roman"/>
          <w:b/>
          <w:bCs/>
          <w:sz w:val="24"/>
          <w:szCs w:val="24"/>
        </w:rPr>
        <w:t>Policy Details</w:t>
      </w:r>
    </w:p>
    <w:p w14:paraId="08FEA3FA" w14:textId="77777777" w:rsidR="000819D2" w:rsidRPr="000819D2" w:rsidRDefault="000819D2" w:rsidP="000819D2">
      <w:pPr>
        <w:spacing w:line="480" w:lineRule="auto"/>
        <w:rPr>
          <w:rFonts w:ascii="New times roman" w:hAnsi="New times roman"/>
          <w:b/>
          <w:bCs/>
          <w:sz w:val="24"/>
          <w:szCs w:val="24"/>
        </w:rPr>
      </w:pPr>
      <w:r w:rsidRPr="000819D2">
        <w:rPr>
          <w:rFonts w:ascii="New times roman" w:hAnsi="New times roman"/>
          <w:b/>
          <w:bCs/>
          <w:sz w:val="24"/>
          <w:szCs w:val="24"/>
        </w:rPr>
        <w:t>1. Notification of Departure</w:t>
      </w:r>
    </w:p>
    <w:p w14:paraId="2BE552E9" w14:textId="77777777" w:rsidR="000819D2" w:rsidRPr="000819D2" w:rsidRDefault="000819D2" w:rsidP="000819D2">
      <w:pPr>
        <w:numPr>
          <w:ilvl w:val="0"/>
          <w:numId w:val="18"/>
        </w:numPr>
        <w:spacing w:line="480" w:lineRule="auto"/>
        <w:rPr>
          <w:rFonts w:ascii="New times roman" w:hAnsi="New times roman"/>
          <w:sz w:val="24"/>
          <w:szCs w:val="24"/>
        </w:rPr>
      </w:pPr>
      <w:r w:rsidRPr="000819D2">
        <w:rPr>
          <w:rFonts w:ascii="New times roman" w:hAnsi="New times roman"/>
          <w:sz w:val="24"/>
          <w:szCs w:val="24"/>
        </w:rPr>
        <w:t>As soon as a student’s departure is confirmed, the Registrar’s Office must notify the IT department immediately.</w:t>
      </w:r>
    </w:p>
    <w:p w14:paraId="17AA8B1D" w14:textId="77777777" w:rsidR="000819D2" w:rsidRPr="000819D2" w:rsidRDefault="000819D2" w:rsidP="000819D2">
      <w:pPr>
        <w:numPr>
          <w:ilvl w:val="0"/>
          <w:numId w:val="18"/>
        </w:numPr>
        <w:spacing w:line="480" w:lineRule="auto"/>
        <w:rPr>
          <w:rFonts w:ascii="New times roman" w:hAnsi="New times roman"/>
          <w:sz w:val="24"/>
          <w:szCs w:val="24"/>
        </w:rPr>
      </w:pPr>
      <w:r w:rsidRPr="000819D2">
        <w:rPr>
          <w:rFonts w:ascii="New times roman" w:hAnsi="New times roman"/>
          <w:sz w:val="24"/>
          <w:szCs w:val="24"/>
        </w:rPr>
        <w:t>The notification should include the student’s full name, ID number, and departure date (</w:t>
      </w:r>
      <w:proofErr w:type="spellStart"/>
      <w:r w:rsidRPr="000819D2">
        <w:rPr>
          <w:rFonts w:ascii="New times roman" w:hAnsi="New times roman"/>
          <w:sz w:val="24"/>
          <w:szCs w:val="24"/>
        </w:rPr>
        <w:t>Easttom</w:t>
      </w:r>
      <w:proofErr w:type="spellEnd"/>
      <w:r w:rsidRPr="000819D2">
        <w:rPr>
          <w:rFonts w:ascii="New times roman" w:hAnsi="New times roman"/>
          <w:sz w:val="24"/>
          <w:szCs w:val="24"/>
        </w:rPr>
        <w:t>, 2024).</w:t>
      </w:r>
    </w:p>
    <w:p w14:paraId="04A7A28B" w14:textId="77777777" w:rsidR="000819D2" w:rsidRPr="000819D2" w:rsidRDefault="000819D2" w:rsidP="000819D2">
      <w:pPr>
        <w:spacing w:line="480" w:lineRule="auto"/>
        <w:rPr>
          <w:rFonts w:ascii="New times roman" w:hAnsi="New times roman"/>
          <w:b/>
          <w:bCs/>
          <w:sz w:val="24"/>
          <w:szCs w:val="24"/>
        </w:rPr>
      </w:pPr>
      <w:r w:rsidRPr="000819D2">
        <w:rPr>
          <w:rFonts w:ascii="New times roman" w:hAnsi="New times roman"/>
          <w:b/>
          <w:bCs/>
          <w:sz w:val="24"/>
          <w:szCs w:val="24"/>
        </w:rPr>
        <w:t>2. Account Deactivation</w:t>
      </w:r>
    </w:p>
    <w:p w14:paraId="2E135B28" w14:textId="05805622" w:rsidR="000819D2" w:rsidRPr="000819D2" w:rsidRDefault="000819D2" w:rsidP="000819D2">
      <w:pPr>
        <w:numPr>
          <w:ilvl w:val="0"/>
          <w:numId w:val="19"/>
        </w:numPr>
        <w:spacing w:line="480" w:lineRule="auto"/>
        <w:rPr>
          <w:rFonts w:ascii="New times roman" w:hAnsi="New times roman"/>
          <w:sz w:val="24"/>
          <w:szCs w:val="24"/>
        </w:rPr>
      </w:pPr>
      <w:r w:rsidRPr="000819D2">
        <w:rPr>
          <w:rFonts w:ascii="New times roman" w:hAnsi="New times roman"/>
          <w:sz w:val="24"/>
          <w:szCs w:val="24"/>
        </w:rPr>
        <w:t xml:space="preserve">The IT team must deactivate the </w:t>
      </w:r>
      <w:r w:rsidR="005E34CB" w:rsidRPr="000819D2">
        <w:rPr>
          <w:rFonts w:ascii="New times roman" w:hAnsi="New times roman"/>
          <w:sz w:val="24"/>
          <w:szCs w:val="24"/>
        </w:rPr>
        <w:t>students’</w:t>
      </w:r>
      <w:r w:rsidRPr="000819D2">
        <w:rPr>
          <w:rFonts w:ascii="New times roman" w:hAnsi="New times roman"/>
          <w:sz w:val="24"/>
          <w:szCs w:val="24"/>
        </w:rPr>
        <w:t xml:space="preserve"> digital access (e</w:t>
      </w:r>
      <w:r w:rsidR="005E34CB">
        <w:rPr>
          <w:rFonts w:ascii="New times roman" w:hAnsi="New times roman"/>
          <w:sz w:val="24"/>
          <w:szCs w:val="24"/>
        </w:rPr>
        <w:t>x</w:t>
      </w:r>
      <w:r w:rsidRPr="000819D2">
        <w:rPr>
          <w:rFonts w:ascii="New times roman" w:hAnsi="New times roman"/>
          <w:sz w:val="24"/>
          <w:szCs w:val="24"/>
        </w:rPr>
        <w:t>., emails, portals, and any university-provided software accounts) within 24 hours of receiving the notification.</w:t>
      </w:r>
    </w:p>
    <w:p w14:paraId="379CCAE6" w14:textId="77777777" w:rsidR="000819D2" w:rsidRPr="000819D2" w:rsidRDefault="000819D2" w:rsidP="000819D2">
      <w:pPr>
        <w:numPr>
          <w:ilvl w:val="0"/>
          <w:numId w:val="19"/>
        </w:numPr>
        <w:spacing w:line="480" w:lineRule="auto"/>
        <w:rPr>
          <w:rFonts w:ascii="New times roman" w:hAnsi="New times roman"/>
          <w:sz w:val="24"/>
          <w:szCs w:val="24"/>
        </w:rPr>
      </w:pPr>
      <w:r w:rsidRPr="000819D2">
        <w:rPr>
          <w:rFonts w:ascii="New times roman" w:hAnsi="New times roman"/>
          <w:sz w:val="24"/>
          <w:szCs w:val="24"/>
        </w:rPr>
        <w:lastRenderedPageBreak/>
        <w:t>Access should be revoked based on the principles of least privilege and implicit deny, ensuring that no unnecessary access remains active (</w:t>
      </w:r>
      <w:proofErr w:type="spellStart"/>
      <w:r w:rsidRPr="000819D2">
        <w:rPr>
          <w:rFonts w:ascii="New times roman" w:hAnsi="New times roman"/>
          <w:sz w:val="24"/>
          <w:szCs w:val="24"/>
        </w:rPr>
        <w:t>Easttom</w:t>
      </w:r>
      <w:proofErr w:type="spellEnd"/>
      <w:r w:rsidRPr="000819D2">
        <w:rPr>
          <w:rFonts w:ascii="New times roman" w:hAnsi="New times roman"/>
          <w:sz w:val="24"/>
          <w:szCs w:val="24"/>
        </w:rPr>
        <w:t>, 2024; National Institute of Standards and Technology [NIST], 1995).</w:t>
      </w:r>
    </w:p>
    <w:p w14:paraId="1520AA55" w14:textId="77777777" w:rsidR="000819D2" w:rsidRPr="000819D2" w:rsidRDefault="000819D2" w:rsidP="000819D2">
      <w:pPr>
        <w:spacing w:line="480" w:lineRule="auto"/>
        <w:rPr>
          <w:rFonts w:ascii="New times roman" w:hAnsi="New times roman"/>
          <w:b/>
          <w:bCs/>
          <w:sz w:val="24"/>
          <w:szCs w:val="24"/>
        </w:rPr>
      </w:pPr>
      <w:r w:rsidRPr="000819D2">
        <w:rPr>
          <w:rFonts w:ascii="New times roman" w:hAnsi="New times roman"/>
          <w:b/>
          <w:bCs/>
          <w:sz w:val="24"/>
          <w:szCs w:val="24"/>
        </w:rPr>
        <w:t>3. Data Retention and Transfer</w:t>
      </w:r>
    </w:p>
    <w:p w14:paraId="21332B04" w14:textId="77777777" w:rsidR="000819D2" w:rsidRPr="000819D2" w:rsidRDefault="000819D2" w:rsidP="000819D2">
      <w:pPr>
        <w:numPr>
          <w:ilvl w:val="0"/>
          <w:numId w:val="20"/>
        </w:numPr>
        <w:spacing w:line="480" w:lineRule="auto"/>
        <w:rPr>
          <w:rFonts w:ascii="New times roman" w:hAnsi="New times roman"/>
          <w:sz w:val="24"/>
          <w:szCs w:val="24"/>
        </w:rPr>
      </w:pPr>
      <w:r w:rsidRPr="000819D2">
        <w:rPr>
          <w:rFonts w:ascii="New times roman" w:hAnsi="New times roman"/>
          <w:sz w:val="24"/>
          <w:szCs w:val="24"/>
        </w:rPr>
        <w:t>Student data should be securely archived or removed based on institutional policies and legal regulations (</w:t>
      </w:r>
      <w:proofErr w:type="spellStart"/>
      <w:r w:rsidRPr="000819D2">
        <w:rPr>
          <w:rFonts w:ascii="New times roman" w:hAnsi="New times roman"/>
          <w:sz w:val="24"/>
          <w:szCs w:val="24"/>
        </w:rPr>
        <w:t>Lepide</w:t>
      </w:r>
      <w:proofErr w:type="spellEnd"/>
      <w:r w:rsidRPr="000819D2">
        <w:rPr>
          <w:rFonts w:ascii="New times roman" w:hAnsi="New times roman"/>
          <w:sz w:val="24"/>
          <w:szCs w:val="24"/>
        </w:rPr>
        <w:t>, 2023).</w:t>
      </w:r>
    </w:p>
    <w:p w14:paraId="4305EB68" w14:textId="53F49FC9" w:rsidR="000819D2" w:rsidRPr="000819D2" w:rsidRDefault="000819D2" w:rsidP="000819D2">
      <w:pPr>
        <w:numPr>
          <w:ilvl w:val="0"/>
          <w:numId w:val="20"/>
        </w:numPr>
        <w:spacing w:line="480" w:lineRule="auto"/>
        <w:rPr>
          <w:rFonts w:ascii="New times roman" w:hAnsi="New times roman"/>
          <w:sz w:val="24"/>
          <w:szCs w:val="24"/>
        </w:rPr>
      </w:pPr>
      <w:r w:rsidRPr="000819D2">
        <w:rPr>
          <w:rFonts w:ascii="New times roman" w:hAnsi="New times roman"/>
          <w:sz w:val="24"/>
          <w:szCs w:val="24"/>
        </w:rPr>
        <w:t xml:space="preserve">If applicable, students must be </w:t>
      </w:r>
      <w:r w:rsidR="00DC4F6A" w:rsidRPr="00DC4F6A">
        <w:rPr>
          <w:rFonts w:ascii="New times roman" w:hAnsi="New times roman"/>
          <w:sz w:val="24"/>
          <w:szCs w:val="24"/>
        </w:rPr>
        <w:t>allowed</w:t>
      </w:r>
      <w:r w:rsidRPr="000819D2">
        <w:rPr>
          <w:rFonts w:ascii="New times roman" w:hAnsi="New times roman"/>
          <w:sz w:val="24"/>
          <w:szCs w:val="24"/>
        </w:rPr>
        <w:t xml:space="preserve"> to transfer personal or academic files (e.g., research, assignments) before their accounts are deactivated.</w:t>
      </w:r>
    </w:p>
    <w:p w14:paraId="5524BC09" w14:textId="77777777" w:rsidR="000819D2" w:rsidRPr="000819D2" w:rsidRDefault="000819D2" w:rsidP="000819D2">
      <w:pPr>
        <w:numPr>
          <w:ilvl w:val="0"/>
          <w:numId w:val="20"/>
        </w:numPr>
        <w:spacing w:line="480" w:lineRule="auto"/>
        <w:rPr>
          <w:rFonts w:ascii="New times roman" w:hAnsi="New times roman"/>
          <w:sz w:val="24"/>
          <w:szCs w:val="24"/>
        </w:rPr>
      </w:pPr>
      <w:r w:rsidRPr="000819D2">
        <w:rPr>
          <w:rFonts w:ascii="New times roman" w:hAnsi="New times roman"/>
          <w:sz w:val="24"/>
          <w:szCs w:val="24"/>
        </w:rPr>
        <w:t>When cloud-based storage is involved, encryption and strict access controls must be used to prevent unauthorized access.</w:t>
      </w:r>
    </w:p>
    <w:p w14:paraId="7D4E9B81" w14:textId="77777777" w:rsidR="000819D2" w:rsidRPr="000819D2" w:rsidRDefault="000819D2" w:rsidP="000819D2">
      <w:pPr>
        <w:spacing w:line="480" w:lineRule="auto"/>
        <w:rPr>
          <w:rFonts w:ascii="New times roman" w:hAnsi="New times roman"/>
          <w:b/>
          <w:bCs/>
          <w:sz w:val="24"/>
          <w:szCs w:val="24"/>
        </w:rPr>
      </w:pPr>
      <w:r w:rsidRPr="000819D2">
        <w:rPr>
          <w:rFonts w:ascii="New times roman" w:hAnsi="New times roman"/>
          <w:b/>
          <w:bCs/>
          <w:sz w:val="24"/>
          <w:szCs w:val="24"/>
        </w:rPr>
        <w:t>4. Access to Physical and Virtual Resources</w:t>
      </w:r>
    </w:p>
    <w:p w14:paraId="4BB095D4" w14:textId="77777777" w:rsidR="000819D2" w:rsidRPr="000819D2" w:rsidRDefault="000819D2" w:rsidP="000819D2">
      <w:pPr>
        <w:numPr>
          <w:ilvl w:val="0"/>
          <w:numId w:val="21"/>
        </w:numPr>
        <w:spacing w:line="480" w:lineRule="auto"/>
        <w:rPr>
          <w:rFonts w:ascii="New times roman" w:hAnsi="New times roman"/>
          <w:sz w:val="24"/>
          <w:szCs w:val="24"/>
        </w:rPr>
      </w:pPr>
      <w:r w:rsidRPr="000819D2">
        <w:rPr>
          <w:rFonts w:ascii="New times roman" w:hAnsi="New times roman"/>
          <w:sz w:val="24"/>
          <w:szCs w:val="24"/>
        </w:rPr>
        <w:t>Any ID cards, access badges, or keys assigned to the student must be collected.</w:t>
      </w:r>
    </w:p>
    <w:p w14:paraId="5070CA7E" w14:textId="77777777" w:rsidR="000819D2" w:rsidRPr="000819D2" w:rsidRDefault="000819D2" w:rsidP="000819D2">
      <w:pPr>
        <w:numPr>
          <w:ilvl w:val="0"/>
          <w:numId w:val="21"/>
        </w:numPr>
        <w:spacing w:line="480" w:lineRule="auto"/>
        <w:rPr>
          <w:rFonts w:ascii="New times roman" w:hAnsi="New times roman"/>
          <w:sz w:val="24"/>
          <w:szCs w:val="24"/>
        </w:rPr>
      </w:pPr>
      <w:r w:rsidRPr="000819D2">
        <w:rPr>
          <w:rFonts w:ascii="New times roman" w:hAnsi="New times roman"/>
          <w:sz w:val="24"/>
          <w:szCs w:val="24"/>
        </w:rPr>
        <w:t>Physical access to campus facilities, such as computer labs, research centers, and libraries, should be revoked immediately (</w:t>
      </w:r>
      <w:proofErr w:type="spellStart"/>
      <w:r w:rsidRPr="000819D2">
        <w:rPr>
          <w:rFonts w:ascii="New times roman" w:hAnsi="New times roman"/>
          <w:sz w:val="24"/>
          <w:szCs w:val="24"/>
        </w:rPr>
        <w:t>Easttom</w:t>
      </w:r>
      <w:proofErr w:type="spellEnd"/>
      <w:r w:rsidRPr="000819D2">
        <w:rPr>
          <w:rFonts w:ascii="New times roman" w:hAnsi="New times roman"/>
          <w:sz w:val="24"/>
          <w:szCs w:val="24"/>
        </w:rPr>
        <w:t>, 2024).</w:t>
      </w:r>
    </w:p>
    <w:p w14:paraId="121533DF" w14:textId="77777777" w:rsidR="000819D2" w:rsidRPr="000819D2" w:rsidRDefault="000819D2" w:rsidP="000819D2">
      <w:pPr>
        <w:spacing w:line="480" w:lineRule="auto"/>
        <w:rPr>
          <w:rFonts w:ascii="New times roman" w:hAnsi="New times roman"/>
          <w:b/>
          <w:bCs/>
          <w:sz w:val="24"/>
          <w:szCs w:val="24"/>
        </w:rPr>
      </w:pPr>
      <w:r w:rsidRPr="000819D2">
        <w:rPr>
          <w:rFonts w:ascii="New times roman" w:hAnsi="New times roman"/>
          <w:b/>
          <w:bCs/>
          <w:sz w:val="24"/>
          <w:szCs w:val="24"/>
        </w:rPr>
        <w:t>5. Security Audit and Documentation</w:t>
      </w:r>
    </w:p>
    <w:p w14:paraId="52739B4C" w14:textId="03CDCD67" w:rsidR="000819D2" w:rsidRPr="000819D2" w:rsidRDefault="000819D2" w:rsidP="000819D2">
      <w:pPr>
        <w:numPr>
          <w:ilvl w:val="0"/>
          <w:numId w:val="22"/>
        </w:numPr>
        <w:spacing w:line="480" w:lineRule="auto"/>
        <w:rPr>
          <w:rFonts w:ascii="New times roman" w:hAnsi="New times roman"/>
          <w:sz w:val="24"/>
          <w:szCs w:val="24"/>
        </w:rPr>
      </w:pPr>
      <w:r w:rsidRPr="000819D2">
        <w:rPr>
          <w:rFonts w:ascii="New times roman" w:hAnsi="New times roman"/>
          <w:sz w:val="24"/>
          <w:szCs w:val="24"/>
        </w:rPr>
        <w:t xml:space="preserve">A security audit must be </w:t>
      </w:r>
      <w:r w:rsidR="00DC4F6A" w:rsidRPr="00DC4F6A">
        <w:rPr>
          <w:rFonts w:ascii="New times roman" w:hAnsi="New times roman"/>
          <w:sz w:val="24"/>
          <w:szCs w:val="24"/>
        </w:rPr>
        <w:t>conducted</w:t>
      </w:r>
      <w:r w:rsidRPr="000819D2">
        <w:rPr>
          <w:rFonts w:ascii="New times roman" w:hAnsi="New times roman"/>
          <w:sz w:val="24"/>
          <w:szCs w:val="24"/>
        </w:rPr>
        <w:t xml:space="preserve"> to ensure the departing student hasn’t engaged in unauthorized activities before their departure (NIST, 1995).</w:t>
      </w:r>
    </w:p>
    <w:p w14:paraId="38198FAC" w14:textId="77777777" w:rsidR="000819D2" w:rsidRPr="000819D2" w:rsidRDefault="000819D2" w:rsidP="000819D2">
      <w:pPr>
        <w:numPr>
          <w:ilvl w:val="0"/>
          <w:numId w:val="22"/>
        </w:numPr>
        <w:spacing w:line="480" w:lineRule="auto"/>
        <w:rPr>
          <w:rFonts w:ascii="New times roman" w:hAnsi="New times roman"/>
          <w:sz w:val="24"/>
          <w:szCs w:val="24"/>
        </w:rPr>
      </w:pPr>
      <w:r w:rsidRPr="000819D2">
        <w:rPr>
          <w:rFonts w:ascii="New times roman" w:hAnsi="New times roman"/>
          <w:sz w:val="24"/>
          <w:szCs w:val="24"/>
        </w:rPr>
        <w:t>The entire account deactivation process should be recorded and securely stored for compliance and future reference (</w:t>
      </w:r>
      <w:proofErr w:type="spellStart"/>
      <w:r w:rsidRPr="000819D2">
        <w:rPr>
          <w:rFonts w:ascii="New times roman" w:hAnsi="New times roman"/>
          <w:sz w:val="24"/>
          <w:szCs w:val="24"/>
        </w:rPr>
        <w:t>Pathlock</w:t>
      </w:r>
      <w:proofErr w:type="spellEnd"/>
      <w:r w:rsidRPr="000819D2">
        <w:rPr>
          <w:rFonts w:ascii="New times roman" w:hAnsi="New times roman"/>
          <w:sz w:val="24"/>
          <w:szCs w:val="24"/>
        </w:rPr>
        <w:t>, 2023).</w:t>
      </w:r>
    </w:p>
    <w:p w14:paraId="47A983E3" w14:textId="77777777" w:rsidR="000819D2" w:rsidRPr="000819D2" w:rsidRDefault="000819D2" w:rsidP="000819D2">
      <w:pPr>
        <w:spacing w:line="480" w:lineRule="auto"/>
        <w:rPr>
          <w:rFonts w:ascii="New times roman" w:hAnsi="New times roman"/>
          <w:b/>
          <w:bCs/>
          <w:sz w:val="24"/>
          <w:szCs w:val="24"/>
        </w:rPr>
      </w:pPr>
      <w:r w:rsidRPr="000819D2">
        <w:rPr>
          <w:rFonts w:ascii="New times roman" w:hAnsi="New times roman"/>
          <w:b/>
          <w:bCs/>
          <w:sz w:val="24"/>
          <w:szCs w:val="24"/>
        </w:rPr>
        <w:t>6. Confirmation of Deactivation</w:t>
      </w:r>
    </w:p>
    <w:p w14:paraId="4D358377" w14:textId="77777777" w:rsidR="000819D2" w:rsidRPr="000819D2" w:rsidRDefault="000819D2" w:rsidP="000819D2">
      <w:pPr>
        <w:numPr>
          <w:ilvl w:val="0"/>
          <w:numId w:val="23"/>
        </w:numPr>
        <w:spacing w:line="480" w:lineRule="auto"/>
        <w:rPr>
          <w:rFonts w:ascii="New times roman" w:hAnsi="New times roman"/>
          <w:sz w:val="24"/>
          <w:szCs w:val="24"/>
        </w:rPr>
      </w:pPr>
      <w:r w:rsidRPr="000819D2">
        <w:rPr>
          <w:rFonts w:ascii="New times roman" w:hAnsi="New times roman"/>
          <w:sz w:val="24"/>
          <w:szCs w:val="24"/>
        </w:rPr>
        <w:lastRenderedPageBreak/>
        <w:t>Once all necessary steps have been completed, IT should send final confirmation to the Registrar’s Office and other relevant departments.</w:t>
      </w:r>
    </w:p>
    <w:p w14:paraId="19014A91" w14:textId="77777777" w:rsidR="000819D2" w:rsidRPr="000819D2" w:rsidRDefault="000819D2" w:rsidP="000819D2">
      <w:pPr>
        <w:spacing w:line="480" w:lineRule="auto"/>
        <w:rPr>
          <w:rFonts w:ascii="New times roman" w:hAnsi="New times roman"/>
          <w:b/>
          <w:bCs/>
          <w:sz w:val="24"/>
          <w:szCs w:val="24"/>
        </w:rPr>
      </w:pPr>
      <w:r w:rsidRPr="000819D2">
        <w:rPr>
          <w:rFonts w:ascii="New times roman" w:hAnsi="New times roman"/>
          <w:b/>
          <w:bCs/>
          <w:sz w:val="24"/>
          <w:szCs w:val="24"/>
        </w:rPr>
        <w:t>7. Policy Review and Updates</w:t>
      </w:r>
    </w:p>
    <w:p w14:paraId="61966A73" w14:textId="77777777" w:rsidR="000819D2" w:rsidRPr="000819D2" w:rsidRDefault="000819D2" w:rsidP="000819D2">
      <w:pPr>
        <w:numPr>
          <w:ilvl w:val="0"/>
          <w:numId w:val="24"/>
        </w:numPr>
        <w:spacing w:line="480" w:lineRule="auto"/>
        <w:rPr>
          <w:rFonts w:ascii="New times roman" w:hAnsi="New times roman"/>
          <w:sz w:val="24"/>
          <w:szCs w:val="24"/>
        </w:rPr>
      </w:pPr>
      <w:r w:rsidRPr="000819D2">
        <w:rPr>
          <w:rFonts w:ascii="New times roman" w:hAnsi="New times roman"/>
          <w:sz w:val="24"/>
          <w:szCs w:val="24"/>
        </w:rPr>
        <w:t>This policy should be reviewed and updated periodically to stay aligned with evolving security threats and regulatory requirements.</w:t>
      </w:r>
    </w:p>
    <w:p w14:paraId="627EAC72" w14:textId="77777777" w:rsidR="000819D2" w:rsidRPr="000819D2" w:rsidRDefault="000819D2" w:rsidP="000819D2">
      <w:pPr>
        <w:numPr>
          <w:ilvl w:val="0"/>
          <w:numId w:val="24"/>
        </w:numPr>
        <w:spacing w:line="480" w:lineRule="auto"/>
        <w:rPr>
          <w:rFonts w:ascii="New times roman" w:hAnsi="New times roman"/>
          <w:sz w:val="24"/>
          <w:szCs w:val="24"/>
        </w:rPr>
      </w:pPr>
      <w:r w:rsidRPr="000819D2">
        <w:rPr>
          <w:rFonts w:ascii="New times roman" w:hAnsi="New times roman"/>
          <w:sz w:val="24"/>
          <w:szCs w:val="24"/>
        </w:rPr>
        <w:t>Feedback from IT audits, security reports, and compliance checks should be incorporated into updates (</w:t>
      </w:r>
      <w:proofErr w:type="spellStart"/>
      <w:r w:rsidRPr="000819D2">
        <w:rPr>
          <w:rFonts w:ascii="New times roman" w:hAnsi="New times roman"/>
          <w:sz w:val="24"/>
          <w:szCs w:val="24"/>
        </w:rPr>
        <w:t>Pathlock</w:t>
      </w:r>
      <w:proofErr w:type="spellEnd"/>
      <w:r w:rsidRPr="000819D2">
        <w:rPr>
          <w:rFonts w:ascii="New times roman" w:hAnsi="New times roman"/>
          <w:sz w:val="24"/>
          <w:szCs w:val="24"/>
        </w:rPr>
        <w:t>, 2023).</w:t>
      </w:r>
    </w:p>
    <w:p w14:paraId="30AA761E" w14:textId="77777777" w:rsidR="000819D2" w:rsidRPr="000819D2" w:rsidRDefault="000819D2" w:rsidP="000819D2">
      <w:pPr>
        <w:spacing w:line="480" w:lineRule="auto"/>
        <w:rPr>
          <w:rFonts w:ascii="New times roman" w:hAnsi="New times roman"/>
          <w:b/>
          <w:bCs/>
          <w:sz w:val="24"/>
          <w:szCs w:val="24"/>
        </w:rPr>
      </w:pPr>
      <w:r w:rsidRPr="000819D2">
        <w:rPr>
          <w:rFonts w:ascii="New times roman" w:hAnsi="New times roman"/>
          <w:b/>
          <w:bCs/>
          <w:sz w:val="24"/>
          <w:szCs w:val="24"/>
        </w:rPr>
        <w:t>Supporting Guidelines</w:t>
      </w:r>
    </w:p>
    <w:p w14:paraId="16823B89" w14:textId="77777777" w:rsidR="000819D2" w:rsidRPr="000819D2" w:rsidRDefault="000819D2" w:rsidP="000819D2">
      <w:pPr>
        <w:numPr>
          <w:ilvl w:val="0"/>
          <w:numId w:val="25"/>
        </w:numPr>
        <w:spacing w:line="480" w:lineRule="auto"/>
        <w:rPr>
          <w:rFonts w:ascii="New times roman" w:hAnsi="New times roman"/>
          <w:sz w:val="24"/>
          <w:szCs w:val="24"/>
        </w:rPr>
      </w:pPr>
      <w:r w:rsidRPr="000819D2">
        <w:rPr>
          <w:rFonts w:ascii="New times roman" w:hAnsi="New times roman"/>
          <w:sz w:val="24"/>
          <w:szCs w:val="24"/>
        </w:rPr>
        <w:t>Data Classification and Protection: All student data should be handled in compliance with FERPA and internal security policies (</w:t>
      </w:r>
      <w:proofErr w:type="spellStart"/>
      <w:r w:rsidRPr="000819D2">
        <w:rPr>
          <w:rFonts w:ascii="New times roman" w:hAnsi="New times roman"/>
          <w:sz w:val="24"/>
          <w:szCs w:val="24"/>
        </w:rPr>
        <w:t>Lepide</w:t>
      </w:r>
      <w:proofErr w:type="spellEnd"/>
      <w:r w:rsidRPr="000819D2">
        <w:rPr>
          <w:rFonts w:ascii="New times roman" w:hAnsi="New times roman"/>
          <w:sz w:val="24"/>
          <w:szCs w:val="24"/>
        </w:rPr>
        <w:t>, 2023).</w:t>
      </w:r>
    </w:p>
    <w:p w14:paraId="1D32BA0F" w14:textId="77777777" w:rsidR="000819D2" w:rsidRPr="000819D2" w:rsidRDefault="000819D2" w:rsidP="000819D2">
      <w:pPr>
        <w:numPr>
          <w:ilvl w:val="0"/>
          <w:numId w:val="25"/>
        </w:numPr>
        <w:spacing w:line="480" w:lineRule="auto"/>
        <w:rPr>
          <w:rFonts w:ascii="New times roman" w:hAnsi="New times roman"/>
          <w:sz w:val="24"/>
          <w:szCs w:val="24"/>
        </w:rPr>
      </w:pPr>
      <w:r w:rsidRPr="000819D2">
        <w:rPr>
          <w:rFonts w:ascii="New times roman" w:hAnsi="New times roman"/>
          <w:sz w:val="24"/>
          <w:szCs w:val="24"/>
        </w:rPr>
        <w:t>Incident Response Plan: IT should have a well-defined process for detecting and responding to security breaches during the account deactivation process (NIST, 1995).</w:t>
      </w:r>
    </w:p>
    <w:p w14:paraId="3E188945" w14:textId="77777777" w:rsidR="000819D2" w:rsidRPr="000819D2" w:rsidRDefault="000819D2" w:rsidP="000819D2">
      <w:pPr>
        <w:numPr>
          <w:ilvl w:val="0"/>
          <w:numId w:val="25"/>
        </w:numPr>
        <w:spacing w:line="480" w:lineRule="auto"/>
        <w:rPr>
          <w:rFonts w:ascii="New times roman" w:hAnsi="New times roman"/>
          <w:sz w:val="24"/>
          <w:szCs w:val="24"/>
        </w:rPr>
      </w:pPr>
      <w:r w:rsidRPr="000819D2">
        <w:rPr>
          <w:rFonts w:ascii="New times roman" w:hAnsi="New times roman"/>
          <w:sz w:val="24"/>
          <w:szCs w:val="24"/>
        </w:rPr>
        <w:t>Staff Training and Awareness: IT personnel and administrators should be trained on best practices for secure account management (</w:t>
      </w:r>
      <w:proofErr w:type="spellStart"/>
      <w:r w:rsidRPr="000819D2">
        <w:rPr>
          <w:rFonts w:ascii="New times roman" w:hAnsi="New times roman"/>
          <w:sz w:val="24"/>
          <w:szCs w:val="24"/>
        </w:rPr>
        <w:t>Easttom</w:t>
      </w:r>
      <w:proofErr w:type="spellEnd"/>
      <w:r w:rsidRPr="000819D2">
        <w:rPr>
          <w:rFonts w:ascii="New times roman" w:hAnsi="New times roman"/>
          <w:sz w:val="24"/>
          <w:szCs w:val="24"/>
        </w:rPr>
        <w:t>, 2024).</w:t>
      </w:r>
    </w:p>
    <w:p w14:paraId="4E570245" w14:textId="77777777" w:rsidR="000819D2" w:rsidRPr="000819D2" w:rsidRDefault="000819D2" w:rsidP="000819D2">
      <w:pPr>
        <w:spacing w:line="480" w:lineRule="auto"/>
        <w:rPr>
          <w:rFonts w:ascii="New times roman" w:hAnsi="New times roman"/>
          <w:sz w:val="24"/>
          <w:szCs w:val="24"/>
        </w:rPr>
      </w:pPr>
      <w:r w:rsidRPr="000819D2">
        <w:rPr>
          <w:rFonts w:ascii="New times roman" w:hAnsi="New times roman"/>
          <w:sz w:val="24"/>
          <w:szCs w:val="24"/>
        </w:rPr>
        <w:t>By implementing these measures, we can protect institutional data, maintain compliance, and ensure a secure transition for departing students.</w:t>
      </w:r>
    </w:p>
    <w:p w14:paraId="7AFEE19C" w14:textId="094DA018" w:rsidR="000819D2" w:rsidRDefault="000819D2" w:rsidP="000819D2">
      <w:pPr>
        <w:spacing w:line="480" w:lineRule="auto"/>
        <w:rPr>
          <w:rFonts w:ascii="New times roman" w:hAnsi="New times roman"/>
          <w:sz w:val="24"/>
          <w:szCs w:val="24"/>
        </w:rPr>
      </w:pPr>
    </w:p>
    <w:p w14:paraId="581E2E8D" w14:textId="77777777" w:rsidR="00DC4F6A" w:rsidRDefault="00DC4F6A" w:rsidP="000819D2">
      <w:pPr>
        <w:spacing w:line="480" w:lineRule="auto"/>
        <w:rPr>
          <w:rFonts w:ascii="New times roman" w:hAnsi="New times roman"/>
          <w:sz w:val="24"/>
          <w:szCs w:val="24"/>
        </w:rPr>
      </w:pPr>
    </w:p>
    <w:p w14:paraId="4CB8EB52" w14:textId="77777777" w:rsidR="00DC4F6A" w:rsidRPr="000819D2" w:rsidRDefault="00DC4F6A" w:rsidP="000819D2">
      <w:pPr>
        <w:spacing w:line="480" w:lineRule="auto"/>
        <w:rPr>
          <w:rFonts w:ascii="New times roman" w:hAnsi="New times roman"/>
          <w:sz w:val="24"/>
          <w:szCs w:val="24"/>
        </w:rPr>
      </w:pPr>
    </w:p>
    <w:p w14:paraId="1F2227FE" w14:textId="77777777" w:rsidR="000819D2" w:rsidRPr="000819D2" w:rsidRDefault="000819D2" w:rsidP="00DC4F6A">
      <w:pPr>
        <w:spacing w:line="480" w:lineRule="auto"/>
        <w:jc w:val="center"/>
        <w:rPr>
          <w:rFonts w:ascii="New times roman" w:hAnsi="New times roman"/>
          <w:b/>
          <w:bCs/>
          <w:sz w:val="24"/>
          <w:szCs w:val="24"/>
        </w:rPr>
      </w:pPr>
      <w:r w:rsidRPr="000819D2">
        <w:rPr>
          <w:rFonts w:ascii="New times roman" w:hAnsi="New times roman"/>
          <w:b/>
          <w:bCs/>
          <w:sz w:val="24"/>
          <w:szCs w:val="24"/>
        </w:rPr>
        <w:lastRenderedPageBreak/>
        <w:t>References</w:t>
      </w:r>
    </w:p>
    <w:p w14:paraId="7C64FABC" w14:textId="77777777" w:rsidR="000819D2" w:rsidRPr="000819D2" w:rsidRDefault="000819D2" w:rsidP="000819D2">
      <w:pPr>
        <w:numPr>
          <w:ilvl w:val="0"/>
          <w:numId w:val="26"/>
        </w:numPr>
        <w:spacing w:line="480" w:lineRule="auto"/>
        <w:rPr>
          <w:rFonts w:ascii="New times roman" w:hAnsi="New times roman"/>
          <w:sz w:val="24"/>
          <w:szCs w:val="24"/>
        </w:rPr>
      </w:pPr>
      <w:proofErr w:type="spellStart"/>
      <w:r w:rsidRPr="000819D2">
        <w:rPr>
          <w:rFonts w:ascii="New times roman" w:hAnsi="New times roman"/>
          <w:sz w:val="24"/>
          <w:szCs w:val="24"/>
        </w:rPr>
        <w:t>Easttom</w:t>
      </w:r>
      <w:proofErr w:type="spellEnd"/>
      <w:r w:rsidRPr="000819D2">
        <w:rPr>
          <w:rFonts w:ascii="New times roman" w:hAnsi="New times roman"/>
          <w:sz w:val="24"/>
          <w:szCs w:val="24"/>
        </w:rPr>
        <w:t xml:space="preserve">, C. (2024). </w:t>
      </w:r>
      <w:r w:rsidRPr="000819D2">
        <w:rPr>
          <w:rFonts w:ascii="New times roman" w:hAnsi="New times roman"/>
          <w:i/>
          <w:iCs/>
          <w:sz w:val="24"/>
          <w:szCs w:val="24"/>
        </w:rPr>
        <w:t>Computer security fundamentals</w:t>
      </w:r>
      <w:r w:rsidRPr="000819D2">
        <w:rPr>
          <w:rFonts w:ascii="New times roman" w:hAnsi="New times roman"/>
          <w:sz w:val="24"/>
          <w:szCs w:val="24"/>
        </w:rPr>
        <w:t xml:space="preserve"> (5th ed.). Pearson Education.</w:t>
      </w:r>
    </w:p>
    <w:p w14:paraId="48F3F8BB" w14:textId="77777777" w:rsidR="000819D2" w:rsidRPr="000819D2" w:rsidRDefault="000819D2" w:rsidP="000819D2">
      <w:pPr>
        <w:numPr>
          <w:ilvl w:val="0"/>
          <w:numId w:val="26"/>
        </w:numPr>
        <w:spacing w:line="480" w:lineRule="auto"/>
        <w:rPr>
          <w:rFonts w:ascii="New times roman" w:hAnsi="New times roman"/>
          <w:sz w:val="24"/>
          <w:szCs w:val="24"/>
        </w:rPr>
      </w:pPr>
      <w:proofErr w:type="spellStart"/>
      <w:r w:rsidRPr="000819D2">
        <w:rPr>
          <w:rFonts w:ascii="New times roman" w:hAnsi="New times roman"/>
          <w:sz w:val="24"/>
          <w:szCs w:val="24"/>
        </w:rPr>
        <w:t>Lepide</w:t>
      </w:r>
      <w:proofErr w:type="spellEnd"/>
      <w:r w:rsidRPr="000819D2">
        <w:rPr>
          <w:rFonts w:ascii="New times roman" w:hAnsi="New times roman"/>
          <w:sz w:val="24"/>
          <w:szCs w:val="24"/>
        </w:rPr>
        <w:t xml:space="preserve">. (2023). </w:t>
      </w:r>
      <w:r w:rsidRPr="000819D2">
        <w:rPr>
          <w:rFonts w:ascii="New times roman" w:hAnsi="New times roman"/>
          <w:i/>
          <w:iCs/>
          <w:sz w:val="24"/>
          <w:szCs w:val="24"/>
        </w:rPr>
        <w:t>Tips to securely manage user accounts in higher education</w:t>
      </w:r>
      <w:r w:rsidRPr="000819D2">
        <w:rPr>
          <w:rFonts w:ascii="New times roman" w:hAnsi="New times roman"/>
          <w:sz w:val="24"/>
          <w:szCs w:val="24"/>
        </w:rPr>
        <w:t xml:space="preserve">. </w:t>
      </w:r>
      <w:hyperlink r:id="rId5" w:history="1">
        <w:r w:rsidRPr="000819D2">
          <w:rPr>
            <w:rStyle w:val="Hyperlink"/>
            <w:rFonts w:ascii="New times roman" w:hAnsi="New times roman"/>
            <w:sz w:val="24"/>
            <w:szCs w:val="24"/>
          </w:rPr>
          <w:t>https://www.lepide.com/blog/tips-to-securely-manage-user-accounts-in-higher-education/</w:t>
        </w:r>
      </w:hyperlink>
    </w:p>
    <w:p w14:paraId="5299F047" w14:textId="77777777" w:rsidR="000819D2" w:rsidRPr="000819D2" w:rsidRDefault="000819D2" w:rsidP="000819D2">
      <w:pPr>
        <w:numPr>
          <w:ilvl w:val="0"/>
          <w:numId w:val="26"/>
        </w:numPr>
        <w:spacing w:line="480" w:lineRule="auto"/>
        <w:rPr>
          <w:rFonts w:ascii="New times roman" w:hAnsi="New times roman"/>
          <w:sz w:val="24"/>
          <w:szCs w:val="24"/>
        </w:rPr>
      </w:pPr>
      <w:r w:rsidRPr="000819D2">
        <w:rPr>
          <w:rFonts w:ascii="New times roman" w:hAnsi="New times roman"/>
          <w:sz w:val="24"/>
          <w:szCs w:val="24"/>
        </w:rPr>
        <w:t xml:space="preserve">National Institute of Standards and Technology. (1995). </w:t>
      </w:r>
      <w:r w:rsidRPr="000819D2">
        <w:rPr>
          <w:rFonts w:ascii="New times roman" w:hAnsi="New times roman"/>
          <w:i/>
          <w:iCs/>
          <w:sz w:val="24"/>
          <w:szCs w:val="24"/>
        </w:rPr>
        <w:t>An introduction to computer security: The NIST handbook</w:t>
      </w:r>
      <w:r w:rsidRPr="000819D2">
        <w:rPr>
          <w:rFonts w:ascii="New times roman" w:hAnsi="New times roman"/>
          <w:sz w:val="24"/>
          <w:szCs w:val="24"/>
        </w:rPr>
        <w:t xml:space="preserve"> (Special Publication 800-12). </w:t>
      </w:r>
      <w:hyperlink r:id="rId6" w:history="1">
        <w:r w:rsidRPr="000819D2">
          <w:rPr>
            <w:rStyle w:val="Hyperlink"/>
            <w:rFonts w:ascii="New times roman" w:hAnsi="New times roman"/>
            <w:sz w:val="24"/>
            <w:szCs w:val="24"/>
          </w:rPr>
          <w:t>https://csrc.nist.rip/publications/nistpubs/800-12/800-12-html/chapter10.html</w:t>
        </w:r>
      </w:hyperlink>
    </w:p>
    <w:p w14:paraId="76A3C588" w14:textId="77777777" w:rsidR="000819D2" w:rsidRPr="000819D2" w:rsidRDefault="000819D2" w:rsidP="000819D2">
      <w:pPr>
        <w:numPr>
          <w:ilvl w:val="0"/>
          <w:numId w:val="26"/>
        </w:numPr>
        <w:spacing w:line="480" w:lineRule="auto"/>
        <w:rPr>
          <w:rFonts w:ascii="New times roman" w:hAnsi="New times roman"/>
          <w:sz w:val="24"/>
          <w:szCs w:val="24"/>
        </w:rPr>
      </w:pPr>
      <w:proofErr w:type="spellStart"/>
      <w:r w:rsidRPr="000819D2">
        <w:rPr>
          <w:rFonts w:ascii="New times roman" w:hAnsi="New times roman"/>
          <w:sz w:val="24"/>
          <w:szCs w:val="24"/>
        </w:rPr>
        <w:t>Pathlock</w:t>
      </w:r>
      <w:proofErr w:type="spellEnd"/>
      <w:r w:rsidRPr="000819D2">
        <w:rPr>
          <w:rFonts w:ascii="New times roman" w:hAnsi="New times roman"/>
          <w:sz w:val="24"/>
          <w:szCs w:val="24"/>
        </w:rPr>
        <w:t xml:space="preserve">. (2023). </w:t>
      </w:r>
      <w:r w:rsidRPr="000819D2">
        <w:rPr>
          <w:rFonts w:ascii="New times roman" w:hAnsi="New times roman"/>
          <w:i/>
          <w:iCs/>
          <w:sz w:val="24"/>
          <w:szCs w:val="24"/>
        </w:rPr>
        <w:t>Deprovisioning: Best practices for removing user access</w:t>
      </w:r>
      <w:r w:rsidRPr="000819D2">
        <w:rPr>
          <w:rFonts w:ascii="New times roman" w:hAnsi="New times roman"/>
          <w:sz w:val="24"/>
          <w:szCs w:val="24"/>
        </w:rPr>
        <w:t xml:space="preserve">. </w:t>
      </w:r>
      <w:hyperlink r:id="rId7" w:history="1">
        <w:r w:rsidRPr="000819D2">
          <w:rPr>
            <w:rStyle w:val="Hyperlink"/>
            <w:rFonts w:ascii="New times roman" w:hAnsi="New times roman"/>
            <w:sz w:val="24"/>
            <w:szCs w:val="24"/>
          </w:rPr>
          <w:t>https://pathlock.com/learn/deprovisioning/</w:t>
        </w:r>
      </w:hyperlink>
    </w:p>
    <w:p w14:paraId="4074F196" w14:textId="77777777" w:rsidR="008F2485" w:rsidRPr="008F2485" w:rsidRDefault="008F2485" w:rsidP="008F2485">
      <w:pPr>
        <w:spacing w:line="480" w:lineRule="auto"/>
        <w:rPr>
          <w:rFonts w:ascii="New times roman" w:hAnsi="New times roman"/>
          <w:b/>
          <w:bCs/>
          <w:sz w:val="24"/>
          <w:szCs w:val="24"/>
        </w:rPr>
      </w:pPr>
    </w:p>
    <w:p w14:paraId="017497B1" w14:textId="77777777" w:rsidR="008F2485" w:rsidRPr="008F2485" w:rsidRDefault="008F2485" w:rsidP="008F2485">
      <w:pPr>
        <w:spacing w:line="480" w:lineRule="auto"/>
        <w:rPr>
          <w:rFonts w:ascii="New times roman" w:hAnsi="New times roman"/>
        </w:rPr>
      </w:pPr>
    </w:p>
    <w:p w14:paraId="24030C37" w14:textId="77777777" w:rsidR="008F2485" w:rsidRPr="008F2485" w:rsidRDefault="008F2485" w:rsidP="008F2485">
      <w:pPr>
        <w:spacing w:line="480" w:lineRule="auto"/>
        <w:rPr>
          <w:rFonts w:ascii="New times roman" w:hAnsi="New times roman"/>
        </w:rPr>
      </w:pPr>
    </w:p>
    <w:sectPr w:rsidR="008F2485" w:rsidRPr="008F2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 times roma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D251D"/>
    <w:multiLevelType w:val="multilevel"/>
    <w:tmpl w:val="F66E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A31A7"/>
    <w:multiLevelType w:val="multilevel"/>
    <w:tmpl w:val="20E6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B1555"/>
    <w:multiLevelType w:val="multilevel"/>
    <w:tmpl w:val="2E3E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C7EC5"/>
    <w:multiLevelType w:val="multilevel"/>
    <w:tmpl w:val="1E5A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84F00"/>
    <w:multiLevelType w:val="multilevel"/>
    <w:tmpl w:val="E268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81C5B"/>
    <w:multiLevelType w:val="multilevel"/>
    <w:tmpl w:val="188C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E6F91"/>
    <w:multiLevelType w:val="multilevel"/>
    <w:tmpl w:val="C89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90444"/>
    <w:multiLevelType w:val="multilevel"/>
    <w:tmpl w:val="A202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93214"/>
    <w:multiLevelType w:val="multilevel"/>
    <w:tmpl w:val="A6B6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B3600"/>
    <w:multiLevelType w:val="multilevel"/>
    <w:tmpl w:val="D480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F5DD4"/>
    <w:multiLevelType w:val="multilevel"/>
    <w:tmpl w:val="BCC6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C5F18"/>
    <w:multiLevelType w:val="multilevel"/>
    <w:tmpl w:val="B730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34C09"/>
    <w:multiLevelType w:val="multilevel"/>
    <w:tmpl w:val="5752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E2D45"/>
    <w:multiLevelType w:val="multilevel"/>
    <w:tmpl w:val="CDD4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81A01"/>
    <w:multiLevelType w:val="multilevel"/>
    <w:tmpl w:val="7AFA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7707E"/>
    <w:multiLevelType w:val="multilevel"/>
    <w:tmpl w:val="B51A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F2979"/>
    <w:multiLevelType w:val="multilevel"/>
    <w:tmpl w:val="7F4A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D1C0C"/>
    <w:multiLevelType w:val="multilevel"/>
    <w:tmpl w:val="5D8E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320407"/>
    <w:multiLevelType w:val="multilevel"/>
    <w:tmpl w:val="5CC4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44F1F"/>
    <w:multiLevelType w:val="multilevel"/>
    <w:tmpl w:val="398A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BC0B14"/>
    <w:multiLevelType w:val="multilevel"/>
    <w:tmpl w:val="3B40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DE63C8"/>
    <w:multiLevelType w:val="multilevel"/>
    <w:tmpl w:val="89F0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9F4AB2"/>
    <w:multiLevelType w:val="multilevel"/>
    <w:tmpl w:val="B2EC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754CCA"/>
    <w:multiLevelType w:val="multilevel"/>
    <w:tmpl w:val="5EE0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410F7C"/>
    <w:multiLevelType w:val="multilevel"/>
    <w:tmpl w:val="84BC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F50D3E"/>
    <w:multiLevelType w:val="multilevel"/>
    <w:tmpl w:val="45B4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105560">
    <w:abstractNumId w:val="8"/>
  </w:num>
  <w:num w:numId="2" w16cid:durableId="719204085">
    <w:abstractNumId w:val="21"/>
  </w:num>
  <w:num w:numId="3" w16cid:durableId="1438018711">
    <w:abstractNumId w:val="15"/>
  </w:num>
  <w:num w:numId="4" w16cid:durableId="805856900">
    <w:abstractNumId w:val="12"/>
  </w:num>
  <w:num w:numId="5" w16cid:durableId="1888298394">
    <w:abstractNumId w:val="11"/>
  </w:num>
  <w:num w:numId="6" w16cid:durableId="805969768">
    <w:abstractNumId w:val="16"/>
  </w:num>
  <w:num w:numId="7" w16cid:durableId="1265457741">
    <w:abstractNumId w:val="4"/>
  </w:num>
  <w:num w:numId="8" w16cid:durableId="1698118387">
    <w:abstractNumId w:val="2"/>
  </w:num>
  <w:num w:numId="9" w16cid:durableId="699860976">
    <w:abstractNumId w:val="6"/>
  </w:num>
  <w:num w:numId="10" w16cid:durableId="930162113">
    <w:abstractNumId w:val="17"/>
  </w:num>
  <w:num w:numId="11" w16cid:durableId="1018236325">
    <w:abstractNumId w:val="1"/>
  </w:num>
  <w:num w:numId="12" w16cid:durableId="1281375670">
    <w:abstractNumId w:val="10"/>
  </w:num>
  <w:num w:numId="13" w16cid:durableId="1994331951">
    <w:abstractNumId w:val="9"/>
  </w:num>
  <w:num w:numId="14" w16cid:durableId="806976135">
    <w:abstractNumId w:val="0"/>
  </w:num>
  <w:num w:numId="15" w16cid:durableId="1037924091">
    <w:abstractNumId w:val="24"/>
  </w:num>
  <w:num w:numId="16" w16cid:durableId="758713539">
    <w:abstractNumId w:val="19"/>
  </w:num>
  <w:num w:numId="17" w16cid:durableId="1061518908">
    <w:abstractNumId w:val="13"/>
  </w:num>
  <w:num w:numId="18" w16cid:durableId="1554536849">
    <w:abstractNumId w:val="23"/>
  </w:num>
  <w:num w:numId="19" w16cid:durableId="1526015606">
    <w:abstractNumId w:val="20"/>
  </w:num>
  <w:num w:numId="20" w16cid:durableId="1480076843">
    <w:abstractNumId w:val="18"/>
  </w:num>
  <w:num w:numId="21" w16cid:durableId="209339407">
    <w:abstractNumId w:val="25"/>
  </w:num>
  <w:num w:numId="22" w16cid:durableId="446705262">
    <w:abstractNumId w:val="14"/>
  </w:num>
  <w:num w:numId="23" w16cid:durableId="2029133806">
    <w:abstractNumId w:val="22"/>
  </w:num>
  <w:num w:numId="24" w16cid:durableId="615647322">
    <w:abstractNumId w:val="5"/>
  </w:num>
  <w:num w:numId="25" w16cid:durableId="1466195204">
    <w:abstractNumId w:val="7"/>
  </w:num>
  <w:num w:numId="26" w16cid:durableId="1489052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485"/>
    <w:rsid w:val="000819D2"/>
    <w:rsid w:val="0013560B"/>
    <w:rsid w:val="005E34CB"/>
    <w:rsid w:val="00776C34"/>
    <w:rsid w:val="008404D5"/>
    <w:rsid w:val="008E372E"/>
    <w:rsid w:val="008F2485"/>
    <w:rsid w:val="00A955B6"/>
    <w:rsid w:val="00B1463E"/>
    <w:rsid w:val="00DC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4BB6F0"/>
  <w15:chartTrackingRefBased/>
  <w15:docId w15:val="{B416FFF0-A97B-4DFF-A62A-C33F48D0D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485"/>
    <w:rPr>
      <w:rFonts w:eastAsiaTheme="majorEastAsia" w:cstheme="majorBidi"/>
      <w:color w:val="272727" w:themeColor="text1" w:themeTint="D8"/>
    </w:rPr>
  </w:style>
  <w:style w:type="paragraph" w:styleId="Title">
    <w:name w:val="Title"/>
    <w:basedOn w:val="Normal"/>
    <w:next w:val="Normal"/>
    <w:link w:val="TitleChar"/>
    <w:uiPriority w:val="10"/>
    <w:qFormat/>
    <w:rsid w:val="008F2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485"/>
    <w:pPr>
      <w:spacing w:before="160"/>
      <w:jc w:val="center"/>
    </w:pPr>
    <w:rPr>
      <w:i/>
      <w:iCs/>
      <w:color w:val="404040" w:themeColor="text1" w:themeTint="BF"/>
    </w:rPr>
  </w:style>
  <w:style w:type="character" w:customStyle="1" w:styleId="QuoteChar">
    <w:name w:val="Quote Char"/>
    <w:basedOn w:val="DefaultParagraphFont"/>
    <w:link w:val="Quote"/>
    <w:uiPriority w:val="29"/>
    <w:rsid w:val="008F2485"/>
    <w:rPr>
      <w:i/>
      <w:iCs/>
      <w:color w:val="404040" w:themeColor="text1" w:themeTint="BF"/>
    </w:rPr>
  </w:style>
  <w:style w:type="paragraph" w:styleId="ListParagraph">
    <w:name w:val="List Paragraph"/>
    <w:basedOn w:val="Normal"/>
    <w:uiPriority w:val="34"/>
    <w:qFormat/>
    <w:rsid w:val="008F2485"/>
    <w:pPr>
      <w:ind w:left="720"/>
      <w:contextualSpacing/>
    </w:pPr>
  </w:style>
  <w:style w:type="character" w:styleId="IntenseEmphasis">
    <w:name w:val="Intense Emphasis"/>
    <w:basedOn w:val="DefaultParagraphFont"/>
    <w:uiPriority w:val="21"/>
    <w:qFormat/>
    <w:rsid w:val="008F2485"/>
    <w:rPr>
      <w:i/>
      <w:iCs/>
      <w:color w:val="0F4761" w:themeColor="accent1" w:themeShade="BF"/>
    </w:rPr>
  </w:style>
  <w:style w:type="paragraph" w:styleId="IntenseQuote">
    <w:name w:val="Intense Quote"/>
    <w:basedOn w:val="Normal"/>
    <w:next w:val="Normal"/>
    <w:link w:val="IntenseQuoteChar"/>
    <w:uiPriority w:val="30"/>
    <w:qFormat/>
    <w:rsid w:val="008F2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485"/>
    <w:rPr>
      <w:i/>
      <w:iCs/>
      <w:color w:val="0F4761" w:themeColor="accent1" w:themeShade="BF"/>
    </w:rPr>
  </w:style>
  <w:style w:type="character" w:styleId="IntenseReference">
    <w:name w:val="Intense Reference"/>
    <w:basedOn w:val="DefaultParagraphFont"/>
    <w:uiPriority w:val="32"/>
    <w:qFormat/>
    <w:rsid w:val="008F2485"/>
    <w:rPr>
      <w:b/>
      <w:bCs/>
      <w:smallCaps/>
      <w:color w:val="0F4761" w:themeColor="accent1" w:themeShade="BF"/>
      <w:spacing w:val="5"/>
    </w:rPr>
  </w:style>
  <w:style w:type="character" w:styleId="Hyperlink">
    <w:name w:val="Hyperlink"/>
    <w:basedOn w:val="DefaultParagraphFont"/>
    <w:uiPriority w:val="99"/>
    <w:unhideWhenUsed/>
    <w:rsid w:val="0013560B"/>
    <w:rPr>
      <w:color w:val="467886" w:themeColor="hyperlink"/>
      <w:u w:val="single"/>
    </w:rPr>
  </w:style>
  <w:style w:type="character" w:styleId="UnresolvedMention">
    <w:name w:val="Unresolved Mention"/>
    <w:basedOn w:val="DefaultParagraphFont"/>
    <w:uiPriority w:val="99"/>
    <w:semiHidden/>
    <w:unhideWhenUsed/>
    <w:rsid w:val="00135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23728">
      <w:bodyDiv w:val="1"/>
      <w:marLeft w:val="0"/>
      <w:marRight w:val="0"/>
      <w:marTop w:val="0"/>
      <w:marBottom w:val="0"/>
      <w:divBdr>
        <w:top w:val="none" w:sz="0" w:space="0" w:color="auto"/>
        <w:left w:val="none" w:sz="0" w:space="0" w:color="auto"/>
        <w:bottom w:val="none" w:sz="0" w:space="0" w:color="auto"/>
        <w:right w:val="none" w:sz="0" w:space="0" w:color="auto"/>
      </w:divBdr>
    </w:div>
    <w:div w:id="137915057">
      <w:bodyDiv w:val="1"/>
      <w:marLeft w:val="0"/>
      <w:marRight w:val="0"/>
      <w:marTop w:val="0"/>
      <w:marBottom w:val="0"/>
      <w:divBdr>
        <w:top w:val="none" w:sz="0" w:space="0" w:color="auto"/>
        <w:left w:val="none" w:sz="0" w:space="0" w:color="auto"/>
        <w:bottom w:val="none" w:sz="0" w:space="0" w:color="auto"/>
        <w:right w:val="none" w:sz="0" w:space="0" w:color="auto"/>
      </w:divBdr>
      <w:divsChild>
        <w:div w:id="808595036">
          <w:marLeft w:val="0"/>
          <w:marRight w:val="0"/>
          <w:marTop w:val="0"/>
          <w:marBottom w:val="0"/>
          <w:divBdr>
            <w:top w:val="none" w:sz="0" w:space="0" w:color="auto"/>
            <w:left w:val="none" w:sz="0" w:space="0" w:color="auto"/>
            <w:bottom w:val="none" w:sz="0" w:space="0" w:color="auto"/>
            <w:right w:val="none" w:sz="0" w:space="0" w:color="auto"/>
          </w:divBdr>
        </w:div>
      </w:divsChild>
    </w:div>
    <w:div w:id="266080760">
      <w:bodyDiv w:val="1"/>
      <w:marLeft w:val="0"/>
      <w:marRight w:val="0"/>
      <w:marTop w:val="0"/>
      <w:marBottom w:val="0"/>
      <w:divBdr>
        <w:top w:val="none" w:sz="0" w:space="0" w:color="auto"/>
        <w:left w:val="none" w:sz="0" w:space="0" w:color="auto"/>
        <w:bottom w:val="none" w:sz="0" w:space="0" w:color="auto"/>
        <w:right w:val="none" w:sz="0" w:space="0" w:color="auto"/>
      </w:divBdr>
    </w:div>
    <w:div w:id="438527663">
      <w:bodyDiv w:val="1"/>
      <w:marLeft w:val="0"/>
      <w:marRight w:val="0"/>
      <w:marTop w:val="0"/>
      <w:marBottom w:val="0"/>
      <w:divBdr>
        <w:top w:val="none" w:sz="0" w:space="0" w:color="auto"/>
        <w:left w:val="none" w:sz="0" w:space="0" w:color="auto"/>
        <w:bottom w:val="none" w:sz="0" w:space="0" w:color="auto"/>
        <w:right w:val="none" w:sz="0" w:space="0" w:color="auto"/>
      </w:divBdr>
    </w:div>
    <w:div w:id="611279517">
      <w:bodyDiv w:val="1"/>
      <w:marLeft w:val="0"/>
      <w:marRight w:val="0"/>
      <w:marTop w:val="0"/>
      <w:marBottom w:val="0"/>
      <w:divBdr>
        <w:top w:val="none" w:sz="0" w:space="0" w:color="auto"/>
        <w:left w:val="none" w:sz="0" w:space="0" w:color="auto"/>
        <w:bottom w:val="none" w:sz="0" w:space="0" w:color="auto"/>
        <w:right w:val="none" w:sz="0" w:space="0" w:color="auto"/>
      </w:divBdr>
    </w:div>
    <w:div w:id="689991654">
      <w:bodyDiv w:val="1"/>
      <w:marLeft w:val="0"/>
      <w:marRight w:val="0"/>
      <w:marTop w:val="0"/>
      <w:marBottom w:val="0"/>
      <w:divBdr>
        <w:top w:val="none" w:sz="0" w:space="0" w:color="auto"/>
        <w:left w:val="none" w:sz="0" w:space="0" w:color="auto"/>
        <w:bottom w:val="none" w:sz="0" w:space="0" w:color="auto"/>
        <w:right w:val="none" w:sz="0" w:space="0" w:color="auto"/>
      </w:divBdr>
      <w:divsChild>
        <w:div w:id="1179856717">
          <w:marLeft w:val="0"/>
          <w:marRight w:val="0"/>
          <w:marTop w:val="0"/>
          <w:marBottom w:val="0"/>
          <w:divBdr>
            <w:top w:val="none" w:sz="0" w:space="0" w:color="auto"/>
            <w:left w:val="none" w:sz="0" w:space="0" w:color="auto"/>
            <w:bottom w:val="none" w:sz="0" w:space="0" w:color="auto"/>
            <w:right w:val="none" w:sz="0" w:space="0" w:color="auto"/>
          </w:divBdr>
        </w:div>
      </w:divsChild>
    </w:div>
    <w:div w:id="729963753">
      <w:bodyDiv w:val="1"/>
      <w:marLeft w:val="0"/>
      <w:marRight w:val="0"/>
      <w:marTop w:val="0"/>
      <w:marBottom w:val="0"/>
      <w:divBdr>
        <w:top w:val="none" w:sz="0" w:space="0" w:color="auto"/>
        <w:left w:val="none" w:sz="0" w:space="0" w:color="auto"/>
        <w:bottom w:val="none" w:sz="0" w:space="0" w:color="auto"/>
        <w:right w:val="none" w:sz="0" w:space="0" w:color="auto"/>
      </w:divBdr>
      <w:divsChild>
        <w:div w:id="1591504241">
          <w:marLeft w:val="0"/>
          <w:marRight w:val="0"/>
          <w:marTop w:val="0"/>
          <w:marBottom w:val="0"/>
          <w:divBdr>
            <w:top w:val="none" w:sz="0" w:space="0" w:color="auto"/>
            <w:left w:val="none" w:sz="0" w:space="0" w:color="auto"/>
            <w:bottom w:val="none" w:sz="0" w:space="0" w:color="auto"/>
            <w:right w:val="none" w:sz="0" w:space="0" w:color="auto"/>
          </w:divBdr>
        </w:div>
      </w:divsChild>
    </w:div>
    <w:div w:id="890308992">
      <w:bodyDiv w:val="1"/>
      <w:marLeft w:val="0"/>
      <w:marRight w:val="0"/>
      <w:marTop w:val="0"/>
      <w:marBottom w:val="0"/>
      <w:divBdr>
        <w:top w:val="none" w:sz="0" w:space="0" w:color="auto"/>
        <w:left w:val="none" w:sz="0" w:space="0" w:color="auto"/>
        <w:bottom w:val="none" w:sz="0" w:space="0" w:color="auto"/>
        <w:right w:val="none" w:sz="0" w:space="0" w:color="auto"/>
      </w:divBdr>
    </w:div>
    <w:div w:id="900403749">
      <w:bodyDiv w:val="1"/>
      <w:marLeft w:val="0"/>
      <w:marRight w:val="0"/>
      <w:marTop w:val="0"/>
      <w:marBottom w:val="0"/>
      <w:divBdr>
        <w:top w:val="none" w:sz="0" w:space="0" w:color="auto"/>
        <w:left w:val="none" w:sz="0" w:space="0" w:color="auto"/>
        <w:bottom w:val="none" w:sz="0" w:space="0" w:color="auto"/>
        <w:right w:val="none" w:sz="0" w:space="0" w:color="auto"/>
      </w:divBdr>
    </w:div>
    <w:div w:id="1005011695">
      <w:bodyDiv w:val="1"/>
      <w:marLeft w:val="0"/>
      <w:marRight w:val="0"/>
      <w:marTop w:val="0"/>
      <w:marBottom w:val="0"/>
      <w:divBdr>
        <w:top w:val="none" w:sz="0" w:space="0" w:color="auto"/>
        <w:left w:val="none" w:sz="0" w:space="0" w:color="auto"/>
        <w:bottom w:val="none" w:sz="0" w:space="0" w:color="auto"/>
        <w:right w:val="none" w:sz="0" w:space="0" w:color="auto"/>
      </w:divBdr>
    </w:div>
    <w:div w:id="1130366914">
      <w:bodyDiv w:val="1"/>
      <w:marLeft w:val="0"/>
      <w:marRight w:val="0"/>
      <w:marTop w:val="0"/>
      <w:marBottom w:val="0"/>
      <w:divBdr>
        <w:top w:val="none" w:sz="0" w:space="0" w:color="auto"/>
        <w:left w:val="none" w:sz="0" w:space="0" w:color="auto"/>
        <w:bottom w:val="none" w:sz="0" w:space="0" w:color="auto"/>
        <w:right w:val="none" w:sz="0" w:space="0" w:color="auto"/>
      </w:divBdr>
    </w:div>
    <w:div w:id="1212809882">
      <w:bodyDiv w:val="1"/>
      <w:marLeft w:val="0"/>
      <w:marRight w:val="0"/>
      <w:marTop w:val="0"/>
      <w:marBottom w:val="0"/>
      <w:divBdr>
        <w:top w:val="none" w:sz="0" w:space="0" w:color="auto"/>
        <w:left w:val="none" w:sz="0" w:space="0" w:color="auto"/>
        <w:bottom w:val="none" w:sz="0" w:space="0" w:color="auto"/>
        <w:right w:val="none" w:sz="0" w:space="0" w:color="auto"/>
      </w:divBdr>
    </w:div>
    <w:div w:id="1506214119">
      <w:bodyDiv w:val="1"/>
      <w:marLeft w:val="0"/>
      <w:marRight w:val="0"/>
      <w:marTop w:val="0"/>
      <w:marBottom w:val="0"/>
      <w:divBdr>
        <w:top w:val="none" w:sz="0" w:space="0" w:color="auto"/>
        <w:left w:val="none" w:sz="0" w:space="0" w:color="auto"/>
        <w:bottom w:val="none" w:sz="0" w:space="0" w:color="auto"/>
        <w:right w:val="none" w:sz="0" w:space="0" w:color="auto"/>
      </w:divBdr>
      <w:divsChild>
        <w:div w:id="733238102">
          <w:marLeft w:val="0"/>
          <w:marRight w:val="0"/>
          <w:marTop w:val="0"/>
          <w:marBottom w:val="0"/>
          <w:divBdr>
            <w:top w:val="none" w:sz="0" w:space="0" w:color="auto"/>
            <w:left w:val="none" w:sz="0" w:space="0" w:color="auto"/>
            <w:bottom w:val="none" w:sz="0" w:space="0" w:color="auto"/>
            <w:right w:val="none" w:sz="0" w:space="0" w:color="auto"/>
          </w:divBdr>
        </w:div>
      </w:divsChild>
    </w:div>
    <w:div w:id="191550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thlock.com/learn/deprovisio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rc.nist.rip/publications/nistpubs/800-12/800-12-html/chapter10.html" TargetMode="External"/><Relationship Id="rId5" Type="http://schemas.openxmlformats.org/officeDocument/2006/relationships/hyperlink" Target="https://www.lepide.com/blog/tips-to-securely-manage-user-accounts-in-higher-edu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597</Words>
  <Characters>3924</Characters>
  <Application>Microsoft Office Word</Application>
  <DocSecurity>0</DocSecurity>
  <Lines>91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Browder</dc:creator>
  <cp:keywords/>
  <dc:description/>
  <cp:lastModifiedBy>Jason Browder</cp:lastModifiedBy>
  <cp:revision>6</cp:revision>
  <dcterms:created xsi:type="dcterms:W3CDTF">2025-02-23T16:54:00Z</dcterms:created>
  <dcterms:modified xsi:type="dcterms:W3CDTF">2025-03-06T16:48:00Z</dcterms:modified>
</cp:coreProperties>
</file>