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5985"/>
          <w:sz w:val="28"/>
        </w:rPr>
        <w:t>GDR SciLog</w:t>
      </w:r>
    </w:p>
    <w:p>
      <w:pPr>
        <w:pStyle w:val="Title"/>
        <w:jc w:val="center"/>
      </w:pPr>
      <w:r>
        <w:t>Journées Architecture &amp; Migration Report</w:t>
      </w:r>
    </w:p>
    <w:p>
      <w:pPr>
        <w:jc w:val="center"/>
      </w:pPr>
      <w:r>
        <w:rPr>
          <w:color w:val="667085"/>
          <w:sz w:val="26"/>
        </w:rPr>
        <w:t>A maintainable multi-edition model for 2025–26, 2026–27, 2027–28 and beyond</w:t>
      </w:r>
    </w:p>
    <w:p/>
    <w:tbl>
      <w:tblPr>
        <w:tblW w:type="auto" w:w="0"/>
        <w:jc w:val="center"/>
        <w:tblLook w:firstColumn="1" w:firstRow="1" w:lastColumn="0" w:lastRow="0" w:noHBand="0" w:noVBand="1" w:val="04A0"/>
      </w:tblPr>
      <w:tblGrid>
        <w:gridCol w:w="10166"/>
      </w:tblGrid>
      <w:tr>
        <w:tc>
          <w:tcPr>
            <w:tcW w:type="dxa" w:w="10166"/>
            <w:shd w:fill="ECFDF3"/>
            <w:vAlign w:val="center"/>
          </w:tcPr>
          <w:p>
            <w:r/>
            <w:r>
              <w:rPr>
                <w:b/>
                <w:color w:val="067647"/>
                <w:sz w:val="20"/>
              </w:rPr>
              <w:t>Core rule: adding a new Journées edition must be a content operation, not a coding operation.</w:t>
            </w:r>
          </w:p>
        </w:tc>
      </w:tr>
    </w:tbl>
    <w:p>
      <w:pPr>
        <w:spacing w:after="40"/>
      </w:pPr>
    </w:p>
    <w:p>
      <w:pPr>
        <w:jc w:val="center"/>
      </w:pPr>
      <w:r>
        <w:rPr>
          <w:color w:val="667085"/>
          <w:sz w:val="18"/>
        </w:rPr>
        <w:t>Reviewed: jmbruel/scilog-site · branch journees-25-26-27 · scilog2026.fr</w:t>
      </w:r>
    </w:p>
    <w:p>
      <w:pPr>
        <w:jc w:val="center"/>
      </w:pPr>
      <w:r>
        <w:rPr>
          <w:color w:val="667085"/>
          <w:sz w:val="18"/>
        </w:rPr>
        <w:t>28 August 2026</w:t>
      </w:r>
    </w:p>
    <w:p>
      <w:r>
        <w:br w:type="page"/>
      </w:r>
    </w:p>
    <w:p>
      <w:pPr>
        <w:pStyle w:val="Heading1"/>
      </w:pPr>
      <w:r>
        <w:t>1. Executive recommendation</w:t>
      </w:r>
    </w:p>
    <w:p>
      <w:r>
        <w:t>Keep jmbruel/scilog-site as the single canonical repository and evolve it into the permanent home of all annual Journées editions. Do not create a new independent website every year. Instead, introduce a first-class /journees/ section in the main SciLog navigation. The section automatically lists every edition and each edition uses the same reusable event components.</w:t>
      </w:r>
    </w:p>
    <w:p>
      <w:r>
        <w:t>The July 23 branch is a useful prototype because it already introduces YAML-driven event data and reusable Hugo rendering. However, it should be refactored before merge: the branch is currently diverged from main, the edition renderer is too monolithic, and Journées is still nested conceptually under Actions rather than treated as a durable top-level product.</w:t>
      </w:r>
    </w:p>
    <w:tbl>
      <w:tblPr>
        <w:tblW w:type="auto" w:w="0"/>
        <w:jc w:val="center"/>
        <w:tblLook w:firstColumn="1" w:firstRow="1" w:lastColumn="0" w:lastRow="0" w:noHBand="0" w:noVBand="1" w:val="04A0"/>
      </w:tblPr>
      <w:tblGrid>
        <w:gridCol w:w="3389"/>
        <w:gridCol w:w="3389"/>
        <w:gridCol w:w="3389"/>
      </w:tblGrid>
      <w:tr>
        <w:tc>
          <w:tcPr>
            <w:tcW w:type="dxa" w:w="3389"/>
            <w:shd w:fill="075985"/>
            <w:vAlign w:val="center"/>
          </w:tcPr>
          <w:p>
            <w:r/>
            <w:r>
              <w:rPr>
                <w:b/>
                <w:color w:val="FFFFFF"/>
                <w:sz w:val="18"/>
              </w:rPr>
              <w:t>Question</w:t>
            </w:r>
          </w:p>
        </w:tc>
        <w:tc>
          <w:tcPr>
            <w:tcW w:type="dxa" w:w="3389"/>
            <w:shd w:fill="075985"/>
            <w:vAlign w:val="center"/>
          </w:tcPr>
          <w:p>
            <w:r/>
            <w:r>
              <w:rPr>
                <w:b/>
                <w:color w:val="FFFFFF"/>
                <w:sz w:val="18"/>
              </w:rPr>
              <w:t>Answer</w:t>
            </w:r>
          </w:p>
        </w:tc>
        <w:tc>
          <w:tcPr>
            <w:tcW w:type="dxa" w:w="3389"/>
            <w:shd w:fill="075985"/>
            <w:vAlign w:val="center"/>
          </w:tcPr>
          <w:p>
            <w:r/>
            <w:r>
              <w:rPr>
                <w:b/>
                <w:color w:val="FFFFFF"/>
                <w:sz w:val="18"/>
              </w:rPr>
              <w:t>Reason</w:t>
            </w:r>
          </w:p>
        </w:tc>
      </w:tr>
      <w:tr>
        <w:tc>
          <w:tcPr>
            <w:tcW w:type="dxa" w:w="3389"/>
            <w:vAlign w:val="center"/>
          </w:tcPr>
          <w:p>
            <w:r/>
            <w:r>
              <w:rPr>
                <w:b/>
                <w:color w:val="152033"/>
                <w:sz w:val="18"/>
              </w:rPr>
              <w:t>One repository?</w:t>
            </w:r>
          </w:p>
        </w:tc>
        <w:tc>
          <w:tcPr>
            <w:tcW w:type="dxa" w:w="3389"/>
            <w:vAlign w:val="center"/>
          </w:tcPr>
          <w:p>
            <w:r/>
            <w:r>
              <w:rPr>
                <w:b w:val="0"/>
                <w:sz w:val="18"/>
              </w:rPr>
              <w:t>Yes</w:t>
            </w:r>
          </w:p>
        </w:tc>
        <w:tc>
          <w:tcPr>
            <w:tcW w:type="dxa" w:w="3389"/>
            <w:vAlign w:val="center"/>
          </w:tcPr>
          <w:p>
            <w:r/>
            <w:r>
              <w:rPr>
                <w:b w:val="0"/>
                <w:sz w:val="18"/>
              </w:rPr>
              <w:t>Keeps content, history, CI and ownership centralized.</w:t>
            </w:r>
          </w:p>
        </w:tc>
      </w:tr>
      <w:tr>
        <w:tc>
          <w:tcPr>
            <w:tcW w:type="dxa" w:w="3389"/>
            <w:vAlign w:val="center"/>
          </w:tcPr>
          <w:p>
            <w:r/>
            <w:r>
              <w:rPr>
                <w:b/>
                <w:color w:val="152033"/>
                <w:sz w:val="18"/>
              </w:rPr>
              <w:t>One codebase for every edition?</w:t>
            </w:r>
          </w:p>
        </w:tc>
        <w:tc>
          <w:tcPr>
            <w:tcW w:type="dxa" w:w="3389"/>
            <w:vAlign w:val="center"/>
          </w:tcPr>
          <w:p>
            <w:r/>
            <w:r>
              <w:rPr>
                <w:b w:val="0"/>
                <w:sz w:val="18"/>
              </w:rPr>
              <w:t>Yes</w:t>
            </w:r>
          </w:p>
        </w:tc>
        <w:tc>
          <w:tcPr>
            <w:tcW w:type="dxa" w:w="3389"/>
            <w:vAlign w:val="center"/>
          </w:tcPr>
          <w:p>
            <w:r/>
            <w:r>
              <w:rPr>
                <w:b w:val="0"/>
                <w:sz w:val="18"/>
              </w:rPr>
              <w:t>Templates and components are reused.</w:t>
            </w:r>
          </w:p>
        </w:tc>
      </w:tr>
      <w:tr>
        <w:tc>
          <w:tcPr>
            <w:tcW w:type="dxa" w:w="3389"/>
            <w:vAlign w:val="center"/>
          </w:tcPr>
          <w:p>
            <w:r/>
            <w:r>
              <w:rPr>
                <w:b/>
                <w:color w:val="152033"/>
                <w:sz w:val="18"/>
              </w:rPr>
              <w:t>Separate yearly data?</w:t>
            </w:r>
          </w:p>
        </w:tc>
        <w:tc>
          <w:tcPr>
            <w:tcW w:type="dxa" w:w="3389"/>
            <w:vAlign w:val="center"/>
          </w:tcPr>
          <w:p>
            <w:r/>
            <w:r>
              <w:rPr>
                <w:b w:val="0"/>
                <w:sz w:val="18"/>
              </w:rPr>
              <w:t>Yes</w:t>
            </w:r>
          </w:p>
        </w:tc>
        <w:tc>
          <w:tcPr>
            <w:tcW w:type="dxa" w:w="3389"/>
            <w:vAlign w:val="center"/>
          </w:tcPr>
          <w:p>
            <w:r/>
            <w:r>
              <w:rPr>
                <w:b w:val="0"/>
                <w:sz w:val="18"/>
              </w:rPr>
              <w:t>Each edition remains easy to edit and archive.</w:t>
            </w:r>
          </w:p>
        </w:tc>
      </w:tr>
      <w:tr>
        <w:tc>
          <w:tcPr>
            <w:tcW w:type="dxa" w:w="3389"/>
            <w:vAlign w:val="center"/>
          </w:tcPr>
          <w:p>
            <w:r/>
            <w:r>
              <w:rPr>
                <w:b/>
                <w:color w:val="152033"/>
                <w:sz w:val="18"/>
              </w:rPr>
              <w:t>Header list of editions?</w:t>
            </w:r>
          </w:p>
        </w:tc>
        <w:tc>
          <w:tcPr>
            <w:tcW w:type="dxa" w:w="3389"/>
            <w:vAlign w:val="center"/>
          </w:tcPr>
          <w:p>
            <w:r/>
            <w:r>
              <w:rPr>
                <w:b w:val="0"/>
                <w:sz w:val="18"/>
              </w:rPr>
              <w:t>Automatic</w:t>
            </w:r>
          </w:p>
        </w:tc>
        <w:tc>
          <w:tcPr>
            <w:tcW w:type="dxa" w:w="3389"/>
            <w:vAlign w:val="center"/>
          </w:tcPr>
          <w:p>
            <w:r/>
            <w:r>
              <w:rPr>
                <w:b w:val="0"/>
                <w:sz w:val="18"/>
              </w:rPr>
              <w:t>Generated from edition metadata/content.</w:t>
            </w:r>
          </w:p>
        </w:tc>
      </w:tr>
      <w:tr>
        <w:tc>
          <w:tcPr>
            <w:tcW w:type="dxa" w:w="3389"/>
            <w:vAlign w:val="center"/>
          </w:tcPr>
          <w:p>
            <w:r/>
            <w:r>
              <w:rPr>
                <w:b/>
                <w:color w:val="152033"/>
                <w:sz w:val="18"/>
              </w:rPr>
              <w:t>Can non-developers add 2027–28?</w:t>
            </w:r>
          </w:p>
        </w:tc>
        <w:tc>
          <w:tcPr>
            <w:tcW w:type="dxa" w:w="3389"/>
            <w:vAlign w:val="center"/>
          </w:tcPr>
          <w:p>
            <w:r/>
            <w:r>
              <w:rPr>
                <w:b w:val="0"/>
                <w:sz w:val="18"/>
              </w:rPr>
              <w:t>Yes</w:t>
            </w:r>
          </w:p>
        </w:tc>
        <w:tc>
          <w:tcPr>
            <w:tcW w:type="dxa" w:w="3389"/>
            <w:vAlign w:val="center"/>
          </w:tcPr>
          <w:p>
            <w:r/>
            <w:r>
              <w:rPr>
                <w:b w:val="0"/>
                <w:sz w:val="18"/>
              </w:rPr>
              <w:t>Copy template + edit YAML/Markdown only.</w:t>
            </w:r>
          </w:p>
        </w:tc>
      </w:tr>
    </w:tbl>
    <w:p>
      <w:pPr>
        <w:pStyle w:val="Heading1"/>
      </w:pPr>
      <w:r>
        <w:t>2. What exists today</w:t>
      </w:r>
    </w:p>
    <w:p>
      <w:pPr>
        <w:pStyle w:val="Heading2"/>
      </w:pPr>
      <w:r>
        <w:t>Main branch</w:t>
      </w:r>
    </w:p>
    <w:p>
      <w:r>
        <w:t>The current theme already has a useful dynamic navigation mechanism. Content sections declare a hero menu entry in front matter; themes/mon-theme/layouts/_partials/hero.html reads site.Menus.hero, discovers child pages and builds dropdowns. The existing Actions page contains a simple link to Journées nationales, which is why Journées currently feels like one action among many.</w:t>
      </w:r>
    </w:p>
    <w:tbl>
      <w:tblPr>
        <w:tblW w:type="auto" w:w="0"/>
        <w:jc w:val="center"/>
        <w:tblLook w:firstColumn="1" w:firstRow="1" w:lastColumn="0" w:lastRow="0" w:noHBand="0" w:noVBand="1" w:val="04A0"/>
      </w:tblPr>
      <w:tblGrid>
        <w:gridCol w:w="10166"/>
      </w:tblGrid>
      <w:tr>
        <w:tc>
          <w:tcPr>
            <w:tcW w:type="dxa" w:w="10166"/>
            <w:shd w:fill="F8FAFC"/>
          </w:tcPr>
          <w:p>
            <w:pPr>
              <w:spacing w:after="0"/>
            </w:pPr>
            <w:r>
              <w:rPr>
                <w:rFonts w:ascii="Liberation Mono" w:hAnsi="Liberation Mono"/>
                <w:color w:val="344054"/>
                <w:sz w:val="16"/>
              </w:rPr>
              <w:t>content/action/_index.md</w:t>
            </w:r>
            <w:r>
              <w:br/>
            </w:r>
            <w:r>
              <w:rPr>
                <w:rFonts w:ascii="Liberation Mono" w:hAnsi="Liberation Mono"/>
                <w:color w:val="344054"/>
                <w:sz w:val="16"/>
              </w:rPr>
              <w:t xml:space="preserve">  menu:</w:t>
            </w:r>
            <w:r>
              <w:br/>
            </w:r>
            <w:r>
              <w:rPr>
                <w:rFonts w:ascii="Liberation Mono" w:hAnsi="Liberation Mono"/>
                <w:color w:val="344054"/>
                <w:sz w:val="16"/>
              </w:rPr>
              <w:t xml:space="preserve">    hero:</w:t>
            </w:r>
            <w:r>
              <w:br/>
            </w:r>
            <w:r>
              <w:rPr>
                <w:rFonts w:ascii="Liberation Mono" w:hAnsi="Liberation Mono"/>
                <w:color w:val="344054"/>
                <w:sz w:val="16"/>
              </w:rPr>
              <w:t xml:space="preserve">      weight: 5</w:t>
            </w:r>
            <w:r>
              <w:br/>
            </w:r>
            <w:r>
              <w:rPr>
                <w:rFonts w:ascii="Liberation Mono" w:hAnsi="Liberation Mono"/>
                <w:color w:val="344054"/>
                <w:sz w:val="16"/>
              </w:rPr>
              <w:t xml:space="preserve">      name: "Actions en cours"</w:t>
            </w:r>
            <w:r>
              <w:br/>
            </w:r>
            <w:r>
              <w:rPr>
                <w:rFonts w:ascii="Liberation Mono" w:hAnsi="Liberation Mono"/>
                <w:color w:val="344054"/>
                <w:sz w:val="16"/>
              </w:rPr>
            </w:r>
            <w:r>
              <w:br/>
            </w:r>
            <w:r>
              <w:rPr>
                <w:rFonts w:ascii="Liberation Mono" w:hAnsi="Liberation Mono"/>
                <w:color w:val="344054"/>
                <w:sz w:val="16"/>
              </w:rPr>
              <w:t>themes/mon-theme/layouts/_partials/hero.html</w:t>
            </w:r>
            <w:r>
              <w:br/>
            </w:r>
            <w:r>
              <w:rPr>
                <w:rFonts w:ascii="Liberation Mono" w:hAnsi="Liberation Mono"/>
                <w:color w:val="344054"/>
                <w:sz w:val="16"/>
              </w:rPr>
              <w:t xml:space="preserve">  -&gt; reads site.Menus.hero</w:t>
            </w:r>
            <w:r>
              <w:br/>
            </w:r>
            <w:r>
              <w:rPr>
                <w:rFonts w:ascii="Liberation Mono" w:hAnsi="Liberation Mono"/>
                <w:color w:val="344054"/>
                <w:sz w:val="16"/>
              </w:rPr>
              <w:t xml:space="preserve">  -&gt; discovers child pages</w:t>
            </w:r>
            <w:r>
              <w:br/>
            </w:r>
            <w:r>
              <w:rPr>
                <w:rFonts w:ascii="Liberation Mono" w:hAnsi="Liberation Mono"/>
                <w:color w:val="344054"/>
                <w:sz w:val="16"/>
              </w:rPr>
              <w:t xml:space="preserve">  -&gt; renders dropdowns</w:t>
            </w:r>
          </w:p>
        </w:tc>
      </w:tr>
    </w:tbl>
    <w:tbl>
      <w:tblPr>
        <w:tblW w:type="auto" w:w="0"/>
        <w:jc w:val="center"/>
        <w:tblLook w:firstColumn="1" w:firstRow="1" w:lastColumn="0" w:lastRow="0" w:noHBand="0" w:noVBand="1" w:val="04A0"/>
      </w:tblPr>
      <w:tblGrid>
        <w:gridCol w:w="10166"/>
      </w:tblGrid>
      <w:tr>
        <w:tc>
          <w:tcPr>
            <w:tcW w:type="dxa" w:w="10166"/>
            <w:shd w:fill="E0F2FE"/>
            <w:vAlign w:val="center"/>
          </w:tcPr>
          <w:p>
            <w:r/>
            <w:r>
              <w:rPr>
                <w:b/>
                <w:color w:val="075985"/>
                <w:sz w:val="20"/>
              </w:rPr>
              <w:t>This existing dynamic menu is the main leverage point: Journées can become its own header section without inventing a parallel navigation framework.</w:t>
            </w:r>
          </w:p>
        </w:tc>
      </w:tr>
    </w:tbl>
    <w:p>
      <w:pPr>
        <w:spacing w:after="40"/>
      </w:pPr>
    </w:p>
    <w:p>
      <w:pPr>
        <w:pStyle w:val="Heading2"/>
      </w:pPr>
      <w:r>
        <w:t>Branch journees-25-26-27</w:t>
      </w:r>
    </w:p>
    <w:p>
      <w:r>
        <w:t>The branch head is commit 2d743a91286e2def8bfd6b92b745580300bc1efe ('new update', 23 July 2026). Compared with current main, GitHub reports it as 1 commit ahead and 3 commits behind. It changes 13 files, adding about 1,557 lines.</w:t>
      </w:r>
    </w:p>
    <w:p>
      <w:pPr>
        <w:pStyle w:val="ListBullet"/>
      </w:pPr>
      <w:r>
        <w:t>Adds data/journees.yml as a multi-edition index.</w:t>
      </w:r>
    </w:p>
    <w:p>
      <w:pPr>
        <w:pStyle w:val="ListBullet"/>
      </w:pPr>
      <w:r>
        <w:t>Adds data/journees_editions/2026.yml for detailed 2026 content.</w:t>
      </w:r>
    </w:p>
    <w:p>
      <w:pPr>
        <w:pStyle w:val="ListBullet"/>
      </w:pPr>
      <w:r>
        <w:t>Adds a reusable archive shortcode (journees.html).</w:t>
      </w:r>
    </w:p>
    <w:p>
      <w:pPr>
        <w:pStyle w:val="ListBullet"/>
      </w:pPr>
      <w:r>
        <w:t>Adds a reusable edition shortcode (journee-edition.html).</w:t>
      </w:r>
    </w:p>
    <w:p>
      <w:pPr>
        <w:pStyle w:val="ListBullet"/>
      </w:pPr>
      <w:r>
        <w:t>Adds event-specific styling and a wide-page annual-event layout.</w:t>
      </w:r>
    </w:p>
    <w:p>
      <w:pPr>
        <w:pStyle w:val="ListBullet"/>
      </w:pPr>
      <w:r>
        <w:t>Adds contributor documentation for future editions.</w:t>
      </w:r>
    </w:p>
    <w:p>
      <w:pPr>
        <w:pStyle w:val="ListBullet"/>
      </w:pPr>
      <w:r>
        <w:t>Moves the 2026 event toward the main SciLog domain.</w:t>
      </w:r>
    </w:p>
    <w:p>
      <w:pPr>
        <w:pStyle w:val="Heading1"/>
      </w:pPr>
      <w:r>
        <w:t>3. Comparison with scilog2026.fr</w:t>
      </w:r>
    </w:p>
    <w:p>
      <w:r>
        <w:t>The external 2026 site provides a useful model for event-level information architecture. Its navigation separates Accueil, AFADL, Programme, Intervenants, Lieu, Photos, Code de conduite and Inscription. The home page emphasizes the event dates, venue, registration CTA, partners and organizing committee. This is a better mental model for an annual microsite than putting every section into one very long page.</w:t>
      </w:r>
    </w:p>
    <w:tbl>
      <w:tblPr>
        <w:tblW w:type="auto" w:w="0"/>
        <w:jc w:val="center"/>
        <w:tblLook w:firstColumn="1" w:firstRow="1" w:lastColumn="0" w:lastRow="0" w:noHBand="0" w:noVBand="1" w:val="04A0"/>
      </w:tblPr>
      <w:tblGrid>
        <w:gridCol w:w="2541"/>
        <w:gridCol w:w="2541"/>
        <w:gridCol w:w="2541"/>
        <w:gridCol w:w="2541"/>
      </w:tblGrid>
      <w:tr>
        <w:tc>
          <w:tcPr>
            <w:tcW w:type="dxa" w:w="2541"/>
            <w:shd w:fill="075985"/>
            <w:vAlign w:val="center"/>
          </w:tcPr>
          <w:p>
            <w:r/>
            <w:r>
              <w:rPr>
                <w:b/>
                <w:color w:val="FFFFFF"/>
                <w:sz w:val="18"/>
              </w:rPr>
              <w:t>Area</w:t>
            </w:r>
          </w:p>
        </w:tc>
        <w:tc>
          <w:tcPr>
            <w:tcW w:type="dxa" w:w="2541"/>
            <w:shd w:fill="075985"/>
            <w:vAlign w:val="center"/>
          </w:tcPr>
          <w:p>
            <w:r/>
            <w:r>
              <w:rPr>
                <w:b/>
                <w:color w:val="FFFFFF"/>
                <w:sz w:val="18"/>
              </w:rPr>
              <w:t>scilog2026.fr</w:t>
            </w:r>
          </w:p>
        </w:tc>
        <w:tc>
          <w:tcPr>
            <w:tcW w:type="dxa" w:w="2541"/>
            <w:shd w:fill="075985"/>
            <w:vAlign w:val="center"/>
          </w:tcPr>
          <w:p>
            <w:r/>
            <w:r>
              <w:rPr>
                <w:b/>
                <w:color w:val="FFFFFF"/>
                <w:sz w:val="18"/>
              </w:rPr>
              <w:t>July branch</w:t>
            </w:r>
          </w:p>
        </w:tc>
        <w:tc>
          <w:tcPr>
            <w:tcW w:type="dxa" w:w="2541"/>
            <w:shd w:fill="075985"/>
            <w:vAlign w:val="center"/>
          </w:tcPr>
          <w:p>
            <w:r/>
            <w:r>
              <w:rPr>
                <w:b/>
                <w:color w:val="FFFFFF"/>
                <w:sz w:val="18"/>
              </w:rPr>
              <w:t>Recommended target</w:t>
            </w:r>
          </w:p>
        </w:tc>
      </w:tr>
      <w:tr>
        <w:tc>
          <w:tcPr>
            <w:tcW w:type="dxa" w:w="2541"/>
            <w:vAlign w:val="center"/>
          </w:tcPr>
          <w:p>
            <w:r/>
            <w:r>
              <w:rPr>
                <w:b/>
                <w:color w:val="152033"/>
                <w:sz w:val="18"/>
              </w:rPr>
              <w:t>Global identity</w:t>
            </w:r>
          </w:p>
        </w:tc>
        <w:tc>
          <w:tcPr>
            <w:tcW w:type="dxa" w:w="2541"/>
            <w:vAlign w:val="center"/>
          </w:tcPr>
          <w:p>
            <w:r/>
            <w:r>
              <w:rPr>
                <w:b w:val="0"/>
                <w:sz w:val="18"/>
              </w:rPr>
              <w:t>Standalone yearly site</w:t>
            </w:r>
          </w:p>
        </w:tc>
        <w:tc>
          <w:tcPr>
            <w:tcW w:type="dxa" w:w="2541"/>
            <w:vAlign w:val="center"/>
          </w:tcPr>
          <w:p>
            <w:r/>
            <w:r>
              <w:rPr>
                <w:b w:val="0"/>
                <w:sz w:val="18"/>
              </w:rPr>
              <w:t>Integrated into SciLog</w:t>
            </w:r>
          </w:p>
        </w:tc>
        <w:tc>
          <w:tcPr>
            <w:tcW w:type="dxa" w:w="2541"/>
            <w:vAlign w:val="center"/>
          </w:tcPr>
          <w:p>
            <w:r/>
            <w:r>
              <w:rPr>
                <w:b w:val="0"/>
                <w:sz w:val="18"/>
              </w:rPr>
              <w:t>Integrated into SciLog</w:t>
            </w:r>
          </w:p>
        </w:tc>
      </w:tr>
      <w:tr>
        <w:tc>
          <w:tcPr>
            <w:tcW w:type="dxa" w:w="2541"/>
            <w:vAlign w:val="center"/>
          </w:tcPr>
          <w:p>
            <w:r/>
            <w:r>
              <w:rPr>
                <w:b/>
                <w:color w:val="152033"/>
                <w:sz w:val="18"/>
              </w:rPr>
              <w:t>Event navigation</w:t>
            </w:r>
          </w:p>
        </w:tc>
        <w:tc>
          <w:tcPr>
            <w:tcW w:type="dxa" w:w="2541"/>
            <w:vAlign w:val="center"/>
          </w:tcPr>
          <w:p>
            <w:r/>
            <w:r>
              <w:rPr>
                <w:b w:val="0"/>
                <w:sz w:val="18"/>
              </w:rPr>
              <w:t>Dedicated event pages</w:t>
            </w:r>
          </w:p>
        </w:tc>
        <w:tc>
          <w:tcPr>
            <w:tcW w:type="dxa" w:w="2541"/>
            <w:vAlign w:val="center"/>
          </w:tcPr>
          <w:p>
            <w:r/>
            <w:r>
              <w:rPr>
                <w:b w:val="0"/>
                <w:sz w:val="18"/>
              </w:rPr>
              <w:t>Anchor links on one page</w:t>
            </w:r>
          </w:p>
        </w:tc>
        <w:tc>
          <w:tcPr>
            <w:tcW w:type="dxa" w:w="2541"/>
            <w:vAlign w:val="center"/>
          </w:tcPr>
          <w:p>
            <w:r/>
            <w:r>
              <w:rPr>
                <w:b w:val="0"/>
                <w:sz w:val="18"/>
              </w:rPr>
              <w:t>Edition subpages + compact local nav</w:t>
            </w:r>
          </w:p>
        </w:tc>
      </w:tr>
      <w:tr>
        <w:tc>
          <w:tcPr>
            <w:tcW w:type="dxa" w:w="2541"/>
            <w:vAlign w:val="center"/>
          </w:tcPr>
          <w:p>
            <w:r/>
            <w:r>
              <w:rPr>
                <w:b/>
                <w:color w:val="152033"/>
                <w:sz w:val="18"/>
              </w:rPr>
              <w:t>Archive</w:t>
            </w:r>
          </w:p>
        </w:tc>
        <w:tc>
          <w:tcPr>
            <w:tcW w:type="dxa" w:w="2541"/>
            <w:vAlign w:val="center"/>
          </w:tcPr>
          <w:p>
            <w:r/>
            <w:r>
              <w:rPr>
                <w:b w:val="0"/>
                <w:sz w:val="18"/>
              </w:rPr>
              <w:t>No cross-year archive</w:t>
            </w:r>
          </w:p>
        </w:tc>
        <w:tc>
          <w:tcPr>
            <w:tcW w:type="dxa" w:w="2541"/>
            <w:vAlign w:val="center"/>
          </w:tcPr>
          <w:p>
            <w:r/>
            <w:r>
              <w:rPr>
                <w:b w:val="0"/>
                <w:sz w:val="18"/>
              </w:rPr>
              <w:t>Yes</w:t>
            </w:r>
          </w:p>
        </w:tc>
        <w:tc>
          <w:tcPr>
            <w:tcW w:type="dxa" w:w="2541"/>
            <w:vAlign w:val="center"/>
          </w:tcPr>
          <w:p>
            <w:r/>
            <w:r>
              <w:rPr>
                <w:b w:val="0"/>
                <w:sz w:val="18"/>
              </w:rPr>
              <w:t>Yes, automatic and first-class</w:t>
            </w:r>
          </w:p>
        </w:tc>
      </w:tr>
      <w:tr>
        <w:tc>
          <w:tcPr>
            <w:tcW w:type="dxa" w:w="2541"/>
            <w:vAlign w:val="center"/>
          </w:tcPr>
          <w:p>
            <w:r/>
            <w:r>
              <w:rPr>
                <w:b/>
                <w:color w:val="152033"/>
                <w:sz w:val="18"/>
              </w:rPr>
              <w:t>Programme</w:t>
            </w:r>
          </w:p>
        </w:tc>
        <w:tc>
          <w:tcPr>
            <w:tcW w:type="dxa" w:w="2541"/>
            <w:vAlign w:val="center"/>
          </w:tcPr>
          <w:p>
            <w:r/>
            <w:r>
              <w:rPr>
                <w:b w:val="0"/>
                <w:sz w:val="18"/>
              </w:rPr>
              <w:t>Dedicated page</w:t>
            </w:r>
          </w:p>
        </w:tc>
        <w:tc>
          <w:tcPr>
            <w:tcW w:type="dxa" w:w="2541"/>
            <w:vAlign w:val="center"/>
          </w:tcPr>
          <w:p>
            <w:r/>
            <w:r>
              <w:rPr>
                <w:b w:val="0"/>
                <w:sz w:val="18"/>
              </w:rPr>
              <w:t>Inline YAML section</w:t>
            </w:r>
          </w:p>
        </w:tc>
        <w:tc>
          <w:tcPr>
            <w:tcW w:type="dxa" w:w="2541"/>
            <w:vAlign w:val="center"/>
          </w:tcPr>
          <w:p>
            <w:r/>
            <w:r>
              <w:rPr>
                <w:b w:val="0"/>
                <w:sz w:val="18"/>
              </w:rPr>
              <w:t>Reusable programme page</w:t>
            </w:r>
          </w:p>
        </w:tc>
      </w:tr>
      <w:tr>
        <w:tc>
          <w:tcPr>
            <w:tcW w:type="dxa" w:w="2541"/>
            <w:vAlign w:val="center"/>
          </w:tcPr>
          <w:p>
            <w:r/>
            <w:r>
              <w:rPr>
                <w:b/>
                <w:color w:val="152033"/>
                <w:sz w:val="18"/>
              </w:rPr>
              <w:t>AFADL / calls</w:t>
            </w:r>
          </w:p>
        </w:tc>
        <w:tc>
          <w:tcPr>
            <w:tcW w:type="dxa" w:w="2541"/>
            <w:vAlign w:val="center"/>
          </w:tcPr>
          <w:p>
            <w:r/>
            <w:r>
              <w:rPr>
                <w:b w:val="0"/>
                <w:sz w:val="18"/>
              </w:rPr>
              <w:t>Dedicated page</w:t>
            </w:r>
          </w:p>
        </w:tc>
        <w:tc>
          <w:tcPr>
            <w:tcW w:type="dxa" w:w="2541"/>
            <w:vAlign w:val="center"/>
          </w:tcPr>
          <w:p>
            <w:r/>
            <w:r>
              <w:rPr>
                <w:b w:val="0"/>
                <w:sz w:val="18"/>
              </w:rPr>
              <w:t>Inline call cards</w:t>
            </w:r>
          </w:p>
        </w:tc>
        <w:tc>
          <w:tcPr>
            <w:tcW w:type="dxa" w:w="2541"/>
            <w:vAlign w:val="center"/>
          </w:tcPr>
          <w:p>
            <w:r/>
            <w:r>
              <w:rPr>
                <w:b w:val="0"/>
                <w:sz w:val="18"/>
              </w:rPr>
              <w:t>Optional dedicated page</w:t>
            </w:r>
          </w:p>
        </w:tc>
      </w:tr>
      <w:tr>
        <w:tc>
          <w:tcPr>
            <w:tcW w:type="dxa" w:w="2541"/>
            <w:vAlign w:val="center"/>
          </w:tcPr>
          <w:p>
            <w:r/>
            <w:r>
              <w:rPr>
                <w:b/>
                <w:color w:val="152033"/>
                <w:sz w:val="18"/>
              </w:rPr>
              <w:t>Speakers</w:t>
            </w:r>
          </w:p>
        </w:tc>
        <w:tc>
          <w:tcPr>
            <w:tcW w:type="dxa" w:w="2541"/>
            <w:vAlign w:val="center"/>
          </w:tcPr>
          <w:p>
            <w:r/>
            <w:r>
              <w:rPr>
                <w:b w:val="0"/>
                <w:sz w:val="18"/>
              </w:rPr>
              <w:t>Dedicated page/cards</w:t>
            </w:r>
          </w:p>
        </w:tc>
        <w:tc>
          <w:tcPr>
            <w:tcW w:type="dxa" w:w="2541"/>
            <w:vAlign w:val="center"/>
          </w:tcPr>
          <w:p>
            <w:r/>
            <w:r>
              <w:rPr>
                <w:b w:val="0"/>
                <w:sz w:val="18"/>
              </w:rPr>
              <w:t>Inline cards</w:t>
            </w:r>
          </w:p>
        </w:tc>
        <w:tc>
          <w:tcPr>
            <w:tcW w:type="dxa" w:w="2541"/>
            <w:vAlign w:val="center"/>
          </w:tcPr>
          <w:p>
            <w:r/>
            <w:r>
              <w:rPr>
                <w:b w:val="0"/>
                <w:sz w:val="18"/>
              </w:rPr>
              <w:t>Reusable cards + optional biographies</w:t>
            </w:r>
          </w:p>
        </w:tc>
      </w:tr>
      <w:tr>
        <w:tc>
          <w:tcPr>
            <w:tcW w:type="dxa" w:w="2541"/>
            <w:vAlign w:val="center"/>
          </w:tcPr>
          <w:p>
            <w:r/>
            <w:r>
              <w:rPr>
                <w:b/>
                <w:color w:val="152033"/>
                <w:sz w:val="18"/>
              </w:rPr>
              <w:t>Registration</w:t>
            </w:r>
          </w:p>
        </w:tc>
        <w:tc>
          <w:tcPr>
            <w:tcW w:type="dxa" w:w="2541"/>
            <w:vAlign w:val="center"/>
          </w:tcPr>
          <w:p>
            <w:r/>
            <w:r>
              <w:rPr>
                <w:b w:val="0"/>
                <w:sz w:val="18"/>
              </w:rPr>
              <w:t>Strong CTA</w:t>
            </w:r>
          </w:p>
        </w:tc>
        <w:tc>
          <w:tcPr>
            <w:tcW w:type="dxa" w:w="2541"/>
            <w:vAlign w:val="center"/>
          </w:tcPr>
          <w:p>
            <w:r/>
            <w:r>
              <w:rPr>
                <w:b w:val="0"/>
                <w:sz w:val="18"/>
              </w:rPr>
              <w:t>Strong CTA + pricing</w:t>
            </w:r>
          </w:p>
        </w:tc>
        <w:tc>
          <w:tcPr>
            <w:tcW w:type="dxa" w:w="2541"/>
            <w:vAlign w:val="center"/>
          </w:tcPr>
          <w:p>
            <w:r/>
            <w:r>
              <w:rPr>
                <w:b w:val="0"/>
                <w:sz w:val="18"/>
              </w:rPr>
              <w:t>Keep and standardize</w:t>
            </w:r>
          </w:p>
        </w:tc>
      </w:tr>
      <w:tr>
        <w:tc>
          <w:tcPr>
            <w:tcW w:type="dxa" w:w="2541"/>
            <w:vAlign w:val="center"/>
          </w:tcPr>
          <w:p>
            <w:r/>
            <w:r>
              <w:rPr>
                <w:b/>
                <w:color w:val="152033"/>
                <w:sz w:val="18"/>
              </w:rPr>
              <w:t>Maintenance</w:t>
            </w:r>
          </w:p>
        </w:tc>
        <w:tc>
          <w:tcPr>
            <w:tcW w:type="dxa" w:w="2541"/>
            <w:vAlign w:val="center"/>
          </w:tcPr>
          <w:p>
            <w:r/>
            <w:r>
              <w:rPr>
                <w:b w:val="0"/>
                <w:sz w:val="18"/>
              </w:rPr>
              <w:t>New site per year</w:t>
            </w:r>
          </w:p>
        </w:tc>
        <w:tc>
          <w:tcPr>
            <w:tcW w:type="dxa" w:w="2541"/>
            <w:vAlign w:val="center"/>
          </w:tcPr>
          <w:p>
            <w:r/>
            <w:r>
              <w:rPr>
                <w:b w:val="0"/>
                <w:sz w:val="18"/>
              </w:rPr>
              <w:t>One YAML-heavy page</w:t>
            </w:r>
          </w:p>
        </w:tc>
        <w:tc>
          <w:tcPr>
            <w:tcW w:type="dxa" w:w="2541"/>
            <w:vAlign w:val="center"/>
          </w:tcPr>
          <w:p>
            <w:r/>
            <w:r>
              <w:rPr>
                <w:b w:val="0"/>
                <w:sz w:val="18"/>
              </w:rPr>
              <w:t>One edition folder + one data file</w:t>
            </w:r>
          </w:p>
        </w:tc>
      </w:tr>
    </w:tbl>
    <w:p>
      <w:pPr>
        <w:pStyle w:val="Heading1"/>
      </w:pPr>
      <w:r>
        <w:t>4. Problems to fix before merging the prototype</w:t>
      </w:r>
    </w:p>
    <w:tbl>
      <w:tblPr>
        <w:tblW w:type="auto" w:w="0"/>
        <w:jc w:val="center"/>
        <w:tblLook w:firstColumn="1" w:firstRow="1" w:lastColumn="0" w:lastRow="0" w:noHBand="0" w:noVBand="1" w:val="04A0"/>
      </w:tblPr>
      <w:tblGrid>
        <w:gridCol w:w="3389"/>
        <w:gridCol w:w="3389"/>
        <w:gridCol w:w="3389"/>
      </w:tblGrid>
      <w:tr>
        <w:tc>
          <w:tcPr>
            <w:tcW w:type="dxa" w:w="3389"/>
            <w:shd w:fill="075985"/>
            <w:vAlign w:val="center"/>
          </w:tcPr>
          <w:p>
            <w:r/>
            <w:r>
              <w:rPr>
                <w:b/>
                <w:color w:val="FFFFFF"/>
                <w:sz w:val="18"/>
              </w:rPr>
              <w:t>Priority</w:t>
            </w:r>
          </w:p>
        </w:tc>
        <w:tc>
          <w:tcPr>
            <w:tcW w:type="dxa" w:w="3389"/>
            <w:shd w:fill="075985"/>
            <w:vAlign w:val="center"/>
          </w:tcPr>
          <w:p>
            <w:r/>
            <w:r>
              <w:rPr>
                <w:b/>
                <w:color w:val="FFFFFF"/>
                <w:sz w:val="18"/>
              </w:rPr>
              <w:t>Finding</w:t>
            </w:r>
          </w:p>
        </w:tc>
        <w:tc>
          <w:tcPr>
            <w:tcW w:type="dxa" w:w="3389"/>
            <w:shd w:fill="075985"/>
            <w:vAlign w:val="center"/>
          </w:tcPr>
          <w:p>
            <w:r/>
            <w:r>
              <w:rPr>
                <w:b/>
                <w:color w:val="FFFFFF"/>
                <w:sz w:val="18"/>
              </w:rPr>
              <w:t>Action</w:t>
            </w:r>
          </w:p>
        </w:tc>
      </w:tr>
      <w:tr>
        <w:tc>
          <w:tcPr>
            <w:tcW w:type="dxa" w:w="3389"/>
            <w:vAlign w:val="center"/>
          </w:tcPr>
          <w:p>
            <w:r/>
            <w:r>
              <w:rPr>
                <w:b/>
                <w:color w:val="B42318"/>
                <w:sz w:val="18"/>
              </w:rPr>
              <w:t>High</w:t>
            </w:r>
          </w:p>
        </w:tc>
        <w:tc>
          <w:tcPr>
            <w:tcW w:type="dxa" w:w="3389"/>
            <w:vAlign w:val="center"/>
          </w:tcPr>
          <w:p>
            <w:r/>
            <w:r>
              <w:rPr>
                <w:b/>
                <w:color w:val="152033"/>
                <w:sz w:val="18"/>
              </w:rPr>
              <w:t>Branch divergence</w:t>
            </w:r>
          </w:p>
        </w:tc>
        <w:tc>
          <w:tcPr>
            <w:tcW w:type="dxa" w:w="3389"/>
            <w:vAlign w:val="center"/>
          </w:tcPr>
          <w:p>
            <w:r/>
            <w:r>
              <w:rPr>
                <w:b w:val="0"/>
                <w:sz w:val="18"/>
              </w:rPr>
              <w:t>Rebuild/rebase the Journées work on current main before review.</w:t>
            </w:r>
          </w:p>
        </w:tc>
      </w:tr>
      <w:tr>
        <w:tc>
          <w:tcPr>
            <w:tcW w:type="dxa" w:w="3389"/>
            <w:vAlign w:val="center"/>
          </w:tcPr>
          <w:p>
            <w:r/>
            <w:r>
              <w:rPr>
                <w:b/>
                <w:color w:val="B42318"/>
                <w:sz w:val="18"/>
              </w:rPr>
              <w:t>High</w:t>
            </w:r>
          </w:p>
        </w:tc>
        <w:tc>
          <w:tcPr>
            <w:tcW w:type="dxa" w:w="3389"/>
            <w:vAlign w:val="center"/>
          </w:tcPr>
          <w:p>
            <w:r/>
            <w:r>
              <w:rPr>
                <w:b/>
                <w:color w:val="152033"/>
                <w:sz w:val="18"/>
              </w:rPr>
              <w:t>Wrong top-level placement</w:t>
            </w:r>
          </w:p>
        </w:tc>
        <w:tc>
          <w:tcPr>
            <w:tcW w:type="dxa" w:w="3389"/>
            <w:vAlign w:val="center"/>
          </w:tcPr>
          <w:p>
            <w:r/>
            <w:r>
              <w:rPr>
                <w:b w:val="0"/>
                <w:sz w:val="18"/>
              </w:rPr>
              <w:t>Do not keep the permanent archive under /action/national-day/. Create /journees/.</w:t>
            </w:r>
          </w:p>
        </w:tc>
      </w:tr>
      <w:tr>
        <w:tc>
          <w:tcPr>
            <w:tcW w:type="dxa" w:w="3389"/>
            <w:vAlign w:val="center"/>
          </w:tcPr>
          <w:p>
            <w:r/>
            <w:r>
              <w:rPr>
                <w:b/>
                <w:color w:val="B42318"/>
                <w:sz w:val="18"/>
              </w:rPr>
              <w:t>High</w:t>
            </w:r>
          </w:p>
        </w:tc>
        <w:tc>
          <w:tcPr>
            <w:tcW w:type="dxa" w:w="3389"/>
            <w:vAlign w:val="center"/>
          </w:tcPr>
          <w:p>
            <w:r/>
            <w:r>
              <w:rPr>
                <w:b/>
                <w:color w:val="152033"/>
                <w:sz w:val="18"/>
              </w:rPr>
              <w:t>Monolithic renderer</w:t>
            </w:r>
          </w:p>
        </w:tc>
        <w:tc>
          <w:tcPr>
            <w:tcW w:type="dxa" w:w="3389"/>
            <w:vAlign w:val="center"/>
          </w:tcPr>
          <w:p>
            <w:r/>
            <w:r>
              <w:rPr>
                <w:b w:val="0"/>
                <w:sz w:val="18"/>
              </w:rPr>
              <w:t>Split the 282-line shortcode into reusable partials/components.</w:t>
            </w:r>
          </w:p>
        </w:tc>
      </w:tr>
      <w:tr>
        <w:tc>
          <w:tcPr>
            <w:tcW w:type="dxa" w:w="3389"/>
            <w:vAlign w:val="center"/>
          </w:tcPr>
          <w:p>
            <w:r/>
            <w:r>
              <w:rPr>
                <w:b/>
                <w:color w:val="B42318"/>
                <w:sz w:val="18"/>
              </w:rPr>
              <w:t>High</w:t>
            </w:r>
          </w:p>
        </w:tc>
        <w:tc>
          <w:tcPr>
            <w:tcW w:type="dxa" w:w="3389"/>
            <w:vAlign w:val="center"/>
          </w:tcPr>
          <w:p>
            <w:r/>
            <w:r>
              <w:rPr>
                <w:b/>
                <w:color w:val="152033"/>
                <w:sz w:val="18"/>
              </w:rPr>
              <w:t>Future-edition usability</w:t>
            </w:r>
          </w:p>
        </w:tc>
        <w:tc>
          <w:tcPr>
            <w:tcW w:type="dxa" w:w="3389"/>
            <w:vAlign w:val="center"/>
          </w:tcPr>
          <w:p>
            <w:r/>
            <w:r>
              <w:rPr>
                <w:b w:val="0"/>
                <w:sz w:val="18"/>
              </w:rPr>
              <w:t>Organizers must not edit Hugo templates/CSS to add a year.</w:t>
            </w:r>
          </w:p>
        </w:tc>
      </w:tr>
      <w:tr>
        <w:tc>
          <w:tcPr>
            <w:tcW w:type="dxa" w:w="3389"/>
            <w:vAlign w:val="center"/>
          </w:tcPr>
          <w:p>
            <w:r/>
            <w:r>
              <w:rPr>
                <w:b/>
                <w:color w:val="B54708"/>
                <w:sz w:val="18"/>
              </w:rPr>
              <w:t>Medium</w:t>
            </w:r>
          </w:p>
        </w:tc>
        <w:tc>
          <w:tcPr>
            <w:tcW w:type="dxa" w:w="3389"/>
            <w:vAlign w:val="center"/>
          </w:tcPr>
          <w:p>
            <w:r/>
            <w:r>
              <w:rPr>
                <w:b/>
                <w:color w:val="152033"/>
                <w:sz w:val="18"/>
              </w:rPr>
              <w:t>URL model</w:t>
            </w:r>
          </w:p>
        </w:tc>
        <w:tc>
          <w:tcPr>
            <w:tcW w:type="dxa" w:w="3389"/>
            <w:vAlign w:val="center"/>
          </w:tcPr>
          <w:p>
            <w:r/>
            <w:r>
              <w:rPr>
                <w:b w:val="0"/>
                <w:sz w:val="18"/>
              </w:rPr>
              <w:t>Use an edition slug such as 2026-2027 rather than relying only on a single year field.</w:t>
            </w:r>
          </w:p>
        </w:tc>
      </w:tr>
      <w:tr>
        <w:tc>
          <w:tcPr>
            <w:tcW w:type="dxa" w:w="3389"/>
            <w:vAlign w:val="center"/>
          </w:tcPr>
          <w:p>
            <w:r/>
            <w:r>
              <w:rPr>
                <w:b/>
                <w:color w:val="B54708"/>
                <w:sz w:val="18"/>
              </w:rPr>
              <w:t>Medium</w:t>
            </w:r>
          </w:p>
        </w:tc>
        <w:tc>
          <w:tcPr>
            <w:tcW w:type="dxa" w:w="3389"/>
            <w:vAlign w:val="center"/>
          </w:tcPr>
          <w:p>
            <w:r/>
            <w:r>
              <w:rPr>
                <w:b/>
                <w:color w:val="152033"/>
                <w:sz w:val="18"/>
              </w:rPr>
              <w:t>Single-page UX</w:t>
            </w:r>
          </w:p>
        </w:tc>
        <w:tc>
          <w:tcPr>
            <w:tcW w:type="dxa" w:w="3389"/>
            <w:vAlign w:val="center"/>
          </w:tcPr>
          <w:p>
            <w:r/>
            <w:r>
              <w:rPr>
                <w:b w:val="0"/>
                <w:sz w:val="18"/>
              </w:rPr>
              <w:t>Use subpages for dense content such as programme, AFADL/calls and speakers.</w:t>
            </w:r>
          </w:p>
        </w:tc>
      </w:tr>
      <w:tr>
        <w:tc>
          <w:tcPr>
            <w:tcW w:type="dxa" w:w="3389"/>
            <w:vAlign w:val="center"/>
          </w:tcPr>
          <w:p>
            <w:r/>
            <w:r>
              <w:rPr>
                <w:b/>
                <w:color w:val="B54708"/>
                <w:sz w:val="18"/>
              </w:rPr>
              <w:t>Medium</w:t>
            </w:r>
          </w:p>
        </w:tc>
        <w:tc>
          <w:tcPr>
            <w:tcW w:type="dxa" w:w="3389"/>
            <w:vAlign w:val="center"/>
          </w:tcPr>
          <w:p>
            <w:r/>
            <w:r>
              <w:rPr>
                <w:b/>
                <w:color w:val="152033"/>
                <w:sz w:val="18"/>
              </w:rPr>
              <w:t>Header ordering</w:t>
            </w:r>
          </w:p>
        </w:tc>
        <w:tc>
          <w:tcPr>
            <w:tcW w:type="dxa" w:w="3389"/>
            <w:vAlign w:val="center"/>
          </w:tcPr>
          <w:p>
            <w:r/>
            <w:r>
              <w:rPr>
                <w:b w:val="0"/>
                <w:sz w:val="18"/>
              </w:rPr>
              <w:t>Sort editions explicitly by start date/season descending, not File.Path.</w:t>
            </w:r>
          </w:p>
        </w:tc>
      </w:tr>
      <w:tr>
        <w:tc>
          <w:tcPr>
            <w:tcW w:type="dxa" w:w="3389"/>
            <w:vAlign w:val="center"/>
          </w:tcPr>
          <w:p>
            <w:r/>
            <w:r>
              <w:rPr>
                <w:b/>
                <w:color w:val="B54708"/>
                <w:sz w:val="18"/>
              </w:rPr>
              <w:t>Medium</w:t>
            </w:r>
          </w:p>
        </w:tc>
        <w:tc>
          <w:tcPr>
            <w:tcW w:type="dxa" w:w="3389"/>
            <w:vAlign w:val="center"/>
          </w:tcPr>
          <w:p>
            <w:r/>
            <w:r>
              <w:rPr>
                <w:b/>
                <w:color w:val="152033"/>
                <w:sz w:val="18"/>
              </w:rPr>
              <w:t>Historical compatibility</w:t>
            </w:r>
          </w:p>
        </w:tc>
        <w:tc>
          <w:tcPr>
            <w:tcW w:type="dxa" w:w="3389"/>
            <w:vAlign w:val="center"/>
          </w:tcPr>
          <w:p>
            <w:r/>
            <w:r>
              <w:rPr>
                <w:b w:val="0"/>
                <w:sz w:val="18"/>
              </w:rPr>
              <w:t>Keep aliases from /action/national-day/... to the new /journees/... routes.</w:t>
            </w:r>
          </w:p>
        </w:tc>
      </w:tr>
      <w:tr>
        <w:tc>
          <w:tcPr>
            <w:tcW w:type="dxa" w:w="3389"/>
            <w:vAlign w:val="center"/>
          </w:tcPr>
          <w:p>
            <w:r/>
            <w:r>
              <w:rPr>
                <w:b/>
                <w:color w:val="667085"/>
                <w:sz w:val="18"/>
              </w:rPr>
              <w:t>Low</w:t>
            </w:r>
          </w:p>
        </w:tc>
        <w:tc>
          <w:tcPr>
            <w:tcW w:type="dxa" w:w="3389"/>
            <w:vAlign w:val="center"/>
          </w:tcPr>
          <w:p>
            <w:r/>
            <w:r>
              <w:rPr>
                <w:b/>
                <w:color w:val="152033"/>
                <w:sz w:val="18"/>
              </w:rPr>
              <w:t>Presentation coupling</w:t>
            </w:r>
          </w:p>
        </w:tc>
        <w:tc>
          <w:tcPr>
            <w:tcW w:type="dxa" w:w="3389"/>
            <w:vAlign w:val="center"/>
          </w:tcPr>
          <w:p>
            <w:r/>
            <w:r>
              <w:rPr>
                <w:b w:val="0"/>
                <w:sz w:val="18"/>
              </w:rPr>
              <w:t>Keep visual components generic; edition data should not contain design-specific assumptions.</w:t>
            </w:r>
          </w:p>
        </w:tc>
      </w:tr>
    </w:tbl>
    <w:p>
      <w:pPr>
        <w:pStyle w:val="Heading1"/>
      </w:pPr>
      <w:r>
        <w:t>5. Target information architecture</w:t>
      </w:r>
    </w:p>
    <w:tbl>
      <w:tblPr>
        <w:tblW w:type="auto" w:w="0"/>
        <w:jc w:val="center"/>
        <w:tblLook w:firstColumn="1" w:firstRow="1" w:lastColumn="0" w:lastRow="0" w:noHBand="0" w:noVBand="1" w:val="04A0"/>
      </w:tblPr>
      <w:tblGrid>
        <w:gridCol w:w="10166"/>
      </w:tblGrid>
      <w:tr>
        <w:tc>
          <w:tcPr>
            <w:tcW w:type="dxa" w:w="10166"/>
            <w:shd w:fill="F8FAFC"/>
          </w:tcPr>
          <w:p>
            <w:pPr>
              <w:spacing w:after="0"/>
            </w:pPr>
            <w:r>
              <w:rPr>
                <w:rFonts w:ascii="Liberation Mono" w:hAnsi="Liberation Mono"/>
                <w:color w:val="344054"/>
                <w:sz w:val="16"/>
              </w:rPr>
              <w:t>https://gdr-scilog.cnrs.fr/</w:t>
            </w:r>
            <w:r>
              <w:br/>
            </w:r>
            <w:r>
              <w:rPr>
                <w:rFonts w:ascii="Liberation Mono" w:hAnsi="Liberation Mono"/>
                <w:color w:val="344054"/>
                <w:sz w:val="16"/>
              </w:rPr>
              <w:t>├── /journees/                         # archive + current edition</w:t>
            </w:r>
            <w:r>
              <w:br/>
            </w:r>
            <w:r>
              <w:rPr>
                <w:rFonts w:ascii="Liberation Mono" w:hAnsi="Liberation Mono"/>
                <w:color w:val="344054"/>
                <w:sz w:val="16"/>
              </w:rPr>
              <w:t>│   ├── /2025-2026/                    # archived edition</w:t>
            </w:r>
            <w:r>
              <w:br/>
            </w:r>
            <w:r>
              <w:rPr>
                <w:rFonts w:ascii="Liberation Mono" w:hAnsi="Liberation Mono"/>
                <w:color w:val="344054"/>
                <w:sz w:val="16"/>
              </w:rPr>
              <w:t>│   │   ├── programme/</w:t>
            </w:r>
            <w:r>
              <w:br/>
            </w:r>
            <w:r>
              <w:rPr>
                <w:rFonts w:ascii="Liberation Mono" w:hAnsi="Liberation Mono"/>
                <w:color w:val="344054"/>
                <w:sz w:val="16"/>
              </w:rPr>
              <w:t>│   │   ├── intervenants/</w:t>
            </w:r>
            <w:r>
              <w:br/>
            </w:r>
            <w:r>
              <w:rPr>
                <w:rFonts w:ascii="Liberation Mono" w:hAnsi="Liberation Mono"/>
                <w:color w:val="344054"/>
                <w:sz w:val="16"/>
              </w:rPr>
              <w:t>│   │   ├── lieu/</w:t>
            </w:r>
            <w:r>
              <w:br/>
            </w:r>
            <w:r>
              <w:rPr>
                <w:rFonts w:ascii="Liberation Mono" w:hAnsi="Liberation Mono"/>
                <w:color w:val="344054"/>
                <w:sz w:val="16"/>
              </w:rPr>
              <w:t>│   │   └── ressources/</w:t>
            </w:r>
            <w:r>
              <w:br/>
            </w:r>
            <w:r>
              <w:rPr>
                <w:rFonts w:ascii="Liberation Mono" w:hAnsi="Liberation Mono"/>
                <w:color w:val="344054"/>
                <w:sz w:val="16"/>
              </w:rPr>
              <w:t>│   ├── /2026-2027/                    # current/latest edition</w:t>
            </w:r>
            <w:r>
              <w:br/>
            </w:r>
            <w:r>
              <w:rPr>
                <w:rFonts w:ascii="Liberation Mono" w:hAnsi="Liberation Mono"/>
                <w:color w:val="344054"/>
                <w:sz w:val="16"/>
              </w:rPr>
              <w:t>│   │   ├── appels/</w:t>
            </w:r>
            <w:r>
              <w:br/>
            </w:r>
            <w:r>
              <w:rPr>
                <w:rFonts w:ascii="Liberation Mono" w:hAnsi="Liberation Mono"/>
                <w:color w:val="344054"/>
                <w:sz w:val="16"/>
              </w:rPr>
              <w:t>│   │   ├── programme/</w:t>
            </w:r>
            <w:r>
              <w:br/>
            </w:r>
            <w:r>
              <w:rPr>
                <w:rFonts w:ascii="Liberation Mono" w:hAnsi="Liberation Mono"/>
                <w:color w:val="344054"/>
                <w:sz w:val="16"/>
              </w:rPr>
              <w:t>│   │   ├── inscription/</w:t>
            </w:r>
            <w:r>
              <w:br/>
            </w:r>
            <w:r>
              <w:rPr>
                <w:rFonts w:ascii="Liberation Mono" w:hAnsi="Liberation Mono"/>
                <w:color w:val="344054"/>
                <w:sz w:val="16"/>
              </w:rPr>
              <w:t>│   │   ├── intervenants/</w:t>
            </w:r>
            <w:r>
              <w:br/>
            </w:r>
            <w:r>
              <w:rPr>
                <w:rFonts w:ascii="Liberation Mono" w:hAnsi="Liberation Mono"/>
                <w:color w:val="344054"/>
                <w:sz w:val="16"/>
              </w:rPr>
              <w:t>│   │   ├── lieu/</w:t>
            </w:r>
            <w:r>
              <w:br/>
            </w:r>
            <w:r>
              <w:rPr>
                <w:rFonts w:ascii="Liberation Mono" w:hAnsi="Liberation Mono"/>
                <w:color w:val="344054"/>
                <w:sz w:val="16"/>
              </w:rPr>
              <w:t>│   │   ├── photos/</w:t>
            </w:r>
            <w:r>
              <w:br/>
            </w:r>
            <w:r>
              <w:rPr>
                <w:rFonts w:ascii="Liberation Mono" w:hAnsi="Liberation Mono"/>
                <w:color w:val="344054"/>
                <w:sz w:val="16"/>
              </w:rPr>
              <w:t>│   │   └── code-de-conduite/</w:t>
            </w:r>
            <w:r>
              <w:br/>
            </w:r>
            <w:r>
              <w:rPr>
                <w:rFonts w:ascii="Liberation Mono" w:hAnsi="Liberation Mono"/>
                <w:color w:val="344054"/>
                <w:sz w:val="16"/>
              </w:rPr>
              <w:t>│   └── /2027-2028/                    # next edition when created</w:t>
            </w:r>
            <w:r>
              <w:br/>
            </w:r>
            <w:r>
              <w:rPr>
                <w:rFonts w:ascii="Liberation Mono" w:hAnsi="Liberation Mono"/>
                <w:color w:val="344054"/>
                <w:sz w:val="16"/>
              </w:rPr>
              <w:t>└── existing SciLog sections...</w:t>
            </w:r>
          </w:p>
        </w:tc>
      </w:tr>
    </w:tbl>
    <w:p>
      <w:r>
        <w:t>The label can be displayed as “Journées 2026–27” while the canonical slug is 2026-2027. If the scientific community prefers calendar-year naming instead, the underlying model still supports it because display_label, slug, start_date and end_date are separate fields.</w:t>
      </w:r>
    </w:p>
    <w:p>
      <w:pPr>
        <w:pStyle w:val="Heading2"/>
      </w:pPr>
      <w:r>
        <w:t>Main header behavior</w:t>
      </w:r>
    </w:p>
    <w:tbl>
      <w:tblPr>
        <w:tblW w:type="auto" w:w="0"/>
        <w:jc w:val="center"/>
        <w:tblLook w:firstColumn="1" w:firstRow="1" w:lastColumn="0" w:lastRow="0" w:noHBand="0" w:noVBand="1" w:val="04A0"/>
      </w:tblPr>
      <w:tblGrid>
        <w:gridCol w:w="10166"/>
      </w:tblGrid>
      <w:tr>
        <w:tc>
          <w:tcPr>
            <w:tcW w:type="dxa" w:w="10166"/>
            <w:shd w:fill="F8FAFC"/>
          </w:tcPr>
          <w:p>
            <w:pPr>
              <w:spacing w:after="0"/>
            </w:pPr>
            <w:r>
              <w:rPr>
                <w:rFonts w:ascii="Liberation Mono" w:hAnsi="Liberation Mono"/>
                <w:color w:val="344054"/>
                <w:sz w:val="16"/>
              </w:rPr>
              <w:t>GDR SciLog | Défis | Groupes | Écoles | Actions | Journées ▼ | Contact</w:t>
            </w:r>
            <w:r>
              <w:br/>
            </w:r>
            <w:r>
              <w:rPr>
                <w:rFonts w:ascii="Liberation Mono" w:hAnsi="Liberation Mono"/>
                <w:color w:val="344054"/>
                <w:sz w:val="16"/>
              </w:rPr>
              <w:t xml:space="preserve">                                             ├─ 2027–28 · [future/current]</w:t>
            </w:r>
            <w:r>
              <w:br/>
            </w:r>
            <w:r>
              <w:rPr>
                <w:rFonts w:ascii="Liberation Mono" w:hAnsi="Liberation Mono"/>
                <w:color w:val="344054"/>
                <w:sz w:val="16"/>
              </w:rPr>
              <w:t xml:space="preserve">                                             ├─ 2026–27</w:t>
            </w:r>
            <w:r>
              <w:br/>
            </w:r>
            <w:r>
              <w:rPr>
                <w:rFonts w:ascii="Liberation Mono" w:hAnsi="Liberation Mono"/>
                <w:color w:val="344054"/>
                <w:sz w:val="16"/>
              </w:rPr>
              <w:t xml:space="preserve">                                             ├─ 2025–26</w:t>
            </w:r>
            <w:r>
              <w:br/>
            </w:r>
            <w:r>
              <w:rPr>
                <w:rFonts w:ascii="Liberation Mono" w:hAnsi="Liberation Mono"/>
                <w:color w:val="344054"/>
                <w:sz w:val="16"/>
              </w:rPr>
              <w:t xml:space="preserve">                                             └─ Toutes les éditions</w:t>
            </w:r>
          </w:p>
        </w:tc>
      </w:tr>
    </w:tbl>
    <w:p>
      <w:r>
        <w:t>The dropdown must be generated from edition content/data. Nobody should edit hero.html to insert a new year. The latest edition is first; archived editions remain available; “Toutes les éditions” goes to /journees/.</w:t>
      </w:r>
    </w:p>
    <w:p>
      <w:pPr>
        <w:pStyle w:val="Heading1"/>
      </w:pPr>
      <w:r>
        <w:t>6. Recommended repository structure</w:t>
      </w:r>
    </w:p>
    <w:tbl>
      <w:tblPr>
        <w:tblW w:type="auto" w:w="0"/>
        <w:jc w:val="center"/>
        <w:tblLook w:firstColumn="1" w:firstRow="1" w:lastColumn="0" w:lastRow="0" w:noHBand="0" w:noVBand="1" w:val="04A0"/>
      </w:tblPr>
      <w:tblGrid>
        <w:gridCol w:w="10166"/>
      </w:tblGrid>
      <w:tr>
        <w:tc>
          <w:tcPr>
            <w:tcW w:type="dxa" w:w="10166"/>
            <w:shd w:fill="F8FAFC"/>
          </w:tcPr>
          <w:p>
            <w:pPr>
              <w:spacing w:after="0"/>
            </w:pPr>
            <w:r>
              <w:rPr>
                <w:rFonts w:ascii="Liberation Mono" w:hAnsi="Liberation Mono"/>
                <w:color w:val="344054"/>
                <w:sz w:val="16"/>
              </w:rPr>
              <w:t>content/</w:t>
            </w:r>
            <w:r>
              <w:br/>
            </w:r>
            <w:r>
              <w:rPr>
                <w:rFonts w:ascii="Liberation Mono" w:hAnsi="Liberation Mono"/>
                <w:color w:val="344054"/>
                <w:sz w:val="16"/>
              </w:rPr>
              <w:t xml:space="preserve">  journees/</w:t>
            </w:r>
            <w:r>
              <w:br/>
            </w:r>
            <w:r>
              <w:rPr>
                <w:rFonts w:ascii="Liberation Mono" w:hAnsi="Liberation Mono"/>
                <w:color w:val="344054"/>
                <w:sz w:val="16"/>
              </w:rPr>
              <w:t xml:space="preserve">    _index.md</w:t>
            </w:r>
            <w:r>
              <w:br/>
            </w:r>
            <w:r>
              <w:rPr>
                <w:rFonts w:ascii="Liberation Mono" w:hAnsi="Liberation Mono"/>
                <w:color w:val="344054"/>
                <w:sz w:val="16"/>
              </w:rPr>
              <w:t xml:space="preserve">    2025-2026/</w:t>
            </w:r>
            <w:r>
              <w:br/>
            </w:r>
            <w:r>
              <w:rPr>
                <w:rFonts w:ascii="Liberation Mono" w:hAnsi="Liberation Mono"/>
                <w:color w:val="344054"/>
                <w:sz w:val="16"/>
              </w:rPr>
              <w:t xml:space="preserve">      _index.md</w:t>
            </w:r>
            <w:r>
              <w:br/>
            </w:r>
            <w:r>
              <w:rPr>
                <w:rFonts w:ascii="Liberation Mono" w:hAnsi="Liberation Mono"/>
                <w:color w:val="344054"/>
                <w:sz w:val="16"/>
              </w:rPr>
              <w:t xml:space="preserve">      programme.md</w:t>
            </w:r>
            <w:r>
              <w:br/>
            </w:r>
            <w:r>
              <w:rPr>
                <w:rFonts w:ascii="Liberation Mono" w:hAnsi="Liberation Mono"/>
                <w:color w:val="344054"/>
                <w:sz w:val="16"/>
              </w:rPr>
              <w:t xml:space="preserve">      intervenants.md</w:t>
            </w:r>
            <w:r>
              <w:br/>
            </w:r>
            <w:r>
              <w:rPr>
                <w:rFonts w:ascii="Liberation Mono" w:hAnsi="Liberation Mono"/>
                <w:color w:val="344054"/>
                <w:sz w:val="16"/>
              </w:rPr>
              <w:t xml:space="preserve">      lieu.md</w:t>
            </w:r>
            <w:r>
              <w:br/>
            </w:r>
            <w:r>
              <w:rPr>
                <w:rFonts w:ascii="Liberation Mono" w:hAnsi="Liberation Mono"/>
                <w:color w:val="344054"/>
                <w:sz w:val="16"/>
              </w:rPr>
              <w:t xml:space="preserve">      ressources.md</w:t>
            </w:r>
            <w:r>
              <w:br/>
            </w:r>
            <w:r>
              <w:rPr>
                <w:rFonts w:ascii="Liberation Mono" w:hAnsi="Liberation Mono"/>
                <w:color w:val="344054"/>
                <w:sz w:val="16"/>
              </w:rPr>
              <w:t xml:space="preserve">    2026-2027/</w:t>
            </w:r>
            <w:r>
              <w:br/>
            </w:r>
            <w:r>
              <w:rPr>
                <w:rFonts w:ascii="Liberation Mono" w:hAnsi="Liberation Mono"/>
                <w:color w:val="344054"/>
                <w:sz w:val="16"/>
              </w:rPr>
              <w:t xml:space="preserve">      _index.md</w:t>
            </w:r>
            <w:r>
              <w:br/>
            </w:r>
            <w:r>
              <w:rPr>
                <w:rFonts w:ascii="Liberation Mono" w:hAnsi="Liberation Mono"/>
                <w:color w:val="344054"/>
                <w:sz w:val="16"/>
              </w:rPr>
              <w:t xml:space="preserve">      appels.md</w:t>
            </w:r>
            <w:r>
              <w:br/>
            </w:r>
            <w:r>
              <w:rPr>
                <w:rFonts w:ascii="Liberation Mono" w:hAnsi="Liberation Mono"/>
                <w:color w:val="344054"/>
                <w:sz w:val="16"/>
              </w:rPr>
              <w:t xml:space="preserve">      programme.md</w:t>
            </w:r>
            <w:r>
              <w:br/>
            </w:r>
            <w:r>
              <w:rPr>
                <w:rFonts w:ascii="Liberation Mono" w:hAnsi="Liberation Mono"/>
                <w:color w:val="344054"/>
                <w:sz w:val="16"/>
              </w:rPr>
              <w:t xml:space="preserve">      inscription.md</w:t>
            </w:r>
            <w:r>
              <w:br/>
            </w:r>
            <w:r>
              <w:rPr>
                <w:rFonts w:ascii="Liberation Mono" w:hAnsi="Liberation Mono"/>
                <w:color w:val="344054"/>
                <w:sz w:val="16"/>
              </w:rPr>
              <w:t xml:space="preserve">      intervenants.md</w:t>
            </w:r>
            <w:r>
              <w:br/>
            </w:r>
            <w:r>
              <w:rPr>
                <w:rFonts w:ascii="Liberation Mono" w:hAnsi="Liberation Mono"/>
                <w:color w:val="344054"/>
                <w:sz w:val="16"/>
              </w:rPr>
              <w:t xml:space="preserve">      lieu.md</w:t>
            </w:r>
            <w:r>
              <w:br/>
            </w:r>
            <w:r>
              <w:rPr>
                <w:rFonts w:ascii="Liberation Mono" w:hAnsi="Liberation Mono"/>
                <w:color w:val="344054"/>
                <w:sz w:val="16"/>
              </w:rPr>
              <w:t xml:space="preserve">      photos.md</w:t>
            </w:r>
            <w:r>
              <w:br/>
            </w:r>
            <w:r>
              <w:rPr>
                <w:rFonts w:ascii="Liberation Mono" w:hAnsi="Liberation Mono"/>
                <w:color w:val="344054"/>
                <w:sz w:val="16"/>
              </w:rPr>
              <w:t xml:space="preserve">      code-de-conduite.md</w:t>
            </w:r>
            <w:r>
              <w:br/>
            </w:r>
            <w:r>
              <w:rPr>
                <w:rFonts w:ascii="Liberation Mono" w:hAnsi="Liberation Mono"/>
                <w:color w:val="344054"/>
                <w:sz w:val="16"/>
              </w:rPr>
              <w:t xml:space="preserve">    _template/</w:t>
            </w:r>
            <w:r>
              <w:br/>
            </w:r>
            <w:r>
              <w:rPr>
                <w:rFonts w:ascii="Liberation Mono" w:hAnsi="Liberation Mono"/>
                <w:color w:val="344054"/>
                <w:sz w:val="16"/>
              </w:rPr>
              <w:t xml:space="preserve">      _index.md.example</w:t>
            </w:r>
            <w:r>
              <w:br/>
            </w:r>
            <w:r>
              <w:rPr>
                <w:rFonts w:ascii="Liberation Mono" w:hAnsi="Liberation Mono"/>
                <w:color w:val="344054"/>
                <w:sz w:val="16"/>
              </w:rPr>
              <w:t xml:space="preserve">      programme.md.example</w:t>
            </w:r>
            <w:r>
              <w:br/>
            </w:r>
            <w:r>
              <w:rPr>
                <w:rFonts w:ascii="Liberation Mono" w:hAnsi="Liberation Mono"/>
                <w:color w:val="344054"/>
                <w:sz w:val="16"/>
              </w:rPr>
              <w:t xml:space="preserve">      intervenants.md.example</w:t>
            </w:r>
            <w:r>
              <w:br/>
            </w:r>
            <w:r>
              <w:rPr>
                <w:rFonts w:ascii="Liberation Mono" w:hAnsi="Liberation Mono"/>
                <w:color w:val="344054"/>
                <w:sz w:val="16"/>
              </w:rPr>
            </w:r>
            <w:r>
              <w:br/>
            </w:r>
            <w:r>
              <w:rPr>
                <w:rFonts w:ascii="Liberation Mono" w:hAnsi="Liberation Mono"/>
                <w:color w:val="344054"/>
                <w:sz w:val="16"/>
              </w:rPr>
              <w:t>data/</w:t>
            </w:r>
            <w:r>
              <w:br/>
            </w:r>
            <w:r>
              <w:rPr>
                <w:rFonts w:ascii="Liberation Mono" w:hAnsi="Liberation Mono"/>
                <w:color w:val="344054"/>
                <w:sz w:val="16"/>
              </w:rPr>
              <w:t xml:space="preserve">  journees/</w:t>
            </w:r>
            <w:r>
              <w:br/>
            </w:r>
            <w:r>
              <w:rPr>
                <w:rFonts w:ascii="Liberation Mono" w:hAnsi="Liberation Mono"/>
                <w:color w:val="344054"/>
                <w:sz w:val="16"/>
              </w:rPr>
              <w:t xml:space="preserve">    2025-2026.yml</w:t>
            </w:r>
            <w:r>
              <w:br/>
            </w:r>
            <w:r>
              <w:rPr>
                <w:rFonts w:ascii="Liberation Mono" w:hAnsi="Liberation Mono"/>
                <w:color w:val="344054"/>
                <w:sz w:val="16"/>
              </w:rPr>
              <w:t xml:space="preserve">    2026-2027.yml</w:t>
            </w:r>
            <w:r>
              <w:br/>
            </w:r>
            <w:r>
              <w:rPr>
                <w:rFonts w:ascii="Liberation Mono" w:hAnsi="Liberation Mono"/>
                <w:color w:val="344054"/>
                <w:sz w:val="16"/>
              </w:rPr>
              <w:t xml:space="preserve">    _template.yml</w:t>
            </w:r>
            <w:r>
              <w:br/>
            </w:r>
            <w:r>
              <w:rPr>
                <w:rFonts w:ascii="Liberation Mono" w:hAnsi="Liberation Mono"/>
                <w:color w:val="344054"/>
                <w:sz w:val="16"/>
              </w:rPr>
            </w:r>
            <w:r>
              <w:br/>
            </w:r>
            <w:r>
              <w:rPr>
                <w:rFonts w:ascii="Liberation Mono" w:hAnsi="Liberation Mono"/>
                <w:color w:val="344054"/>
                <w:sz w:val="16"/>
              </w:rPr>
              <w:t>layouts/</w:t>
            </w:r>
            <w:r>
              <w:br/>
            </w:r>
            <w:r>
              <w:rPr>
                <w:rFonts w:ascii="Liberation Mono" w:hAnsi="Liberation Mono"/>
                <w:color w:val="344054"/>
                <w:sz w:val="16"/>
              </w:rPr>
              <w:t xml:space="preserve">  journees/</w:t>
            </w:r>
            <w:r>
              <w:br/>
            </w:r>
            <w:r>
              <w:rPr>
                <w:rFonts w:ascii="Liberation Mono" w:hAnsi="Liberation Mono"/>
                <w:color w:val="344054"/>
                <w:sz w:val="16"/>
              </w:rPr>
              <w:t xml:space="preserve">    list.html</w:t>
            </w:r>
            <w:r>
              <w:br/>
            </w:r>
            <w:r>
              <w:rPr>
                <w:rFonts w:ascii="Liberation Mono" w:hAnsi="Liberation Mono"/>
                <w:color w:val="344054"/>
                <w:sz w:val="16"/>
              </w:rPr>
              <w:t xml:space="preserve">    single.html</w:t>
            </w:r>
            <w:r>
              <w:br/>
            </w:r>
            <w:r>
              <w:rPr>
                <w:rFonts w:ascii="Liberation Mono" w:hAnsi="Liberation Mono"/>
                <w:color w:val="344054"/>
                <w:sz w:val="16"/>
              </w:rPr>
              <w:t xml:space="preserve">  partials/</w:t>
            </w:r>
            <w:r>
              <w:br/>
            </w:r>
            <w:r>
              <w:rPr>
                <w:rFonts w:ascii="Liberation Mono" w:hAnsi="Liberation Mono"/>
                <w:color w:val="344054"/>
                <w:sz w:val="16"/>
              </w:rPr>
              <w:t xml:space="preserve">    journees/</w:t>
            </w:r>
            <w:r>
              <w:br/>
            </w:r>
            <w:r>
              <w:rPr>
                <w:rFonts w:ascii="Liberation Mono" w:hAnsi="Liberation Mono"/>
                <w:color w:val="344054"/>
                <w:sz w:val="16"/>
              </w:rPr>
              <w:t xml:space="preserve">      edition-card.html</w:t>
            </w:r>
            <w:r>
              <w:br/>
            </w:r>
            <w:r>
              <w:rPr>
                <w:rFonts w:ascii="Liberation Mono" w:hAnsi="Liberation Mono"/>
                <w:color w:val="344054"/>
                <w:sz w:val="16"/>
              </w:rPr>
              <w:t xml:space="preserve">      edition-hero.html</w:t>
            </w:r>
            <w:r>
              <w:br/>
            </w:r>
            <w:r>
              <w:rPr>
                <w:rFonts w:ascii="Liberation Mono" w:hAnsi="Liberation Mono"/>
                <w:color w:val="344054"/>
                <w:sz w:val="16"/>
              </w:rPr>
              <w:t xml:space="preserve">      edition-nav.html</w:t>
            </w:r>
            <w:r>
              <w:br/>
            </w:r>
            <w:r>
              <w:rPr>
                <w:rFonts w:ascii="Liberation Mono" w:hAnsi="Liberation Mono"/>
                <w:color w:val="344054"/>
                <w:sz w:val="16"/>
              </w:rPr>
              <w:t xml:space="preserve">      important-dates.html</w:t>
            </w:r>
            <w:r>
              <w:br/>
            </w:r>
            <w:r>
              <w:rPr>
                <w:rFonts w:ascii="Liberation Mono" w:hAnsi="Liberation Mono"/>
                <w:color w:val="344054"/>
                <w:sz w:val="16"/>
              </w:rPr>
              <w:t xml:space="preserve">      programme.html</w:t>
            </w:r>
            <w:r>
              <w:br/>
            </w:r>
            <w:r>
              <w:rPr>
                <w:rFonts w:ascii="Liberation Mono" w:hAnsi="Liberation Mono"/>
                <w:color w:val="344054"/>
                <w:sz w:val="16"/>
              </w:rPr>
              <w:t xml:space="preserve">      speakers.html</w:t>
            </w:r>
            <w:r>
              <w:br/>
            </w:r>
            <w:r>
              <w:rPr>
                <w:rFonts w:ascii="Liberation Mono" w:hAnsi="Liberation Mono"/>
                <w:color w:val="344054"/>
                <w:sz w:val="16"/>
              </w:rPr>
              <w:t xml:space="preserve">      registration.html</w:t>
            </w:r>
            <w:r>
              <w:br/>
            </w:r>
            <w:r>
              <w:rPr>
                <w:rFonts w:ascii="Liberation Mono" w:hAnsi="Liberation Mono"/>
                <w:color w:val="344054"/>
                <w:sz w:val="16"/>
              </w:rPr>
              <w:t xml:space="preserve">      partners.html</w:t>
            </w:r>
            <w:r>
              <w:br/>
            </w:r>
            <w:r>
              <w:rPr>
                <w:rFonts w:ascii="Liberation Mono" w:hAnsi="Liberation Mono"/>
                <w:color w:val="344054"/>
                <w:sz w:val="16"/>
              </w:rPr>
              <w:t xml:space="preserve">      committee.html</w:t>
            </w:r>
            <w:r>
              <w:br/>
            </w:r>
            <w:r>
              <w:rPr>
                <w:rFonts w:ascii="Liberation Mono" w:hAnsi="Liberation Mono"/>
                <w:color w:val="344054"/>
                <w:sz w:val="16"/>
              </w:rPr>
            </w:r>
            <w:r>
              <w:br/>
            </w:r>
            <w:r>
              <w:rPr>
                <w:rFonts w:ascii="Liberation Mono" w:hAnsi="Liberation Mono"/>
                <w:color w:val="344054"/>
                <w:sz w:val="16"/>
              </w:rPr>
              <w:t>themes/mon-theme/assets/css/</w:t>
            </w:r>
            <w:r>
              <w:br/>
            </w:r>
            <w:r>
              <w:rPr>
                <w:rFonts w:ascii="Liberation Mono" w:hAnsi="Liberation Mono"/>
                <w:color w:val="344054"/>
                <w:sz w:val="16"/>
              </w:rPr>
              <w:t xml:space="preserve">  journees.css</w:t>
            </w:r>
          </w:p>
        </w:tc>
      </w:tr>
    </w:tbl>
    <w:p>
      <w:r>
        <w:t>This is preferable to one global data/journees.yml plus one data/journees_editions directory because each edition becomes a self-contained object with a predictable slug. The archive can collect all data/journees/*.yml files automatically.</w:t>
      </w:r>
    </w:p>
    <w:p>
      <w:pPr>
        <w:pStyle w:val="Heading1"/>
      </w:pPr>
      <w:r>
        <w:t>7. The future-organizer workflow (most important requirement)</w:t>
      </w:r>
    </w:p>
    <w:tbl>
      <w:tblPr>
        <w:tblW w:type="auto" w:w="0"/>
        <w:jc w:val="center"/>
        <w:tblLook w:firstColumn="1" w:firstRow="1" w:lastColumn="0" w:lastRow="0" w:noHBand="0" w:noVBand="1" w:val="04A0"/>
      </w:tblPr>
      <w:tblGrid>
        <w:gridCol w:w="10166"/>
      </w:tblGrid>
      <w:tr>
        <w:tc>
          <w:tcPr>
            <w:tcW w:type="dxa" w:w="10166"/>
            <w:shd w:fill="ECFDF3"/>
            <w:vAlign w:val="center"/>
          </w:tcPr>
          <w:p>
            <w:r/>
            <w:r>
              <w:rPr>
                <w:b/>
                <w:color w:val="067647"/>
                <w:sz w:val="20"/>
              </w:rPr>
              <w:t>Goal: a contributor who knows YAML/Markdown but not Hugo should be able to create the next edition in about five mechanical steps.</w:t>
            </w:r>
          </w:p>
        </w:tc>
      </w:tr>
    </w:tbl>
    <w:p>
      <w:pPr>
        <w:spacing w:after="40"/>
      </w:pPr>
    </w:p>
    <w:p>
      <w:pPr>
        <w:pStyle w:val="Heading2"/>
      </w:pPr>
      <w:r>
        <w:t>Example: adding Journées 2027–28</w:t>
      </w:r>
    </w:p>
    <w:tbl>
      <w:tblPr>
        <w:tblW w:type="auto" w:w="0"/>
        <w:jc w:val="center"/>
        <w:tblLook w:firstColumn="1" w:firstRow="1" w:lastColumn="0" w:lastRow="0" w:noHBand="0" w:noVBand="1" w:val="04A0"/>
      </w:tblPr>
      <w:tblGrid>
        <w:gridCol w:w="3389"/>
        <w:gridCol w:w="3389"/>
        <w:gridCol w:w="3389"/>
      </w:tblGrid>
      <w:tr>
        <w:tc>
          <w:tcPr>
            <w:tcW w:type="dxa" w:w="3389"/>
            <w:shd w:fill="075985"/>
            <w:vAlign w:val="center"/>
          </w:tcPr>
          <w:p>
            <w:r/>
            <w:r>
              <w:rPr>
                <w:b/>
                <w:color w:val="FFFFFF"/>
                <w:sz w:val="18"/>
              </w:rPr>
              <w:t>Step</w:t>
            </w:r>
          </w:p>
        </w:tc>
        <w:tc>
          <w:tcPr>
            <w:tcW w:type="dxa" w:w="3389"/>
            <w:shd w:fill="075985"/>
            <w:vAlign w:val="center"/>
          </w:tcPr>
          <w:p>
            <w:r/>
            <w:r>
              <w:rPr>
                <w:b/>
                <w:color w:val="FFFFFF"/>
                <w:sz w:val="18"/>
              </w:rPr>
              <w:t>Contributor action</w:t>
            </w:r>
          </w:p>
        </w:tc>
        <w:tc>
          <w:tcPr>
            <w:tcW w:type="dxa" w:w="3389"/>
            <w:shd w:fill="075985"/>
            <w:vAlign w:val="center"/>
          </w:tcPr>
          <w:p>
            <w:r/>
            <w:r>
              <w:rPr>
                <w:b/>
                <w:color w:val="FFFFFF"/>
                <w:sz w:val="18"/>
              </w:rPr>
              <w:t>No code required</w:t>
            </w:r>
          </w:p>
        </w:tc>
      </w:tr>
      <w:tr>
        <w:tc>
          <w:tcPr>
            <w:tcW w:type="dxa" w:w="3389"/>
            <w:vAlign w:val="center"/>
          </w:tcPr>
          <w:p>
            <w:r/>
            <w:r>
              <w:rPr>
                <w:b/>
                <w:color w:val="075985"/>
                <w:sz w:val="18"/>
              </w:rPr>
              <w:t>1</w:t>
            </w:r>
          </w:p>
        </w:tc>
        <w:tc>
          <w:tcPr>
            <w:tcW w:type="dxa" w:w="3389"/>
            <w:vAlign w:val="center"/>
          </w:tcPr>
          <w:p>
            <w:r/>
            <w:r>
              <w:rPr>
                <w:b/>
                <w:color w:val="152033"/>
                <w:sz w:val="18"/>
              </w:rPr>
              <w:t>Copy the edition template</w:t>
            </w:r>
          </w:p>
        </w:tc>
        <w:tc>
          <w:tcPr>
            <w:tcW w:type="dxa" w:w="3389"/>
            <w:vAlign w:val="center"/>
          </w:tcPr>
          <w:p>
            <w:r/>
            <w:r>
              <w:rPr>
                <w:b w:val="0"/>
                <w:sz w:val="18"/>
              </w:rPr>
              <w:t>Copy data/journees/_template.yml to data/journees/2027-2028.yml.</w:t>
            </w:r>
          </w:p>
        </w:tc>
      </w:tr>
      <w:tr>
        <w:tc>
          <w:tcPr>
            <w:tcW w:type="dxa" w:w="3389"/>
            <w:vAlign w:val="center"/>
          </w:tcPr>
          <w:p>
            <w:r/>
            <w:r>
              <w:rPr>
                <w:b/>
                <w:color w:val="075985"/>
                <w:sz w:val="18"/>
              </w:rPr>
              <w:t>2</w:t>
            </w:r>
          </w:p>
        </w:tc>
        <w:tc>
          <w:tcPr>
            <w:tcW w:type="dxa" w:w="3389"/>
            <w:vAlign w:val="center"/>
          </w:tcPr>
          <w:p>
            <w:r/>
            <w:r>
              <w:rPr>
                <w:b/>
                <w:color w:val="152033"/>
                <w:sz w:val="18"/>
              </w:rPr>
              <w:t>Edit the small metadata block</w:t>
            </w:r>
          </w:p>
        </w:tc>
        <w:tc>
          <w:tcPr>
            <w:tcW w:type="dxa" w:w="3389"/>
            <w:vAlign w:val="center"/>
          </w:tcPr>
          <w:p>
            <w:r/>
            <w:r>
              <w:rPr>
                <w:b w:val="0"/>
                <w:sz w:val="18"/>
              </w:rPr>
              <w:t>Change title, dates, city, status, registration URL and enabled sections.</w:t>
            </w:r>
          </w:p>
        </w:tc>
      </w:tr>
      <w:tr>
        <w:tc>
          <w:tcPr>
            <w:tcW w:type="dxa" w:w="3389"/>
            <w:vAlign w:val="center"/>
          </w:tcPr>
          <w:p>
            <w:r/>
            <w:r>
              <w:rPr>
                <w:b/>
                <w:color w:val="075985"/>
                <w:sz w:val="18"/>
              </w:rPr>
              <w:t>3</w:t>
            </w:r>
          </w:p>
        </w:tc>
        <w:tc>
          <w:tcPr>
            <w:tcW w:type="dxa" w:w="3389"/>
            <w:vAlign w:val="center"/>
          </w:tcPr>
          <w:p>
            <w:r/>
            <w:r>
              <w:rPr>
                <w:b/>
                <w:color w:val="152033"/>
                <w:sz w:val="18"/>
              </w:rPr>
              <w:t>Create the edition folder</w:t>
            </w:r>
          </w:p>
        </w:tc>
        <w:tc>
          <w:tcPr>
            <w:tcW w:type="dxa" w:w="3389"/>
            <w:vAlign w:val="center"/>
          </w:tcPr>
          <w:p>
            <w:r/>
            <w:r>
              <w:rPr>
                <w:b w:val="0"/>
                <w:sz w:val="18"/>
              </w:rPr>
              <w:t>Copy content/journees/_template to content/journees/2027-2028/.</w:t>
            </w:r>
          </w:p>
        </w:tc>
      </w:tr>
      <w:tr>
        <w:tc>
          <w:tcPr>
            <w:tcW w:type="dxa" w:w="3389"/>
            <w:vAlign w:val="center"/>
          </w:tcPr>
          <w:p>
            <w:r/>
            <w:r>
              <w:rPr>
                <w:b/>
                <w:color w:val="075985"/>
                <w:sz w:val="18"/>
              </w:rPr>
              <w:t>4</w:t>
            </w:r>
          </w:p>
        </w:tc>
        <w:tc>
          <w:tcPr>
            <w:tcW w:type="dxa" w:w="3389"/>
            <w:vAlign w:val="center"/>
          </w:tcPr>
          <w:p>
            <w:r/>
            <w:r>
              <w:rPr>
                <w:b/>
                <w:color w:val="152033"/>
                <w:sz w:val="18"/>
              </w:rPr>
              <w:t>Fill only the pages you need</w:t>
            </w:r>
          </w:p>
        </w:tc>
        <w:tc>
          <w:tcPr>
            <w:tcW w:type="dxa" w:w="3389"/>
            <w:vAlign w:val="center"/>
          </w:tcPr>
          <w:p>
            <w:r/>
            <w:r>
              <w:rPr>
                <w:b w:val="0"/>
                <w:sz w:val="18"/>
              </w:rPr>
              <w:t>Edit Markdown/YAML for programme, speakers, calls, etc. Delete or disable unused sections.</w:t>
            </w:r>
          </w:p>
        </w:tc>
      </w:tr>
      <w:tr>
        <w:tc>
          <w:tcPr>
            <w:tcW w:type="dxa" w:w="3389"/>
            <w:vAlign w:val="center"/>
          </w:tcPr>
          <w:p>
            <w:r/>
            <w:r>
              <w:rPr>
                <w:b/>
                <w:color w:val="075985"/>
                <w:sz w:val="18"/>
              </w:rPr>
              <w:t>5</w:t>
            </w:r>
          </w:p>
        </w:tc>
        <w:tc>
          <w:tcPr>
            <w:tcW w:type="dxa" w:w="3389"/>
            <w:vAlign w:val="center"/>
          </w:tcPr>
          <w:p>
            <w:r/>
            <w:r>
              <w:rPr>
                <w:b/>
                <w:color w:val="152033"/>
                <w:sz w:val="18"/>
              </w:rPr>
              <w:t>Run make serve and commit</w:t>
            </w:r>
          </w:p>
        </w:tc>
        <w:tc>
          <w:tcPr>
            <w:tcW w:type="dxa" w:w="3389"/>
            <w:vAlign w:val="center"/>
          </w:tcPr>
          <w:p>
            <w:r/>
            <w:r>
              <w:rPr>
                <w:b w:val="0"/>
                <w:sz w:val="18"/>
              </w:rPr>
              <w:t>The archive and header dropdown update automatically.</w:t>
            </w:r>
          </w:p>
        </w:tc>
      </w:tr>
    </w:tbl>
    <w:p>
      <w:pPr>
        <w:pStyle w:val="Heading2"/>
      </w:pPr>
      <w:r>
        <w:t>Minimal edition YAML</w:t>
      </w:r>
    </w:p>
    <w:tbl>
      <w:tblPr>
        <w:tblW w:type="auto" w:w="0"/>
        <w:jc w:val="center"/>
        <w:tblLook w:firstColumn="1" w:firstRow="1" w:lastColumn="0" w:lastRow="0" w:noHBand="0" w:noVBand="1" w:val="04A0"/>
      </w:tblPr>
      <w:tblGrid>
        <w:gridCol w:w="10166"/>
      </w:tblGrid>
      <w:tr>
        <w:tc>
          <w:tcPr>
            <w:tcW w:type="dxa" w:w="10166"/>
            <w:shd w:fill="F8FAFC"/>
          </w:tcPr>
          <w:p>
            <w:pPr>
              <w:spacing w:after="0"/>
            </w:pPr>
            <w:r>
              <w:rPr>
                <w:rFonts w:ascii="Liberation Mono" w:hAnsi="Liberation Mono"/>
                <w:color w:val="344054"/>
                <w:sz w:val="16"/>
              </w:rPr>
              <w:t>slug: "2027-2028"</w:t>
            </w:r>
            <w:r>
              <w:br/>
            </w:r>
            <w:r>
              <w:rPr>
                <w:rFonts w:ascii="Liberation Mono" w:hAnsi="Liberation Mono"/>
                <w:color w:val="344054"/>
                <w:sz w:val="16"/>
              </w:rPr>
              <w:t>label: "2027–28"</w:t>
            </w:r>
            <w:r>
              <w:br/>
            </w:r>
            <w:r>
              <w:rPr>
                <w:rFonts w:ascii="Liberation Mono" w:hAnsi="Liberation Mono"/>
                <w:color w:val="344054"/>
                <w:sz w:val="16"/>
              </w:rPr>
              <w:t>title: "Journées nationales SciLog 2027–28"</w:t>
            </w:r>
            <w:r>
              <w:br/>
            </w:r>
            <w:r>
              <w:rPr>
                <w:rFonts w:ascii="Liberation Mono" w:hAnsi="Liberation Mono"/>
                <w:color w:val="344054"/>
                <w:sz w:val="16"/>
              </w:rPr>
              <w:t>status: "upcoming"          # upcoming | current | archived</w:t>
            </w:r>
            <w:r>
              <w:br/>
            </w:r>
            <w:r>
              <w:rPr>
                <w:rFonts w:ascii="Liberation Mono" w:hAnsi="Liberation Mono"/>
                <w:color w:val="344054"/>
                <w:sz w:val="16"/>
              </w:rPr>
              <w:t>start_date: 2028-06-05</w:t>
            </w:r>
            <w:r>
              <w:br/>
            </w:r>
            <w:r>
              <w:rPr>
                <w:rFonts w:ascii="Liberation Mono" w:hAnsi="Liberation Mono"/>
                <w:color w:val="344054"/>
                <w:sz w:val="16"/>
              </w:rPr>
              <w:t>end_date: 2028-06-08</w:t>
            </w:r>
            <w:r>
              <w:br/>
            </w:r>
            <w:r>
              <w:rPr>
                <w:rFonts w:ascii="Liberation Mono" w:hAnsi="Liberation Mono"/>
                <w:color w:val="344054"/>
                <w:sz w:val="16"/>
              </w:rPr>
              <w:t>location:</w:t>
            </w:r>
            <w:r>
              <w:br/>
            </w:r>
            <w:r>
              <w:rPr>
                <w:rFonts w:ascii="Liberation Mono" w:hAnsi="Liberation Mono"/>
                <w:color w:val="344054"/>
                <w:sz w:val="16"/>
              </w:rPr>
              <w:t xml:space="preserve">  city: "Toulouse"</w:t>
            </w:r>
            <w:r>
              <w:br/>
            </w:r>
            <w:r>
              <w:rPr>
                <w:rFonts w:ascii="Liberation Mono" w:hAnsi="Liberation Mono"/>
                <w:color w:val="344054"/>
                <w:sz w:val="16"/>
              </w:rPr>
              <w:t xml:space="preserve">  venue: "Université de Toulouse"</w:t>
            </w:r>
            <w:r>
              <w:br/>
            </w:r>
            <w:r>
              <w:rPr>
                <w:rFonts w:ascii="Liberation Mono" w:hAnsi="Liberation Mono"/>
                <w:color w:val="344054"/>
                <w:sz w:val="16"/>
              </w:rPr>
            </w:r>
            <w:r>
              <w:br/>
            </w:r>
            <w:r>
              <w:rPr>
                <w:rFonts w:ascii="Liberation Mono" w:hAnsi="Liberation Mono"/>
                <w:color w:val="344054"/>
                <w:sz w:val="16"/>
              </w:rPr>
              <w:t>summary: &gt;</w:t>
            </w:r>
            <w:r>
              <w:br/>
            </w:r>
            <w:r>
              <w:rPr>
                <w:rFonts w:ascii="Liberation Mono" w:hAnsi="Liberation Mono"/>
                <w:color w:val="344054"/>
                <w:sz w:val="16"/>
              </w:rPr>
              <w:t xml:space="preserve">  Court texte de présentation de l'édition.</w:t>
            </w:r>
            <w:r>
              <w:br/>
            </w:r>
            <w:r>
              <w:rPr>
                <w:rFonts w:ascii="Liberation Mono" w:hAnsi="Liberation Mono"/>
                <w:color w:val="344054"/>
                <w:sz w:val="16"/>
              </w:rPr>
            </w:r>
            <w:r>
              <w:br/>
            </w:r>
            <w:r>
              <w:rPr>
                <w:rFonts w:ascii="Liberation Mono" w:hAnsi="Liberation Mono"/>
                <w:color w:val="344054"/>
                <w:sz w:val="16"/>
              </w:rPr>
              <w:t>registration:</w:t>
            </w:r>
            <w:r>
              <w:br/>
            </w:r>
            <w:r>
              <w:rPr>
                <w:rFonts w:ascii="Liberation Mono" w:hAnsi="Liberation Mono"/>
                <w:color w:val="344054"/>
                <w:sz w:val="16"/>
              </w:rPr>
              <w:t xml:space="preserve">  enabled: true</w:t>
            </w:r>
            <w:r>
              <w:br/>
            </w:r>
            <w:r>
              <w:rPr>
                <w:rFonts w:ascii="Liberation Mono" w:hAnsi="Liberation Mono"/>
                <w:color w:val="344054"/>
                <w:sz w:val="16"/>
              </w:rPr>
              <w:t xml:space="preserve">  url: "https://..."</w:t>
            </w:r>
            <w:r>
              <w:br/>
            </w:r>
            <w:r>
              <w:rPr>
                <w:rFonts w:ascii="Liberation Mono" w:hAnsi="Liberation Mono"/>
                <w:color w:val="344054"/>
                <w:sz w:val="16"/>
              </w:rPr>
              <w:t xml:space="preserve">  deadline: 2028-05-15</w:t>
            </w:r>
            <w:r>
              <w:br/>
            </w:r>
            <w:r>
              <w:rPr>
                <w:rFonts w:ascii="Liberation Mono" w:hAnsi="Liberation Mono"/>
                <w:color w:val="344054"/>
                <w:sz w:val="16"/>
              </w:rPr>
            </w:r>
            <w:r>
              <w:br/>
            </w:r>
            <w:r>
              <w:rPr>
                <w:rFonts w:ascii="Liberation Mono" w:hAnsi="Liberation Mono"/>
                <w:color w:val="344054"/>
                <w:sz w:val="16"/>
              </w:rPr>
              <w:t>sections:</w:t>
            </w:r>
            <w:r>
              <w:br/>
            </w:r>
            <w:r>
              <w:rPr>
                <w:rFonts w:ascii="Liberation Mono" w:hAnsi="Liberation Mono"/>
                <w:color w:val="344054"/>
                <w:sz w:val="16"/>
              </w:rPr>
              <w:t xml:space="preserve">  calls: true</w:t>
            </w:r>
            <w:r>
              <w:br/>
            </w:r>
            <w:r>
              <w:rPr>
                <w:rFonts w:ascii="Liberation Mono" w:hAnsi="Liberation Mono"/>
                <w:color w:val="344054"/>
                <w:sz w:val="16"/>
              </w:rPr>
              <w:t xml:space="preserve">  programme: true</w:t>
            </w:r>
            <w:r>
              <w:br/>
            </w:r>
            <w:r>
              <w:rPr>
                <w:rFonts w:ascii="Liberation Mono" w:hAnsi="Liberation Mono"/>
                <w:color w:val="344054"/>
                <w:sz w:val="16"/>
              </w:rPr>
              <w:t xml:space="preserve">  registration: true</w:t>
            </w:r>
            <w:r>
              <w:br/>
            </w:r>
            <w:r>
              <w:rPr>
                <w:rFonts w:ascii="Liberation Mono" w:hAnsi="Liberation Mono"/>
                <w:color w:val="344054"/>
                <w:sz w:val="16"/>
              </w:rPr>
              <w:t xml:space="preserve">  speakers: true</w:t>
            </w:r>
            <w:r>
              <w:br/>
            </w:r>
            <w:r>
              <w:rPr>
                <w:rFonts w:ascii="Liberation Mono" w:hAnsi="Liberation Mono"/>
                <w:color w:val="344054"/>
                <w:sz w:val="16"/>
              </w:rPr>
              <w:t xml:space="preserve">  venue: true</w:t>
            </w:r>
            <w:r>
              <w:br/>
            </w:r>
            <w:r>
              <w:rPr>
                <w:rFonts w:ascii="Liberation Mono" w:hAnsi="Liberation Mono"/>
                <w:color w:val="344054"/>
                <w:sz w:val="16"/>
              </w:rPr>
              <w:t xml:space="preserve">  photos: false</w:t>
            </w:r>
            <w:r>
              <w:br/>
            </w:r>
            <w:r>
              <w:rPr>
                <w:rFonts w:ascii="Liberation Mono" w:hAnsi="Liberation Mono"/>
                <w:color w:val="344054"/>
                <w:sz w:val="16"/>
              </w:rPr>
              <w:t xml:space="preserve">  code_of_conduct: true</w:t>
            </w:r>
          </w:p>
        </w:tc>
      </w:tr>
    </w:tbl>
    <w:p>
      <w:r>
        <w:t>Everything else should have safe defaults. If photos are not ready, photos: false hides the link. If programme is incomplete, the programme page can show a standard “Programme en préparation” state. A new edition should never require copying 250 lines of 2026-specific content.</w:t>
      </w:r>
    </w:p>
    <w:p>
      <w:pPr>
        <w:pStyle w:val="Heading2"/>
      </w:pPr>
      <w:r>
        <w:t>Optional helper command</w:t>
      </w:r>
    </w:p>
    <w:tbl>
      <w:tblPr>
        <w:tblW w:type="auto" w:w="0"/>
        <w:jc w:val="center"/>
        <w:tblLook w:firstColumn="1" w:firstRow="1" w:lastColumn="0" w:lastRow="0" w:noHBand="0" w:noVBand="1" w:val="04A0"/>
      </w:tblPr>
      <w:tblGrid>
        <w:gridCol w:w="10166"/>
      </w:tblGrid>
      <w:tr>
        <w:tc>
          <w:tcPr>
            <w:tcW w:type="dxa" w:w="10166"/>
            <w:shd w:fill="F8FAFC"/>
          </w:tcPr>
          <w:p>
            <w:pPr>
              <w:spacing w:after="0"/>
            </w:pPr>
            <w:r>
              <w:rPr>
                <w:rFonts w:ascii="Liberation Mono" w:hAnsi="Liberation Mono"/>
                <w:color w:val="344054"/>
                <w:sz w:val="16"/>
              </w:rPr>
              <w:t>make new-journee EDITION=2027-2028</w:t>
            </w:r>
          </w:p>
        </w:tc>
      </w:tr>
    </w:tbl>
    <w:p>
      <w:r>
        <w:t>A small script/Make target can scaffold the YAML and content directory automatically. This is worth adding because it removes path mistakes and makes onboarding much easier.</w:t>
      </w:r>
    </w:p>
    <w:p>
      <w:pPr>
        <w:pStyle w:val="Heading1"/>
      </w:pPr>
      <w:r>
        <w:t>8. Header implementation strategy</w:t>
      </w:r>
    </w:p>
    <w:p>
      <w:r>
        <w:t>There are two viable approaches. I recommend a controlled special-case in the existing hero partial rather than relying on generic child discovery for edition ordering.</w:t>
      </w:r>
    </w:p>
    <w:p>
      <w:pPr>
        <w:pStyle w:val="Heading2"/>
      </w:pPr>
      <w:r>
        <w:t>Recommended</w:t>
      </w:r>
    </w:p>
    <w:p>
      <w:pPr>
        <w:pStyle w:val="ListBullet"/>
      </w:pPr>
      <w:r>
        <w:t>Create content/journees/_index.md with menu.hero metadata.</w:t>
      </w:r>
    </w:p>
    <w:p>
      <w:pPr>
        <w:pStyle w:val="ListBullet"/>
      </w:pPr>
      <w:r>
        <w:t>In hero.html, when the current menu item points to /journees/, read the edition collection and sort by start_date descending.</w:t>
      </w:r>
    </w:p>
    <w:p>
      <w:pPr>
        <w:pStyle w:val="ListBullet"/>
      </w:pPr>
      <w:r>
        <w:t>Render edition label + status automatically.</w:t>
      </w:r>
    </w:p>
    <w:p>
      <w:pPr>
        <w:pStyle w:val="ListBullet"/>
      </w:pPr>
      <w:r>
        <w:t>Append “Toutes les éditions” as the last item.</w:t>
      </w:r>
    </w:p>
    <w:p>
      <w:pPr>
        <w:pStyle w:val="ListBullet"/>
      </w:pPr>
      <w:r>
        <w:t>Use the existing mobile dropdown behavior and styling.</w:t>
      </w:r>
    </w:p>
    <w:tbl>
      <w:tblPr>
        <w:tblW w:type="auto" w:w="0"/>
        <w:jc w:val="center"/>
        <w:tblLook w:firstColumn="1" w:firstRow="1" w:lastColumn="0" w:lastRow="0" w:noHBand="0" w:noVBand="1" w:val="04A0"/>
      </w:tblPr>
      <w:tblGrid>
        <w:gridCol w:w="10166"/>
      </w:tblGrid>
      <w:tr>
        <w:tc>
          <w:tcPr>
            <w:tcW w:type="dxa" w:w="10166"/>
            <w:shd w:fill="F8FAFC"/>
          </w:tcPr>
          <w:p>
            <w:pPr>
              <w:spacing w:after="0"/>
            </w:pPr>
            <w:r>
              <w:rPr>
                <w:rFonts w:ascii="Liberation Mono" w:hAnsi="Liberation Mono"/>
                <w:color w:val="344054"/>
                <w:sz w:val="16"/>
              </w:rPr>
              <w:t>---</w:t>
            </w:r>
            <w:r>
              <w:br/>
            </w:r>
            <w:r>
              <w:rPr>
                <w:rFonts w:ascii="Liberation Mono" w:hAnsi="Liberation Mono"/>
                <w:color w:val="344054"/>
                <w:sz w:val="16"/>
              </w:rPr>
              <w:t>title: "Journées"</w:t>
            </w:r>
            <w:r>
              <w:br/>
            </w:r>
            <w:r>
              <w:rPr>
                <w:rFonts w:ascii="Liberation Mono" w:hAnsi="Liberation Mono"/>
                <w:color w:val="344054"/>
                <w:sz w:val="16"/>
              </w:rPr>
              <w:t>menu:</w:t>
            </w:r>
            <w:r>
              <w:br/>
            </w:r>
            <w:r>
              <w:rPr>
                <w:rFonts w:ascii="Liberation Mono" w:hAnsi="Liberation Mono"/>
                <w:color w:val="344054"/>
                <w:sz w:val="16"/>
              </w:rPr>
              <w:t xml:space="preserve">  hero:</w:t>
            </w:r>
            <w:r>
              <w:br/>
            </w:r>
            <w:r>
              <w:rPr>
                <w:rFonts w:ascii="Liberation Mono" w:hAnsi="Liberation Mono"/>
                <w:color w:val="344054"/>
                <w:sz w:val="16"/>
              </w:rPr>
              <w:t xml:space="preserve">    weight: 6</w:t>
            </w:r>
            <w:r>
              <w:br/>
            </w:r>
            <w:r>
              <w:rPr>
                <w:rFonts w:ascii="Liberation Mono" w:hAnsi="Liberation Mono"/>
                <w:color w:val="344054"/>
                <w:sz w:val="16"/>
              </w:rPr>
              <w:t xml:space="preserve">    name: "Journées"</w:t>
            </w:r>
            <w:r>
              <w:br/>
            </w:r>
            <w:r>
              <w:rPr>
                <w:rFonts w:ascii="Liberation Mono" w:hAnsi="Liberation Mono"/>
                <w:color w:val="344054"/>
                <w:sz w:val="16"/>
              </w:rPr>
              <w:t>draft: false</w:t>
            </w:r>
            <w:r>
              <w:br/>
            </w:r>
            <w:r>
              <w:rPr>
                <w:rFonts w:ascii="Liberation Mono" w:hAnsi="Liberation Mono"/>
                <w:color w:val="344054"/>
                <w:sz w:val="16"/>
              </w:rPr>
              <w:t>---</w:t>
            </w:r>
          </w:p>
        </w:tc>
      </w:tr>
    </w:tbl>
    <w:p>
      <w:r>
        <w:t>This keeps the global menu consistent with the rest of SciLog while giving Journées the custom sort order and labels it needs.</w:t>
      </w:r>
    </w:p>
    <w:p>
      <w:pPr>
        <w:pStyle w:val="Heading1"/>
      </w:pPr>
      <w:r>
        <w:t>9. Edition page design</w:t>
      </w:r>
    </w:p>
    <w:p>
      <w:r>
        <w:t>Each edition should look like a small event site inside SciLog rather than a generic blog page. The visual identity can be close to scilog2026.fr while still using SciLog's global header/footer.</w:t>
      </w:r>
    </w:p>
    <w:p>
      <w:pPr>
        <w:pStyle w:val="ListBullet"/>
      </w:pPr>
      <w:r>
        <w:t>Edition hero: label/date, event title, venue, primary registration CTA, secondary programme CTA.</w:t>
      </w:r>
    </w:p>
    <w:p>
      <w:pPr>
        <w:pStyle w:val="ListBullet"/>
      </w:pPr>
      <w:r>
        <w:t>Local event nav: Accueil, Appels/AFADL, Programme, Inscription, Intervenants, Lieu, Photos, Code.</w:t>
      </w:r>
    </w:p>
    <w:p>
      <w:pPr>
        <w:pStyle w:val="ListBullet"/>
      </w:pPr>
      <w:r>
        <w:t>Important dates cards.</w:t>
      </w:r>
    </w:p>
    <w:p>
      <w:pPr>
        <w:pStyle w:val="ListBullet"/>
      </w:pPr>
      <w:r>
        <w:t>Programme timeline/table.</w:t>
      </w:r>
    </w:p>
    <w:p>
      <w:pPr>
        <w:pStyle w:val="ListBullet"/>
      </w:pPr>
      <w:r>
        <w:t>Speaker/person cards.</w:t>
      </w:r>
    </w:p>
    <w:p>
      <w:pPr>
        <w:pStyle w:val="ListBullet"/>
      </w:pPr>
      <w:r>
        <w:t>Registration price table and payment notes.</w:t>
      </w:r>
    </w:p>
    <w:p>
      <w:pPr>
        <w:pStyle w:val="ListBullet"/>
      </w:pPr>
      <w:r>
        <w:t>Partner logos/names.</w:t>
      </w:r>
    </w:p>
    <w:p>
      <w:pPr>
        <w:pStyle w:val="ListBullet"/>
      </w:pPr>
      <w:r>
        <w:t>Committee cards.</w:t>
      </w:r>
    </w:p>
    <w:p>
      <w:pPr>
        <w:pStyle w:val="ListBullet"/>
      </w:pPr>
      <w:r>
        <w:t>Resources and historical links.</w:t>
      </w:r>
    </w:p>
    <w:p>
      <w:r>
        <w:t>Dense sections should become individual pages. The edition home should remain a summary/landing page. This improves mobile usability and lets people share direct URLs such as /journees/2027-2028/programme/.</w:t>
      </w:r>
    </w:p>
    <w:p>
      <w:pPr>
        <w:pStyle w:val="Heading1"/>
      </w:pPr>
      <w:r>
        <w:t>10. Migration plan from the July branch</w:t>
      </w:r>
    </w:p>
    <w:tbl>
      <w:tblPr>
        <w:tblW w:type="auto" w:w="0"/>
        <w:jc w:val="center"/>
        <w:tblLook w:firstColumn="1" w:firstRow="1" w:lastColumn="0" w:lastRow="0" w:noHBand="0" w:noVBand="1" w:val="04A0"/>
      </w:tblPr>
      <w:tblGrid>
        <w:gridCol w:w="3389"/>
        <w:gridCol w:w="3389"/>
        <w:gridCol w:w="3389"/>
      </w:tblGrid>
      <w:tr>
        <w:tc>
          <w:tcPr>
            <w:tcW w:type="dxa" w:w="3389"/>
            <w:shd w:fill="075985"/>
            <w:vAlign w:val="center"/>
          </w:tcPr>
          <w:p>
            <w:r/>
            <w:r>
              <w:rPr>
                <w:b/>
                <w:color w:val="FFFFFF"/>
                <w:sz w:val="18"/>
              </w:rPr>
              <w:t>Phase</w:t>
            </w:r>
          </w:p>
        </w:tc>
        <w:tc>
          <w:tcPr>
            <w:tcW w:type="dxa" w:w="3389"/>
            <w:shd w:fill="075985"/>
            <w:vAlign w:val="center"/>
          </w:tcPr>
          <w:p>
            <w:r/>
            <w:r>
              <w:rPr>
                <w:b/>
                <w:color w:val="FFFFFF"/>
                <w:sz w:val="18"/>
              </w:rPr>
              <w:t>Focus</w:t>
            </w:r>
          </w:p>
        </w:tc>
        <w:tc>
          <w:tcPr>
            <w:tcW w:type="dxa" w:w="3389"/>
            <w:shd w:fill="075985"/>
            <w:vAlign w:val="center"/>
          </w:tcPr>
          <w:p>
            <w:r/>
            <w:r>
              <w:rPr>
                <w:b/>
                <w:color w:val="FFFFFF"/>
                <w:sz w:val="18"/>
              </w:rPr>
              <w:t>Work</w:t>
            </w:r>
          </w:p>
        </w:tc>
      </w:tr>
      <w:tr>
        <w:tc>
          <w:tcPr>
            <w:tcW w:type="dxa" w:w="3389"/>
            <w:vAlign w:val="center"/>
          </w:tcPr>
          <w:p>
            <w:r/>
            <w:r>
              <w:rPr>
                <w:b/>
                <w:color w:val="152033"/>
                <w:sz w:val="18"/>
              </w:rPr>
              <w:t>Phase 1</w:t>
            </w:r>
          </w:p>
        </w:tc>
        <w:tc>
          <w:tcPr>
            <w:tcW w:type="dxa" w:w="3389"/>
            <w:vAlign w:val="center"/>
          </w:tcPr>
          <w:p>
            <w:r/>
            <w:r>
              <w:rPr>
                <w:b/>
                <w:color w:val="152033"/>
                <w:sz w:val="18"/>
              </w:rPr>
              <w:t>Sync</w:t>
            </w:r>
          </w:p>
        </w:tc>
        <w:tc>
          <w:tcPr>
            <w:tcW w:type="dxa" w:w="3389"/>
            <w:vAlign w:val="center"/>
          </w:tcPr>
          <w:p>
            <w:r/>
            <w:r>
              <w:rPr>
                <w:b w:val="0"/>
                <w:sz w:val="18"/>
              </w:rPr>
              <w:t>Create a fresh branch from current main. Reapply the Journées concept there instead of merging the stale branch.</w:t>
            </w:r>
          </w:p>
        </w:tc>
      </w:tr>
      <w:tr>
        <w:tc>
          <w:tcPr>
            <w:tcW w:type="dxa" w:w="3389"/>
            <w:vAlign w:val="center"/>
          </w:tcPr>
          <w:p>
            <w:r/>
            <w:r>
              <w:rPr>
                <w:b/>
                <w:color w:val="152033"/>
                <w:sz w:val="18"/>
              </w:rPr>
              <w:t>Phase 2</w:t>
            </w:r>
          </w:p>
        </w:tc>
        <w:tc>
          <w:tcPr>
            <w:tcW w:type="dxa" w:w="3389"/>
            <w:vAlign w:val="center"/>
          </w:tcPr>
          <w:p>
            <w:r/>
            <w:r>
              <w:rPr>
                <w:b/>
                <w:color w:val="152033"/>
                <w:sz w:val="18"/>
              </w:rPr>
              <w:t>Routes</w:t>
            </w:r>
          </w:p>
        </w:tc>
        <w:tc>
          <w:tcPr>
            <w:tcW w:type="dxa" w:w="3389"/>
            <w:vAlign w:val="center"/>
          </w:tcPr>
          <w:p>
            <w:r/>
            <w:r>
              <w:rPr>
                <w:b w:val="0"/>
                <w:sz w:val="18"/>
              </w:rPr>
              <w:t>Create /journees/ and edition bundles. Add aliases from /action/national-day/ and /action/national-day/2026/.</w:t>
            </w:r>
          </w:p>
        </w:tc>
      </w:tr>
      <w:tr>
        <w:tc>
          <w:tcPr>
            <w:tcW w:type="dxa" w:w="3389"/>
            <w:vAlign w:val="center"/>
          </w:tcPr>
          <w:p>
            <w:r/>
            <w:r>
              <w:rPr>
                <w:b/>
                <w:color w:val="152033"/>
                <w:sz w:val="18"/>
              </w:rPr>
              <w:t>Phase 3</w:t>
            </w:r>
          </w:p>
        </w:tc>
        <w:tc>
          <w:tcPr>
            <w:tcW w:type="dxa" w:w="3389"/>
            <w:vAlign w:val="center"/>
          </w:tcPr>
          <w:p>
            <w:r/>
            <w:r>
              <w:rPr>
                <w:b/>
                <w:color w:val="152033"/>
                <w:sz w:val="18"/>
              </w:rPr>
              <w:t>Data model</w:t>
            </w:r>
          </w:p>
        </w:tc>
        <w:tc>
          <w:tcPr>
            <w:tcW w:type="dxa" w:w="3389"/>
            <w:vAlign w:val="center"/>
          </w:tcPr>
          <w:p>
            <w:r/>
            <w:r>
              <w:rPr>
                <w:b w:val="0"/>
                <w:sz w:val="18"/>
              </w:rPr>
              <w:t>Convert 2026 data into data/journees/2026-2027.yml (or the agreed naming scheme). Add 2025–26 archive metadata.</w:t>
            </w:r>
          </w:p>
        </w:tc>
      </w:tr>
      <w:tr>
        <w:tc>
          <w:tcPr>
            <w:tcW w:type="dxa" w:w="3389"/>
            <w:vAlign w:val="center"/>
          </w:tcPr>
          <w:p>
            <w:r/>
            <w:r>
              <w:rPr>
                <w:b/>
                <w:color w:val="152033"/>
                <w:sz w:val="18"/>
              </w:rPr>
              <w:t>Phase 4</w:t>
            </w:r>
          </w:p>
        </w:tc>
        <w:tc>
          <w:tcPr>
            <w:tcW w:type="dxa" w:w="3389"/>
            <w:vAlign w:val="center"/>
          </w:tcPr>
          <w:p>
            <w:r/>
            <w:r>
              <w:rPr>
                <w:b/>
                <w:color w:val="152033"/>
                <w:sz w:val="18"/>
              </w:rPr>
              <w:t>Components</w:t>
            </w:r>
          </w:p>
        </w:tc>
        <w:tc>
          <w:tcPr>
            <w:tcW w:type="dxa" w:w="3389"/>
            <w:vAlign w:val="center"/>
          </w:tcPr>
          <w:p>
            <w:r/>
            <w:r>
              <w:rPr>
                <w:b w:val="0"/>
                <w:sz w:val="18"/>
              </w:rPr>
              <w:t>Split journee-edition.html into partials and reduce the single giant stylesheet.</w:t>
            </w:r>
          </w:p>
        </w:tc>
      </w:tr>
      <w:tr>
        <w:tc>
          <w:tcPr>
            <w:tcW w:type="dxa" w:w="3389"/>
            <w:vAlign w:val="center"/>
          </w:tcPr>
          <w:p>
            <w:r/>
            <w:r>
              <w:rPr>
                <w:b/>
                <w:color w:val="152033"/>
                <w:sz w:val="18"/>
              </w:rPr>
              <w:t>Phase 5</w:t>
            </w:r>
          </w:p>
        </w:tc>
        <w:tc>
          <w:tcPr>
            <w:tcW w:type="dxa" w:w="3389"/>
            <w:vAlign w:val="center"/>
          </w:tcPr>
          <w:p>
            <w:r/>
            <w:r>
              <w:rPr>
                <w:b/>
                <w:color w:val="152033"/>
                <w:sz w:val="18"/>
              </w:rPr>
              <w:t>Header</w:t>
            </w:r>
          </w:p>
        </w:tc>
        <w:tc>
          <w:tcPr>
            <w:tcW w:type="dxa" w:w="3389"/>
            <w:vAlign w:val="center"/>
          </w:tcPr>
          <w:p>
            <w:r/>
            <w:r>
              <w:rPr>
                <w:b w:val="0"/>
                <w:sz w:val="18"/>
              </w:rPr>
              <w:t>Add automatic Journées dropdown generated from edition metadata.</w:t>
            </w:r>
          </w:p>
        </w:tc>
      </w:tr>
      <w:tr>
        <w:tc>
          <w:tcPr>
            <w:tcW w:type="dxa" w:w="3389"/>
            <w:vAlign w:val="center"/>
          </w:tcPr>
          <w:p>
            <w:r/>
            <w:r>
              <w:rPr>
                <w:b/>
                <w:color w:val="152033"/>
                <w:sz w:val="18"/>
              </w:rPr>
              <w:t>Phase 6</w:t>
            </w:r>
          </w:p>
        </w:tc>
        <w:tc>
          <w:tcPr>
            <w:tcW w:type="dxa" w:w="3389"/>
            <w:vAlign w:val="center"/>
          </w:tcPr>
          <w:p>
            <w:r/>
            <w:r>
              <w:rPr>
                <w:b/>
                <w:color w:val="152033"/>
                <w:sz w:val="18"/>
              </w:rPr>
              <w:t>Scaffold</w:t>
            </w:r>
          </w:p>
        </w:tc>
        <w:tc>
          <w:tcPr>
            <w:tcW w:type="dxa" w:w="3389"/>
            <w:vAlign w:val="center"/>
          </w:tcPr>
          <w:p>
            <w:r/>
            <w:r>
              <w:rPr>
                <w:b w:val="0"/>
                <w:sz w:val="18"/>
              </w:rPr>
              <w:t>Add _template.yml + template content folder + make new-journee command.</w:t>
            </w:r>
          </w:p>
        </w:tc>
      </w:tr>
      <w:tr>
        <w:tc>
          <w:tcPr>
            <w:tcW w:type="dxa" w:w="3389"/>
            <w:vAlign w:val="center"/>
          </w:tcPr>
          <w:p>
            <w:r/>
            <w:r>
              <w:rPr>
                <w:b/>
                <w:color w:val="152033"/>
                <w:sz w:val="18"/>
              </w:rPr>
              <w:t>Phase 7</w:t>
            </w:r>
          </w:p>
        </w:tc>
        <w:tc>
          <w:tcPr>
            <w:tcW w:type="dxa" w:w="3389"/>
            <w:vAlign w:val="center"/>
          </w:tcPr>
          <w:p>
            <w:r/>
            <w:r>
              <w:rPr>
                <w:b/>
                <w:color w:val="152033"/>
                <w:sz w:val="18"/>
              </w:rPr>
              <w:t>QA</w:t>
            </w:r>
          </w:p>
        </w:tc>
        <w:tc>
          <w:tcPr>
            <w:tcW w:type="dxa" w:w="3389"/>
            <w:vAlign w:val="center"/>
          </w:tcPr>
          <w:p>
            <w:r/>
            <w:r>
              <w:rPr>
                <w:b w:val="0"/>
                <w:sz w:val="18"/>
              </w:rPr>
              <w:t>Run Hugo build, test mobile menu, validate every old URL, external link and event subpage.</w:t>
            </w:r>
          </w:p>
        </w:tc>
      </w:tr>
    </w:tbl>
    <w:p>
      <w:pPr>
        <w:pStyle w:val="Heading1"/>
      </w:pPr>
      <w:r>
        <w:t>11. Acceptance criteria</w:t>
      </w:r>
    </w:p>
    <w:p>
      <w:pPr>
        <w:pStyle w:val="ListBullet"/>
      </w:pPr>
      <w:r>
        <w:t>A contributor can add a new edition without editing HTML, CSS or JavaScript.</w:t>
      </w:r>
    </w:p>
    <w:p>
      <w:pPr>
        <w:pStyle w:val="ListBullet"/>
      </w:pPr>
      <w:r>
        <w:t>A new edition automatically appears in /journees/.</w:t>
      </w:r>
    </w:p>
    <w:p>
      <w:pPr>
        <w:pStyle w:val="ListBullet"/>
      </w:pPr>
      <w:r>
        <w:t>A new edition automatically appears in the main Journées header dropdown.</w:t>
      </w:r>
    </w:p>
    <w:p>
      <w:pPr>
        <w:pStyle w:val="ListBullet"/>
      </w:pPr>
      <w:r>
        <w:t>Editions are sorted newest first using structured metadata.</w:t>
      </w:r>
    </w:p>
    <w:p>
      <w:pPr>
        <w:pStyle w:val="ListBullet"/>
      </w:pPr>
      <w:r>
        <w:t>The latest/current edition can be visually highlighted.</w:t>
      </w:r>
    </w:p>
    <w:p>
      <w:pPr>
        <w:pStyle w:val="ListBullet"/>
      </w:pPr>
      <w:r>
        <w:t>Old editions remain permanently reachable.</w:t>
      </w:r>
    </w:p>
    <w:p>
      <w:pPr>
        <w:pStyle w:val="ListBullet"/>
      </w:pPr>
      <w:r>
        <w:t>Old /action/national-day/... URLs redirect or alias to the new routes.</w:t>
      </w:r>
    </w:p>
    <w:p>
      <w:pPr>
        <w:pStyle w:val="ListBullet"/>
      </w:pPr>
      <w:r>
        <w:t>Each edition can enable/disable sections independently.</w:t>
      </w:r>
    </w:p>
    <w:p>
      <w:pPr>
        <w:pStyle w:val="ListBullet"/>
      </w:pPr>
      <w:r>
        <w:t>The site builds with Hugo and works with make serve.</w:t>
      </w:r>
    </w:p>
    <w:p>
      <w:pPr>
        <w:pStyle w:val="ListBullet"/>
      </w:pPr>
      <w:r>
        <w:t>The global navigation remains usable on mobile.</w:t>
      </w:r>
    </w:p>
    <w:p>
      <w:pPr>
        <w:pStyle w:val="ListBullet"/>
      </w:pPr>
      <w:r>
        <w:t>The edition pages remain usable even when programme/photos/etc. are incomplete.</w:t>
      </w:r>
    </w:p>
    <w:p>
      <w:pPr>
        <w:pStyle w:val="ListBullet"/>
      </w:pPr>
      <w:r>
        <w:t>Adding an edition does not require copying a giant shortcode or CSS file.</w:t>
      </w:r>
    </w:p>
    <w:p>
      <w:pPr>
        <w:pStyle w:val="Heading1"/>
      </w:pPr>
      <w:r>
        <w:t>12. Concrete example after two more years</w:t>
      </w:r>
    </w:p>
    <w:tbl>
      <w:tblPr>
        <w:tblW w:type="auto" w:w="0"/>
        <w:jc w:val="center"/>
        <w:tblLook w:firstColumn="1" w:firstRow="1" w:lastColumn="0" w:lastRow="0" w:noHBand="0" w:noVBand="1" w:val="04A0"/>
      </w:tblPr>
      <w:tblGrid>
        <w:gridCol w:w="10166"/>
      </w:tblGrid>
      <w:tr>
        <w:tc>
          <w:tcPr>
            <w:tcW w:type="dxa" w:w="10166"/>
            <w:shd w:fill="F8FAFC"/>
          </w:tcPr>
          <w:p>
            <w:pPr>
              <w:spacing w:after="0"/>
            </w:pPr>
            <w:r>
              <w:rPr>
                <w:rFonts w:ascii="Liberation Mono" w:hAnsi="Liberation Mono"/>
                <w:color w:val="344054"/>
                <w:sz w:val="16"/>
              </w:rPr>
              <w:t>data/journees/</w:t>
            </w:r>
            <w:r>
              <w:br/>
            </w:r>
            <w:r>
              <w:rPr>
                <w:rFonts w:ascii="Liberation Mono" w:hAnsi="Liberation Mono"/>
                <w:color w:val="344054"/>
                <w:sz w:val="16"/>
              </w:rPr>
              <w:t xml:space="preserve">  2025-2026.yml    # archived</w:t>
            </w:r>
            <w:r>
              <w:br/>
            </w:r>
            <w:r>
              <w:rPr>
                <w:rFonts w:ascii="Liberation Mono" w:hAnsi="Liberation Mono"/>
                <w:color w:val="344054"/>
                <w:sz w:val="16"/>
              </w:rPr>
              <w:t xml:space="preserve">  2026-2027.yml    # archived/current</w:t>
            </w:r>
            <w:r>
              <w:br/>
            </w:r>
            <w:r>
              <w:rPr>
                <w:rFonts w:ascii="Liberation Mono" w:hAnsi="Liberation Mono"/>
                <w:color w:val="344054"/>
                <w:sz w:val="16"/>
              </w:rPr>
              <w:t xml:space="preserve">  2027-2028.yml    # current/upcoming</w:t>
            </w:r>
            <w:r>
              <w:br/>
            </w:r>
            <w:r>
              <w:rPr>
                <w:rFonts w:ascii="Liberation Mono" w:hAnsi="Liberation Mono"/>
                <w:color w:val="344054"/>
                <w:sz w:val="16"/>
              </w:rPr>
              <w:t xml:space="preserve">  2028-2029.yml    # added later with exactly the same structure</w:t>
            </w:r>
            <w:r>
              <w:br/>
            </w:r>
            <w:r>
              <w:rPr>
                <w:rFonts w:ascii="Liberation Mono" w:hAnsi="Liberation Mono"/>
                <w:color w:val="344054"/>
                <w:sz w:val="16"/>
              </w:rPr>
            </w:r>
            <w:r>
              <w:br/>
            </w:r>
            <w:r>
              <w:rPr>
                <w:rFonts w:ascii="Liberation Mono" w:hAnsi="Liberation Mono"/>
                <w:color w:val="344054"/>
                <w:sz w:val="16"/>
              </w:rPr>
              <w:t>content/journees/</w:t>
            </w:r>
            <w:r>
              <w:br/>
            </w:r>
            <w:r>
              <w:rPr>
                <w:rFonts w:ascii="Liberation Mono" w:hAnsi="Liberation Mono"/>
                <w:color w:val="344054"/>
                <w:sz w:val="16"/>
              </w:rPr>
              <w:t xml:space="preserve">  2025-2026/</w:t>
            </w:r>
            <w:r>
              <w:br/>
            </w:r>
            <w:r>
              <w:rPr>
                <w:rFonts w:ascii="Liberation Mono" w:hAnsi="Liberation Mono"/>
                <w:color w:val="344054"/>
                <w:sz w:val="16"/>
              </w:rPr>
              <w:t xml:space="preserve">  2026-2027/</w:t>
            </w:r>
            <w:r>
              <w:br/>
            </w:r>
            <w:r>
              <w:rPr>
                <w:rFonts w:ascii="Liberation Mono" w:hAnsi="Liberation Mono"/>
                <w:color w:val="344054"/>
                <w:sz w:val="16"/>
              </w:rPr>
              <w:t xml:space="preserve">  2027-2028/</w:t>
            </w:r>
            <w:r>
              <w:br/>
            </w:r>
            <w:r>
              <w:rPr>
                <w:rFonts w:ascii="Liberation Mono" w:hAnsi="Liberation Mono"/>
                <w:color w:val="344054"/>
                <w:sz w:val="16"/>
              </w:rPr>
              <w:t xml:space="preserve">  2028-2029/</w:t>
            </w:r>
          </w:p>
        </w:tc>
      </w:tr>
    </w:tbl>
    <w:p>
      <w:r>
        <w:t>At that point, the header and archive require zero template changes. The same rendering components serve all four editions.</w:t>
      </w:r>
    </w:p>
    <w:p>
      <w:pPr>
        <w:pStyle w:val="Heading1"/>
      </w:pPr>
      <w:r>
        <w:t>13. Final decision</w:t>
      </w:r>
    </w:p>
    <w:tbl>
      <w:tblPr>
        <w:tblW w:type="auto" w:w="0"/>
        <w:jc w:val="center"/>
        <w:tblLook w:firstColumn="1" w:firstRow="1" w:lastColumn="0" w:lastRow="0" w:noHBand="0" w:noVBand="1" w:val="04A0"/>
      </w:tblPr>
      <w:tblGrid>
        <w:gridCol w:w="10166"/>
      </w:tblGrid>
      <w:tr>
        <w:tc>
          <w:tcPr>
            <w:tcW w:type="dxa" w:w="10166"/>
            <w:shd w:fill="E0F2FE"/>
            <w:vAlign w:val="center"/>
          </w:tcPr>
          <w:p>
            <w:r/>
            <w:r>
              <w:rPr>
                <w:b/>
                <w:color w:val="075985"/>
                <w:sz w:val="20"/>
              </w:rPr>
              <w:t>Proceed with the July branch's data-driven idea, but refactor it into a first-class /journees/ section before merge.</w:t>
            </w:r>
          </w:p>
        </w:tc>
      </w:tr>
    </w:tbl>
    <w:p>
      <w:pPr>
        <w:spacing w:after="40"/>
      </w:pPr>
    </w:p>
    <w:p>
      <w:r>
        <w:t>The strongest part of the prototype is the move toward structured annual data. The strongest part of scilog2026.fr is its clear event-level navigation. Combining those two ideas inside the existing SciLog Hugo repository gives the maintainable solution: one codebase, many editions, automatic archive/header discovery, and a very low-friction workflow for future organizers.</w:t>
      </w:r>
    </w:p>
    <w:p>
      <w:r>
        <w:t>The design should be judged by one test: when somebody needs to add Journées 2027–28, they should not have to understand how hero.html, Hugo partials or annual-event.css work. They should fill in structured content and preview it. Everything else should happen automatically.</w:t>
      </w:r>
    </w:p>
    <w:p>
      <w:pPr>
        <w:pStyle w:val="Heading2"/>
      </w:pPr>
      <w:r>
        <w:t>Sources reviewed</w:t>
      </w:r>
    </w:p>
    <w:p>
      <w:r>
        <w:t>• GitHub repository: jmbruel/scilog-site (current main and branch journees-25-26-27).</w:t>
      </w:r>
    </w:p>
    <w:p>
      <w:r>
        <w:t>• Branch comparison: 13 files changed, July 23 2026 prototype.</w:t>
      </w:r>
    </w:p>
    <w:p>
      <w:r>
        <w:t>• Live event site: scilog2026.fr, including home navigation and AFADL/code-of-conduct pages.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