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footer1.xml" ContentType="application/vnd.openxmlformats-officedocument.wordprocessingml.footer+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footer"
    Target="footer1.xml"/>
  <Relationship Id="r7"
    Type="http://schemas.openxmlformats.org/officeDocument/2006/relationships/hyperlink"
    TargetMode="External"
    Target="http://www.westlaw.com/Link/Document/FullText?findType=h&amp;pubNum=176284&amp;cite=0158381401&amp;originatingDoc=I42d03ae0acab11eba76c8dd6462f1d09&amp;refType=RQ&amp;originationContext=document&amp;vr=3.0&amp;rs=cblt1.0&amp;transitionType=DocumentItem&amp;contextData=(sc.RelatedInfo)"/>
  <Relationship Id="r8"
    Type="http://schemas.openxmlformats.org/officeDocument/2006/relationships/hyperlink"
    TargetMode="External"
    Target="http://www.westlaw.com/Link/Document/FullText?findType=h&amp;pubNum=176284&amp;cite=0275204001&amp;originatingDoc=I42d03ae0acab11eba76c8dd6462f1d09&amp;refType=RQ&amp;originationContext=document&amp;vr=3.0&amp;rs=cblt1.0&amp;transitionType=DocumentItem&amp;contextData=(sc.RelatedInfo)"/>
  <Relationship Id="r9"
    Type="http://schemas.openxmlformats.org/officeDocument/2006/relationships/hyperlink"
    TargetMode="External"
    Target="http://www.westlaw.com/Link/Document/FullText?findType=h&amp;pubNum=176284&amp;cite=0334320801&amp;originatingDoc=I42d03ae0acab11eba76c8dd6462f1d09&amp;refType=RQ&amp;originationContext=document&amp;vr=3.0&amp;rs=cblt1.0&amp;transitionType=DocumentItem&amp;contextData=(sc.RelatedInfo)"/>
  <Relationship Id="r10"
    Type="http://schemas.openxmlformats.org/officeDocument/2006/relationships/hyperlink"
    TargetMode="External"
    Target="http://www.westlaw.com/Link/Document/FullText?findType=h&amp;pubNum=176284&amp;cite=0402185901&amp;originatingDoc=I42d03ae0acab11eba76c8dd6462f1d09&amp;refType=RQ&amp;originationContext=document&amp;vr=3.0&amp;rs=cblt1.0&amp;transitionType=DocumentItem&amp;contextData=(sc.RelatedInfo)"/>
  <Relationship Id="r11"
    Type="http://schemas.openxmlformats.org/officeDocument/2006/relationships/hyperlink"
    TargetMode="External"
    Target="http://www.westlaw.com/Link/Document/FullText?findType=h&amp;pubNum=176284&amp;cite=0376799301&amp;originatingDoc=I42d03ae0acab11eba76c8dd6462f1d09&amp;refType=RQ&amp;originationContext=document&amp;vr=3.0&amp;rs=cblt1.0&amp;transitionType=DocumentItem&amp;contextData=(sc.RelatedInfo)"/>
  <Relationship Id="r12"
    Type="http://schemas.openxmlformats.org/officeDocument/2006/relationships/hyperlink"
    TargetMode="External"
    Target="http://www.westlaw.com/Link/Document/FullText?findType=h&amp;pubNum=176284&amp;cite=0436644801&amp;originatingDoc=I42d03ae0acab11eba76c8dd6462f1d09&amp;refType=RQ&amp;originationContext=document&amp;vr=3.0&amp;rs=cblt1.0&amp;transitionType=DocumentItem&amp;contextData=(sc.RelatedInfo)"/>
  <Relationship Id="r13"
    Type="http://schemas.openxmlformats.org/officeDocument/2006/relationships/hyperlink"
    TargetMode="External"
    Target="http://www.westlaw.com/Link/Document/FullText?findType=h&amp;pubNum=176284&amp;cite=0526438701&amp;originatingDoc=I42d03ae0acab11eba76c8dd6462f1d09&amp;refType=RQ&amp;originationContext=document&amp;vr=3.0&amp;rs=cblt1.0&amp;transitionType=DocumentItem&amp;contextData=(sc.RelatedInfo)"/>
  <Relationship Id="r14"
    Type="http://schemas.openxmlformats.org/officeDocument/2006/relationships/hyperlink"
    TargetMode="External"
    Target="http://www.westlaw.com/Link/Document/FullText?findType=Y&amp;serNum=2042330733&amp;pubNum=0000999&amp;originatingDoc=I42d03ae0acab11eba76c8dd6462f1d09&amp;refType=RP&amp;originationContext=document&amp;vr=3.0&amp;rs=cblt1.0&amp;transitionType=DocumentItem&amp;contextData=(sc.RelatedInfo)"/>
  <Relationship Id="r15"
    Type="http://schemas.openxmlformats.org/officeDocument/2006/relationships/hyperlink"
    TargetMode="External"
    Target="http://www.westlaw.com/Link/Document/FullText?findType=Y&amp;serNum=2028677543&amp;pubNum=0007691&amp;originatingDoc=I42d03ae0acab11eba76c8dd6462f1d09&amp;refType=RP&amp;originationContext=document&amp;vr=3.0&amp;rs=cblt1.0&amp;transitionType=DocumentItem&amp;contextData=(sc.RelatedInfo)"/>
  <Relationship Id="r16"
    Type="http://schemas.openxmlformats.org/officeDocument/2006/relationships/hyperlink"
    TargetMode="External"
    Target="http://www.westlaw.com/Link/Document/FullText?findType=Y&amp;serNum=2031171366&amp;pubNum=0000999&amp;originatingDoc=I42d03ae0acab11eba76c8dd6462f1d09&amp;refType=RP&amp;originationContext=document&amp;vr=3.0&amp;rs=cblt1.0&amp;transitionType=DocumentItem&amp;contextData=(sc.RelatedInfo)"/>
  <Relationship Id="r17"
    Type="http://schemas.openxmlformats.org/officeDocument/2006/relationships/hyperlink"
    TargetMode="External"
    Target="http://www.westlaw.com/Link/Document/FullText?findType=Y&amp;serNum=2030223696&amp;pubNum=0000999&amp;originatingDoc=I42d03ae0acab11eba76c8dd6462f1d09&amp;refType=RP&amp;originationContext=document&amp;vr=3.0&amp;rs=cblt1.0&amp;transitionType=DocumentItem&amp;contextData=(sc.RelatedInfo)"/>
  <Relationship Id="r18"
    Type="http://schemas.openxmlformats.org/officeDocument/2006/relationships/hyperlink"
    TargetMode="External"
    Target="http://www.westlaw.com/Link/Document/FullText?findType=Y&amp;serNum=2034650724&amp;pubNum=0000999&amp;originatingDoc=I42d03ae0acab11eba76c8dd6462f1d09&amp;refType=RP&amp;originationContext=document&amp;vr=3.0&amp;rs=cblt1.0&amp;transitionType=DocumentItem&amp;contextData=(sc.RelatedInfo)"/>
  <Relationship Id="r19"
    Type="http://schemas.openxmlformats.org/officeDocument/2006/relationships/hyperlink"
    TargetMode="External"
    Target="http://www.westlaw.com/Link/Document/FullText?findType=Y&amp;serNum=2044935086&amp;pubNum=0000999&amp;originatingDoc=I42d03ae0acab11eba76c8dd6462f1d09&amp;refType=RP&amp;originationContext=document&amp;vr=3.0&amp;rs=cblt1.0&amp;transitionType=DocumentItem&amp;contextData=(sc.RelatedInfo)"/>
  <Relationship Id="r20"
    Type="http://schemas.openxmlformats.org/officeDocument/2006/relationships/hyperlink"
    TargetMode="External"
    Target="http://www.westlaw.com/Link/Document/FullText?findType=Y&amp;serNum=2024570377&amp;pubNum=0000999&amp;originatingDoc=I42d03ae0acab11eba76c8dd6462f1d09&amp;refType=RP&amp;originationContext=document&amp;vr=3.0&amp;rs=cblt1.0&amp;transitionType=DocumentItem&amp;contextData=(sc.RelatedInfo)"/>
  <Relationship Id="r21"
    Type="http://schemas.openxmlformats.org/officeDocument/2006/relationships/hyperlink"
    TargetMode="External"
    Target="http://www.westlaw.com/Link/Document/FullText?findType=Y&amp;serNum=2002141663&amp;pubNum=0000162&amp;originatingDoc=I42d03ae0acab11eba76c8dd6462f1d09&amp;refType=RP&amp;originationContext=document&amp;vr=3.0&amp;rs=cblt1.0&amp;transitionType=DocumentItem&amp;contextData=(sc.RelatedInfo)"/>
  <Relationship Id="r22"
    Type="http://schemas.openxmlformats.org/officeDocument/2006/relationships/hyperlink"
    TargetMode="External"
    Target="http://www.westlaw.com/Link/Document/FullText?findType=Y&amp;serNum=1988079124&amp;pubNum=0000162&amp;originatingDoc=I42d03ae0acab11eba76c8dd6462f1d09&amp;refType=RP&amp;originationContext=document&amp;vr=3.0&amp;rs=cblt1.0&amp;transitionType=DocumentItem&amp;contextData=(sc.RelatedInfo)"/>
  <Relationship Id="r23"
    Type="http://schemas.openxmlformats.org/officeDocument/2006/relationships/hyperlink"
    TargetMode="External"
    Target="http://www.westlaw.com/Link/Document/FullText?findType=Y&amp;serNum=1993130674&amp;pubNum=0000780&amp;originatingDoc=I42d03ae0acab11eba76c8dd6462f1d09&amp;refType=RP&amp;originationContext=document&amp;vr=3.0&amp;rs=cblt1.0&amp;transitionType=DocumentItem&amp;contextData=(sc.RelatedInfo)"/>
  <Relationship Id="r24"
    Type="http://schemas.openxmlformats.org/officeDocument/2006/relationships/hyperlink"
    TargetMode="External"
    Target="http://www.westlaw.com/Link/Document/FullText?findType=Y&amp;serNum=2009118667&amp;pubNum=0000162&amp;originatingDoc=I42d03ae0acab11eba76c8dd6462f1d09&amp;refType=RP&amp;originationContext=document&amp;vr=3.0&amp;rs=cblt1.0&amp;transitionType=DocumentItem&amp;contextData=(sc.RelatedInfo)"/>
  <Relationship Id="r25"
    Type="http://schemas.openxmlformats.org/officeDocument/2006/relationships/hyperlink"
    TargetMode="External"
    Target="http://www.westlaw.com/Link/Document/FullText?findType=Y&amp;serNum=2051245044&amp;pubNum=0000999&amp;originatingDoc=I42d03ae0acab11eba76c8dd6462f1d09&amp;refType=RP&amp;originationContext=document&amp;vr=3.0&amp;rs=cblt1.0&amp;transitionType=DocumentItem&amp;contextData=(sc.RelatedInfo)"/>
  <Relationship Id="r26"
    Type="http://schemas.openxmlformats.org/officeDocument/2006/relationships/hyperlink"
    TargetMode="External"
    Target="http://www.westlaw.com/Link/Document/FullText?findType=Y&amp;serNum=2036962974&amp;pubNum=0000999&amp;originatingDoc=I42d03ae0acab11eba76c8dd6462f1d09&amp;refType=RP&amp;originationContext=document&amp;vr=3.0&amp;rs=cblt1.0&amp;transitionType=DocumentItem&amp;contextData=(sc.RelatedInfo)"/>
  <Relationship Id="r27"
    Type="http://schemas.openxmlformats.org/officeDocument/2006/relationships/hyperlink"
    TargetMode="External"
    Target="http://www.westlaw.com/Link/Document/FullText?findType=Y&amp;serNum=1999091924&amp;pubNum=0000162&amp;originatingDoc=I42d03ae0acab11eba76c8dd6462f1d09&amp;refType=RP&amp;originationContext=document&amp;vr=3.0&amp;rs=cblt1.0&amp;transitionType=DocumentItem&amp;contextData=(sc.RelatedInfo)"/>
  <Relationship Id="r28"
    Type="http://schemas.openxmlformats.org/officeDocument/2006/relationships/hyperlink"
    TargetMode="External"
    Target="http://www.westlaw.com/Link/Document/FullText?findType=Y&amp;serNum=2004582784&amp;pubNum=0000999&amp;originatingDoc=I42d03ae0acab11eba76c8dd6462f1d09&amp;refType=RP&amp;originationContext=document&amp;vr=3.0&amp;rs=cblt1.0&amp;transitionType=DocumentItem&amp;contextData=(sc.RelatedInfo)"/>
  <Relationship Id="r29"
    Type="http://schemas.openxmlformats.org/officeDocument/2006/relationships/hyperlink"
    TargetMode="External"
    Target="http://www.westlaw.com/Link/Document/FullText?findType=Y&amp;serNum=2009683626&amp;pubNum=0000162&amp;originatingDoc=I42d03ae0acab11eba76c8dd6462f1d09&amp;refType=RP&amp;originationContext=document&amp;vr=3.0&amp;rs=cblt1.0&amp;transitionType=DocumentItem&amp;contextData=(sc.RelatedInfo)"/>
  <Relationship Id="r30"
    Type="http://schemas.openxmlformats.org/officeDocument/2006/relationships/hyperlink"
    TargetMode="External"
    Target="http://www.westlaw.com/Link/Document/FullText?findType=Y&amp;serNum=2021845111&amp;pubNum=0000162&amp;originatingDoc=I42d03ae0acab11eba76c8dd6462f1d09&amp;refType=RP&amp;originationContext=document&amp;vr=3.0&amp;rs=cblt1.0&amp;transitionType=DocumentItem&amp;contextData=(sc.RelatedInfo)"/>
  <Relationship Id="r31"
    Type="http://schemas.openxmlformats.org/officeDocument/2006/relationships/hyperlink"
    TargetMode="External"
    Target="http://www.westlaw.com/Link/Document/FullText?findType=Y&amp;serNum=2050460584&amp;pubNum=0000999&amp;originatingDoc=I42d03ae0acab11eba76c8dd6462f1d09&amp;refType=RP&amp;originationContext=document&amp;vr=3.0&amp;rs=cblt1.0&amp;transitionType=DocumentItem&amp;contextData=(sc.RelatedInfo)"/>
  <Relationship Id="r32"
    Type="http://schemas.openxmlformats.org/officeDocument/2006/relationships/hyperlink"
    TargetMode="External"
    Target="http://www.westlaw.com/Link/Document/FullText?findType=Y&amp;serNum=1939116068&amp;pubNum=0000162&amp;originatingDoc=I42d03ae0acab11eba76c8dd6462f1d09&amp;refType=RP&amp;originationContext=document&amp;vr=3.0&amp;rs=cblt1.0&amp;transitionType=DocumentItem&amp;contextData=(sc.RelatedInfo)"/>
  <Relationship Id="r33"
    Type="http://schemas.openxmlformats.org/officeDocument/2006/relationships/hyperlink"
    TargetMode="External"
    Target="http://www.westlaw.com/Link/Document/FullText?findType=Y&amp;serNum=2017267209&amp;pubNum=0000999&amp;originatingDoc=I42d03ae0acab11eba76c8dd6462f1d09&amp;refType=RP&amp;originationContext=document&amp;vr=3.0&amp;rs=cblt1.0&amp;transitionType=DocumentItem&amp;contextData=(sc.RelatedInfo)"/>
  <Relationship Id="r34"
    Type="http://schemas.openxmlformats.org/officeDocument/2006/relationships/hyperlink"
    TargetMode="External"
    Target="http://www.westlaw.com/Link/Document/FullText?findType=Y&amp;serNum=2006594456&amp;pubNum=0000999&amp;originatingDoc=I42d03ae0acab11eba76c8dd6462f1d09&amp;refType=RP&amp;originationContext=document&amp;vr=3.0&amp;rs=cblt1.0&amp;transitionType=DocumentItem&amp;contextData=(sc.RelatedInfo)"/>
  <Relationship Id="r35"
    Type="http://schemas.openxmlformats.org/officeDocument/2006/relationships/hyperlink"
    TargetMode="External"
    Target="http://www.westlaw.com/Link/Document/FullText?findType=Y&amp;serNum=1994079320&amp;pubNum=0000162&amp;originatingDoc=I42d03ae0acab11eba76c8dd6462f1d09&amp;refType=RP&amp;originationContext=document&amp;vr=3.0&amp;rs=cblt1.0&amp;transitionType=DocumentItem&amp;contextData=(sc.RelatedInfo)"/>
  <Relationship Id="r36"
    Type="http://schemas.openxmlformats.org/officeDocument/2006/relationships/hyperlink"
    TargetMode="External"
    Target="http://www.westlaw.com/Link/Document/FullText?findType=Y&amp;serNum=2039489860&amp;pubNum=0000506&amp;originatingDoc=I42d03ae0acab11eba76c8dd6462f1d09&amp;refType=RP&amp;originationContext=document&amp;vr=3.0&amp;rs=cblt1.0&amp;transitionType=DocumentItem&amp;contextData=(sc.RelatedInfo)"/>
  <Relationship Id="r37"
    Type="http://schemas.openxmlformats.org/officeDocument/2006/relationships/hyperlink"
    TargetMode="External"
    Target="http://www.westlaw.com/Link/Document/FullText?findType=Y&amp;serNum=1998046975&amp;pubNum=0000999&amp;originatingDoc=I42d03ae0acab11eba76c8dd6462f1d09&amp;refType=RP&amp;originationContext=document&amp;vr=3.0&amp;rs=cblt1.0&amp;transitionType=DocumentItem&amp;contextData=(sc.RelatedInfo)"/>
  <Relationship Id="r38"
    Type="http://schemas.openxmlformats.org/officeDocument/2006/relationships/hyperlink"
    TargetMode="External"
    Target="http://www.westlaw.com/Link/Document/FullText?findType=Y&amp;serNum=1981120532&amp;pubNum=0000162&amp;originatingDoc=I42d03ae0acab11eba76c8dd6462f1d09&amp;refType=RP&amp;originationContext=document&amp;vr=3.0&amp;rs=cblt1.0&amp;transitionType=DocumentItem&amp;contextData=(sc.RelatedInfo)"/>
  <Relationship Id="r39"
    Type="http://schemas.openxmlformats.org/officeDocument/2006/relationships/hyperlink"
    TargetMode="External"
    Target="http://www.westlaw.com/Link/Document/FullText?findType=Y&amp;serNum=1999119877&amp;pubNum=0000162&amp;originatingDoc=I42d03ae0acab11eba76c8dd6462f1d09&amp;refType=RP&amp;originationContext=document&amp;vr=3.0&amp;rs=cblt1.0&amp;transitionType=DocumentItem&amp;contextData=(sc.RelatedInfo)"/>
  <Relationship Id="r40"
    Type="http://schemas.openxmlformats.org/officeDocument/2006/relationships/hyperlink"
    TargetMode="External"
    Target="http://www.westlaw.com/Link/Document/FullText?findType=Y&amp;serNum=1966115747&amp;pubNum=0000162&amp;originatingDoc=I42d03ae0acab11eba76c8dd6462f1d09&amp;refType=RP&amp;originationContext=document&amp;vr=3.0&amp;rs=cblt1.0&amp;transitionType=DocumentItem&amp;contextData=(sc.RelatedInfo)"/>
  <Relationship Id="r41"
    Type="http://schemas.openxmlformats.org/officeDocument/2006/relationships/hyperlink"
    TargetMode="External"
    Target="http://www.westlaw.com/Link/Document/FullText?findType=Y&amp;serNum=2036274621&amp;pubNum=0000999&amp;originatingDoc=I42d03ae0acab11eba76c8dd6462f1d09&amp;refType=RP&amp;originationContext=document&amp;vr=3.0&amp;rs=cblt1.0&amp;transitionType=DocumentItem&amp;contextData=(sc.RelatedInfo)"/>
  <Relationship Id="r42"
    Type="http://schemas.openxmlformats.org/officeDocument/2006/relationships/hyperlink"
    TargetMode="External"
    Target="http://www.westlaw.com/Link/Document/FullText?findType=Y&amp;serNum=1991110210&amp;pubNum=0000162&amp;originatingDoc=I42d03ae0acab11eba76c8dd6462f1d09&amp;refType=RP&amp;originationContext=document&amp;vr=3.0&amp;rs=cblt1.0&amp;transitionType=DocumentItem&amp;contextData=(sc.RelatedInfo)"/>
  <Relationship Id="r43"
    Type="http://schemas.openxmlformats.org/officeDocument/2006/relationships/hyperlink"
    TargetMode="External"
    Target="http://www.westlaw.com/Link/Document/FullText?findType=Y&amp;serNum=2032907253&amp;pubNum=0007691&amp;originatingDoc=I42d03ae0acab11eba76c8dd6462f1d09&amp;refType=RP&amp;originationContext=document&amp;vr=3.0&amp;rs=cblt1.0&amp;transitionType=DocumentItem&amp;contextData=(sc.RelatedInfo)"/>
  <Relationship Id="r44"
    Type="http://schemas.openxmlformats.org/officeDocument/2006/relationships/hyperlink"
    TargetMode="External"
    Target="http://www.westlaw.com/Link/Document/FullText?findType=Y&amp;serNum=2002650308&amp;pubNum=0000162&amp;originatingDoc=I42d03ae0acab11eba76c8dd6462f1d09&amp;refType=RP&amp;originationContext=document&amp;vr=3.0&amp;rs=cblt1.0&amp;transitionType=DocumentItem&amp;contextData=(sc.RelatedInfo)"/>
  <Relationship Id="r45"
    Type="http://schemas.openxmlformats.org/officeDocument/2006/relationships/hyperlink"
    TargetMode="External"
    Target="http://www.westlaw.com/Link/Document/FullText?findType=Y&amp;serNum=1992154977&amp;pubNum=0000162&amp;originatingDoc=I42d03ae0acab11eba76c8dd6462f1d09&amp;refType=RP&amp;originationContext=document&amp;vr=3.0&amp;rs=cblt1.0&amp;transitionType=DocumentItem&amp;contextData=(sc.RelatedInfo)"/>
  <Relationship Id="r46"
    Type="http://schemas.openxmlformats.org/officeDocument/2006/relationships/hyperlink"
    TargetMode="External"
    Target="http://www.westlaw.com/Link/Document/FullText?findType=Y&amp;serNum=1986134015&amp;pubNum=0000780&amp;originatingDoc=I42d03ae0acab11eba76c8dd6462f1d09&amp;refType=RP&amp;originationContext=document&amp;vr=3.0&amp;rs=cblt1.0&amp;transitionType=DocumentItem&amp;contextData=(sc.RelatedInfo)"/>
  <Relationship Id="r47"
    Type="http://schemas.openxmlformats.org/officeDocument/2006/relationships/hyperlink"
    TargetMode="External"
    Target="http://www.westlaw.com/Link/Document/FullText?findType=Y&amp;serNum=1992171778&amp;pubNum=0000999&amp;originatingDoc=I42d03ae0acab11eba76c8dd6462f1d09&amp;refType=RP&amp;originationContext=document&amp;vr=3.0&amp;rs=cblt1.0&amp;transitionType=DocumentItem&amp;contextData=(sc.RelatedInfo)"/>
  <Relationship Id="r48"
    Type="http://schemas.openxmlformats.org/officeDocument/2006/relationships/hyperlink"
    TargetMode="External"
    Target="http://www.westlaw.com/Link/Document/FullText?findType=Y&amp;serNum=2026169302&amp;pubNum=0007691&amp;originatingDoc=I42d03ae0acab11eba76c8dd6462f1d09&amp;refType=RP&amp;originationContext=document&amp;vr=3.0&amp;rs=cblt1.0&amp;transitionType=DocumentItem&amp;contextData=(sc.RelatedInfo)"/>
  <Relationship Id="r49"
    Type="http://schemas.openxmlformats.org/officeDocument/2006/relationships/hyperlink"
    TargetMode="External"
    Target="http://www.westlaw.com/Link/Document/FullText?findType=Y&amp;serNum=1971102724&amp;pubNum=0000162&amp;originatingDoc=I42d03ae0acab11eba76c8dd6462f1d09&amp;refType=RP&amp;originationContext=document&amp;vr=3.0&amp;rs=cblt1.0&amp;transitionType=DocumentItem&amp;contextData=(sc.RelatedInfo)"/>
  <Relationship Id="r50"
    Type="http://schemas.openxmlformats.org/officeDocument/2006/relationships/hyperlink"
    TargetMode="External"
    Target="http://www.westlaw.com/Link/Document/FullText?findType=Y&amp;serNum=1985114193&amp;pubNum=0000162&amp;originatingDoc=I42d03ae0acab11eba76c8dd6462f1d09&amp;refType=RP&amp;originationContext=document&amp;vr=3.0&amp;rs=cblt1.0&amp;transitionType=DocumentItem&amp;contextData=(sc.RelatedInfo)"/>
  <Relationship Id="r51"
    Type="http://schemas.openxmlformats.org/officeDocument/2006/relationships/hyperlink"
    TargetMode="External"
    Target="http://www.westlaw.com/Link/Document/FullText?findType=Y&amp;serNum=2000049100&amp;pubNum=0000162&amp;originatingDoc=I42d03ae0acab11eba76c8dd6462f1d09&amp;refType=RP&amp;originationContext=document&amp;vr=3.0&amp;rs=cblt1.0&amp;transitionType=DocumentItem&amp;contextData=(sc.RelatedInfo)"/>
  <Relationship Id="r52"
    Type="http://schemas.openxmlformats.org/officeDocument/2006/relationships/hyperlink"
    TargetMode="External"
    Target="http://www.westlaw.com/Link/Document/FullText?findType=Y&amp;serNum=1988047947&amp;pubNum=0000162&amp;originatingDoc=I42d03ae0acab11eba76c8dd6462f1d09&amp;refType=RP&amp;originationContext=document&amp;vr=3.0&amp;rs=cblt1.0&amp;transitionType=DocumentItem&amp;contextData=(sc.RelatedInfo)"/>
  <Relationship Id="r53"
    Type="http://schemas.openxmlformats.org/officeDocument/2006/relationships/hyperlink"
    TargetMode="External"
    Target="http://www.westlaw.com/Link/Document/FullText?findType=Y&amp;serNum=1996097915&amp;pubNum=0000162&amp;originatingDoc=I42d03ae0acab11eba76c8dd6462f1d09&amp;refType=RP&amp;originationContext=document&amp;vr=3.0&amp;rs=cblt1.0&amp;transitionType=DocumentItem&amp;contextData=(sc.RelatedInfo)"/>
  <Relationship Id="r54"
    Type="http://schemas.openxmlformats.org/officeDocument/2006/relationships/hyperlink"
    TargetMode="External"
    Target="http://www.westlaw.com/Link/Document/FullText?findType=Y&amp;serNum=1993210099&amp;pubNum=0000999&amp;originatingDoc=I42d03ae0acab11eba76c8dd6462f1d09&amp;refType=RP&amp;originationContext=document&amp;vr=3.0&amp;rs=cblt1.0&amp;transitionType=DocumentItem&amp;contextData=(sc.RelatedInfo)"/>
  <Relationship Id="r55"
    Type="http://schemas.openxmlformats.org/officeDocument/2006/relationships/hyperlink"
    TargetMode="External"
    Target="http://www.westlaw.com/Link/Document/FullText?findType=Y&amp;serNum=2012322127&amp;pubNum=0000162&amp;originatingDoc=I42d03ae0acab11eba76c8dd6462f1d09&amp;refType=RP&amp;originationContext=document&amp;vr=3.0&amp;rs=cblt1.0&amp;transitionType=DocumentItem&amp;contextData=(sc.RelatedInfo)"/>
  <Relationship Id="r56"
    Type="http://schemas.openxmlformats.org/officeDocument/2006/relationships/hyperlink"
    TargetMode="External"
    Target="http://www.westlaw.com/Link/Document/FullText?findType=Y&amp;serNum=1983112756&amp;pubNum=0000162&amp;originatingDoc=I42d03ae0acab11eba76c8dd6462f1d09&amp;refType=RP&amp;originationContext=document&amp;vr=3.0&amp;rs=cblt1.0&amp;transitionType=DocumentItem&amp;contextData=(sc.RelatedInfo)"/>
  <Relationship Id="r57"
    Type="http://schemas.openxmlformats.org/officeDocument/2006/relationships/hyperlink"
    TargetMode="External"
    Target="http://www.westlaw.com/Link/Document/FullText?findType=L&amp;pubNum=1007662&amp;cite=DERCHCTR30&amp;originatingDoc=I42d03ae0acab11eba76c8dd6462f1d09&amp;refType=LQ&amp;originationContext=document&amp;vr=3.0&amp;rs=cblt1.0&amp;transitionType=DocumentItem&amp;contextData=(sc.RelatedInfo)"/>
  <Relationship Id="r58"
    Type="http://schemas.openxmlformats.org/officeDocument/2006/relationships/hyperlink"
    TargetMode="External"
    Target="http://www.westlaw.com/Link/Document/FullText?findType=L&amp;pubNum=1007662&amp;cite=DERCHCTR54&amp;originatingDoc=I42d03ae0acab11eba76c8dd6462f1d09&amp;refType=LQ&amp;originationContext=document&amp;vr=3.0&amp;rs=cblt1.0&amp;transitionType=DocumentItem&amp;contextData=(sc.RelatedInfo)"/>
  <Relationship Id="r59"
    Type="http://schemas.openxmlformats.org/officeDocument/2006/relationships/hyperlink"
    TargetMode="External"
    Target="http://www.westlaw.com/Link/Document/FullText?findType=L&amp;pubNum=1007675&amp;cite=DERREVR702&amp;originatingDoc=I42d03ae0acab11eba76c8dd6462f1d09&amp;refType=LQ&amp;originationContext=document&amp;vr=3.0&amp;rs=cblt1.0&amp;transitionType=DocumentItem&amp;contextData=(sc.RelatedInfo)"/>
  <Relationship Id="r60"
    Type="http://schemas.openxmlformats.org/officeDocument/2006/relationships/hyperlink"
    TargetMode="External"
    Target="http://www.westlaw.com/Link/Document/FullText?findType=L&amp;pubNum=1000005&amp;cite=DESTT6S2301&amp;originatingDoc=I42d03ae0acab11eba76c8dd6462f1d09&amp;refType=SP&amp;originationContext=document&amp;vr=3.0&amp;rs=cblt1.0&amp;transitionType=DocumentItem&amp;contextData=(sc.RelatedInfo)#co_pp_5ba1000067d06"/>
  <Relationship Id="r61"
    Type="http://schemas.openxmlformats.org/officeDocument/2006/relationships/hyperlink"
    TargetMode="External"
    Target="http://www.westlaw.com/Link/Document/FullText?findType=Y&amp;serNum=0344381467&amp;pubNum=0003084&amp;originatingDoc=I42d03ae0acab11eba76c8dd6462f1d09&amp;refType=LR&amp;originationContext=document&amp;vr=3.0&amp;rs=cblt1.0&amp;transitionType=DocumentItem&amp;contextData=(sc.RelatedInfo)"/>
  <Relationship Id="r62"
    Type="http://schemas.openxmlformats.org/officeDocument/2006/relationships/hyperlink"
    TargetMode="External"
    Target="http://www.westlaw.com/Link/Document/FullText?findType=L&amp;pubNum=1007675&amp;cite=DERREVR702&amp;originatingDoc=I42d03ae0acab11eba76c8dd6462f1d09&amp;refType=LQ&amp;originationContext=document&amp;vr=3.0&amp;rs=cblt1.0&amp;transitionType=DocumentItem&amp;contextData=(sc.RelatedInfo)"/>
  <Relationship Id="r63"
    Type="http://schemas.openxmlformats.org/officeDocument/2006/relationships/hyperlink"
    TargetMode="External"
    Target="http://www.westlaw.com/Link/Document/FullText?findType=L&amp;pubNum=1007675&amp;cite=DERREVR702&amp;originatingDoc=I42d03ae0acab11eba76c8dd6462f1d09&amp;refType=LQ&amp;originationContext=document&amp;vr=3.0&amp;rs=cblt1.0&amp;transitionType=DocumentItem&amp;contextData=(sc.RelatedInfo)"/>
  <Relationship Id="r64"
    Type="http://schemas.openxmlformats.org/officeDocument/2006/relationships/hyperlink"
    TargetMode="External"
    Target="http://www.westlaw.com/Link/Document/FullText?findType=L&amp;pubNum=1007675&amp;cite=DERREVR702&amp;originatingDoc=I42d03ae0acab11eba76c8dd6462f1d09&amp;refType=LQ&amp;originationContext=document&amp;vr=3.0&amp;rs=cblt1.0&amp;transitionType=DocumentItem&amp;contextData=(sc.RelatedInfo)"/>
  <Relationship Id="r65"
    Type="http://schemas.openxmlformats.org/officeDocument/2006/relationships/hyperlink"
    TargetMode="External"
    Target="http://www.westlaw.com/Link/Document/FullText?findType=L&amp;pubNum=1007662&amp;cite=DERCHCTR54&amp;originatingDoc=I42d03ae0acab11eba76c8dd6462f1d09&amp;refType=LQ&amp;originationContext=document&amp;vr=3.0&amp;rs=cblt1.0&amp;transitionType=DocumentItem&amp;contextData=(sc.RelatedInfo)"/>
  <Relationship Id="r66"
    Type="http://schemas.openxmlformats.org/officeDocument/2006/relationships/hyperlink"
    TargetMode="External"
    Target="http://www.westlaw.com/Link/Document/FullText?findType=Y&amp;serNum=2002650308&amp;pubNum=0000162&amp;originatingDoc=I42d03ae0acab11eba76c8dd6462f1d09&amp;refType=RP&amp;fi=co_pp_sp_162_436&amp;originationContext=document&amp;vr=3.0&amp;rs=cblt1.0&amp;transitionType=DocumentItem&amp;contextData=(sc.RelatedInfo)#co_pp_sp_162_436"/>
  <Relationship Id="r67"
    Type="http://schemas.openxmlformats.org/officeDocument/2006/relationships/hyperlink"
    TargetMode="External"
    Target="http://www.westlaw.com/Link/Document/FullText?findType=Y&amp;serNum=1992154977&amp;pubNum=0000162&amp;originatingDoc=I42d03ae0acab11eba76c8dd6462f1d09&amp;refType=RP&amp;originationContext=document&amp;vr=3.0&amp;rs=cblt1.0&amp;transitionType=DocumentItem&amp;contextData=(sc.RelatedInfo)"/>
  <Relationship Id="r68"
    Type="http://schemas.openxmlformats.org/officeDocument/2006/relationships/hyperlink"
    TargetMode="External"
    Target="http://www.westlaw.com/Link/Document/FullText?findType=Y&amp;serNum=2028677543&amp;pubNum=0007691&amp;originatingDoc=I42d03ae0acab11eba76c8dd6462f1d09&amp;refType=RP&amp;fi=co_pp_sp_7691_1239&amp;originationContext=document&amp;vr=3.0&amp;rs=cblt1.0&amp;transitionType=DocumentItem&amp;contextData=(sc.RelatedInfo)#co_pp_sp_7691_1239"/>
  <Relationship Id="r69"
    Type="http://schemas.openxmlformats.org/officeDocument/2006/relationships/hyperlink"
    TargetMode="External"
    Target="http://www.westlaw.com/Link/Document/FullText?findType=Y&amp;serNum=1994079320&amp;pubNum=0000162&amp;originatingDoc=I42d03ae0acab11eba76c8dd6462f1d09&amp;refType=RP&amp;fi=co_pp_sp_162_1117&amp;originationContext=document&amp;vr=3.0&amp;rs=cblt1.0&amp;transitionType=DocumentItem&amp;contextData=(sc.RelatedInfo)#co_pp_sp_162_1117"/>
  <Relationship Id="r70"
    Type="http://schemas.openxmlformats.org/officeDocument/2006/relationships/hyperlink"
    TargetMode="External"
    Target="http://www.westlaw.com/Link/Document/FullText?findType=Y&amp;serNum=2006594456&amp;pubNum=0000999&amp;originatingDoc=I42d03ae0acab11eba76c8dd6462f1d09&amp;refType=RP&amp;originationContext=document&amp;vr=3.0&amp;rs=cblt1.0&amp;transitionType=DocumentItem&amp;contextData=(sc.RelatedInfo)"/>
  <Relationship Id="r71"
    Type="http://schemas.openxmlformats.org/officeDocument/2006/relationships/hyperlink"
    TargetMode="External"
    Target="http://www.westlaw.com/Link/Document/FullText?findType=Y&amp;serNum=2006594456&amp;pubNum=0000999&amp;originatingDoc=I42d03ae0acab11eba76c8dd6462f1d09&amp;refType=RP&amp;fi=co_pp_sp_999_14&amp;originationContext=document&amp;vr=3.0&amp;rs=cblt1.0&amp;transitionType=DocumentItem&amp;contextData=(sc.RelatedInfo)#co_pp_sp_999_14"/>
  <Relationship Id="r72"
    Type="http://schemas.openxmlformats.org/officeDocument/2006/relationships/hyperlink"
    TargetMode="External"
    Target="http://www.westlaw.com/Link/Document/FullText?findType=Y&amp;serNum=2051245044&amp;pubNum=0000999&amp;originatingDoc=I42d03ae0acab11eba76c8dd6462f1d09&amp;refType=RP&amp;fi=co_pp_sp_999_33&amp;originationContext=document&amp;vr=3.0&amp;rs=cblt1.0&amp;transitionType=DocumentItem&amp;contextData=(sc.RelatedInfo)#co_pp_sp_999_33"/>
  <Relationship Id="r73"
    Type="http://schemas.openxmlformats.org/officeDocument/2006/relationships/hyperlink"
    TargetMode="External"
    Target="http://www.westlaw.com/Link/Document/FullText?findType=Y&amp;serNum=0344381467&amp;pubNum=0003084&amp;originatingDoc=I42d03ae0acab11eba76c8dd6462f1d09&amp;refType=LR&amp;originationContext=document&amp;vr=3.0&amp;rs=cblt1.0&amp;transitionType=DocumentItem&amp;contextData=(sc.RelatedInfo)"/>
  <Relationship Id="r74"
    Type="http://schemas.openxmlformats.org/officeDocument/2006/relationships/hyperlink"
    TargetMode="External"
    Target="http://www.westlaw.com/Link/Document/FullText?findType=Y&amp;serNum=1971102724&amp;pubNum=0000162&amp;originatingDoc=I42d03ae0acab11eba76c8dd6462f1d09&amp;refType=RP&amp;fi=co_pp_sp_162_439&amp;originationContext=document&amp;vr=3.0&amp;rs=cblt1.0&amp;transitionType=DocumentItem&amp;contextData=(sc.RelatedInfo)#co_pp_sp_162_439"/>
  <Relationship Id="r75"
    Type="http://schemas.openxmlformats.org/officeDocument/2006/relationships/hyperlink"
    TargetMode="External"
    Target="http://www.westlaw.com/Link/Document/FullText?findType=Y&amp;serNum=1983112756&amp;pubNum=0000162&amp;originatingDoc=I42d03ae0acab11eba76c8dd6462f1d09&amp;refType=RP&amp;fi=co_pp_sp_162_711&amp;originationContext=document&amp;vr=3.0&amp;rs=cblt1.0&amp;transitionType=DocumentItem&amp;contextData=(sc.RelatedInfo)#co_pp_sp_162_711"/>
  <Relationship Id="r76"
    Type="http://schemas.openxmlformats.org/officeDocument/2006/relationships/hyperlink"
    TargetMode="External"
    Target="http://www.westlaw.com/Link/Document/FullText?findType=Y&amp;serNum=2009118667&amp;pubNum=0000162&amp;originatingDoc=I42d03ae0acab11eba76c8dd6462f1d09&amp;refType=RP&amp;originationContext=document&amp;vr=3.0&amp;rs=cblt1.0&amp;transitionType=DocumentItem&amp;contextData=(sc.RelatedInfo)"/>
  <Relationship Id="r77"
    Type="http://schemas.openxmlformats.org/officeDocument/2006/relationships/hyperlink"
    TargetMode="External"
    Target="http://www.westlaw.com/Link/Document/FullText?findType=Y&amp;serNum=2009118667&amp;pubNum=0000162&amp;originatingDoc=I42d03ae0acab11eba76c8dd6462f1d09&amp;refType=RP&amp;fi=co_pp_sp_162_311&amp;originationContext=document&amp;vr=3.0&amp;rs=cblt1.0&amp;transitionType=DocumentItem&amp;contextData=(sc.RelatedInfo)#co_pp_sp_162_311"/>
  <Relationship Id="r78"
    Type="http://schemas.openxmlformats.org/officeDocument/2006/relationships/hyperlink"
    TargetMode="External"
    Target="http://www.westlaw.com/Link/Document/FullText?findType=Y&amp;serNum=2051245044&amp;pubNum=0000999&amp;originatingDoc=I42d03ae0acab11eba76c8dd6462f1d09&amp;refType=RP&amp;fi=co_pp_sp_999_19&amp;originationContext=document&amp;vr=3.0&amp;rs=cblt1.0&amp;transitionType=DocumentItem&amp;contextData=(sc.RelatedInfo)#co_pp_sp_999_19"/>
  <Relationship Id="r79"
    Type="http://schemas.openxmlformats.org/officeDocument/2006/relationships/hyperlink"
    TargetMode="External"
    Target="http://www.westlaw.com/Link/Document/FullText?findType=Y&amp;serNum=2034650724&amp;pubNum=0000999&amp;originatingDoc=I42d03ae0acab11eba76c8dd6462f1d09&amp;refType=RP&amp;originationContext=document&amp;vr=3.0&amp;rs=cblt1.0&amp;transitionType=DocumentItem&amp;contextData=(sc.RelatedInfo)"/>
  <Relationship Id="r80"
    Type="http://schemas.openxmlformats.org/officeDocument/2006/relationships/hyperlink"
    TargetMode="External"
    Target="http://www.westlaw.com/Link/Document/FullText?findType=Y&amp;serNum=2009118667&amp;pubNum=0000162&amp;originatingDoc=I42d03ae0acab11eba76c8dd6462f1d09&amp;refType=RP&amp;fi=co_pp_sp_162_312&amp;originationContext=document&amp;vr=3.0&amp;rs=cblt1.0&amp;transitionType=DocumentItem&amp;contextData=(sc.RelatedInfo)#co_pp_sp_162_312"/>
  <Relationship Id="r81"
    Type="http://schemas.openxmlformats.org/officeDocument/2006/relationships/hyperlink"
    TargetMode="External"
    Target="http://www.westlaw.com/Link/Document/FullText?findType=Y&amp;serNum=2042330733&amp;pubNum=0000999&amp;originatingDoc=I42d03ae0acab11eba76c8dd6462f1d09&amp;refType=RP&amp;originationContext=document&amp;vr=3.0&amp;rs=cblt1.0&amp;transitionType=DocumentItem&amp;contextData=(sc.RelatedInfo)"/>
  <Relationship Id="r82"
    Type="http://schemas.openxmlformats.org/officeDocument/2006/relationships/hyperlink"
    TargetMode="External"
    Target="http://www.westlaw.com/Link/Document/FullText?findType=Y&amp;serNum=2042330733&amp;pubNum=0000999&amp;originatingDoc=I42d03ae0acab11eba76c8dd6462f1d09&amp;refType=RP&amp;fi=co_pp_sp_999_29&amp;originationContext=document&amp;vr=3.0&amp;rs=cblt1.0&amp;transitionType=DocumentItem&amp;contextData=(sc.RelatedInfo)#co_pp_sp_999_29"/>
  <Relationship Id="r83"
    Type="http://schemas.openxmlformats.org/officeDocument/2006/relationships/hyperlink"
    TargetMode="External"
    Target="http://www.westlaw.com/Link/Document/FullText?findType=Y&amp;serNum=2030223696&amp;pubNum=0000999&amp;originatingDoc=I42d03ae0acab11eba76c8dd6462f1d09&amp;refType=RP&amp;fi=co_pp_sp_999_3&amp;originationContext=document&amp;vr=3.0&amp;rs=cblt1.0&amp;transitionType=DocumentItem&amp;contextData=(sc.RelatedInfo)#co_pp_sp_999_3"/>
  <Relationship Id="r84"
    Type="http://schemas.openxmlformats.org/officeDocument/2006/relationships/hyperlink"
    TargetMode="External"
    Target="http://www.westlaw.com/Link/Document/FullText?findType=Y&amp;serNum=2042330733&amp;pubNum=0000999&amp;originatingDoc=I42d03ae0acab11eba76c8dd6462f1d09&amp;refType=RP&amp;fi=co_pp_sp_999_19&amp;originationContext=document&amp;vr=3.0&amp;rs=cblt1.0&amp;transitionType=DocumentItem&amp;contextData=(sc.RelatedInfo)#co_pp_sp_999_19"/>
  <Relationship Id="r85"
    Type="http://schemas.openxmlformats.org/officeDocument/2006/relationships/hyperlink"
    TargetMode="External"
    Target="http://www.westlaw.com/Link/Document/FullText?findType=Y&amp;serNum=2002141663&amp;pubNum=0000162&amp;originatingDoc=I42d03ae0acab11eba76c8dd6462f1d09&amp;refType=RP&amp;fi=co_pp_sp_162_1183&amp;originationContext=document&amp;vr=3.0&amp;rs=cblt1.0&amp;transitionType=DocumentItem&amp;contextData=(sc.RelatedInfo)#co_pp_sp_162_1183"/>
  <Relationship Id="r86"
    Type="http://schemas.openxmlformats.org/officeDocument/2006/relationships/hyperlink"
    TargetMode="External"
    Target="http://www.westlaw.com/Link/Document/FullText?findType=Y&amp;serNum=2001180188&amp;pubNum=0000162&amp;originatingDoc=I42d03ae0acab11eba76c8dd6462f1d09&amp;refType=RP&amp;originationContext=document&amp;vr=3.0&amp;rs=cblt1.0&amp;transitionType=DocumentItem&amp;contextData=(sc.RelatedInfo)"/>
  <Relationship Id="r87"
    Type="http://schemas.openxmlformats.org/officeDocument/2006/relationships/hyperlink"
    TargetMode="External"
    Target="http://www.westlaw.com/Link/Document/FullText?findType=Y&amp;serNum=2004582784&amp;pubNum=0000999&amp;originatingDoc=I42d03ae0acab11eba76c8dd6462f1d09&amp;refType=RP&amp;fi=co_pp_sp_999_25&amp;originationContext=document&amp;vr=3.0&amp;rs=cblt1.0&amp;transitionType=DocumentItem&amp;contextData=(sc.RelatedInfo)#co_pp_sp_999_25"/>
  <Relationship Id="r88"
    Type="http://schemas.openxmlformats.org/officeDocument/2006/relationships/hyperlink"
    TargetMode="External"
    Target="http://www.westlaw.com/Link/Document/FullText?findType=Y&amp;serNum=1998046975&amp;pubNum=0000999&amp;originatingDoc=I42d03ae0acab11eba76c8dd6462f1d09&amp;refType=RP&amp;fi=co_pp_sp_999_7&amp;originationContext=document&amp;vr=3.0&amp;rs=cblt1.0&amp;transitionType=DocumentItem&amp;contextData=(sc.RelatedInfo)#co_pp_sp_999_7"/>
  <Relationship Id="r89"
    Type="http://schemas.openxmlformats.org/officeDocument/2006/relationships/hyperlink"
    TargetMode="External"
    Target="http://www.westlaw.com/Link/Document/FullText?findType=Y&amp;serNum=2031171366&amp;pubNum=0000999&amp;originatingDoc=I42d03ae0acab11eba76c8dd6462f1d09&amp;refType=RP&amp;fi=co_pp_sp_999_3&amp;originationContext=document&amp;vr=3.0&amp;rs=cblt1.0&amp;transitionType=DocumentItem&amp;contextData=(sc.RelatedInfo)#co_pp_sp_999_3"/>
  <Relationship Id="r90"
    Type="http://schemas.openxmlformats.org/officeDocument/2006/relationships/hyperlink"
    TargetMode="External"
    Target="http://www.westlaw.com/Link/Document/FullText?findType=Y&amp;serNum=1985114193&amp;pubNum=0000162&amp;originatingDoc=I42d03ae0acab11eba76c8dd6462f1d09&amp;refType=RP&amp;fi=co_pp_sp_162_879&amp;originationContext=document&amp;vr=3.0&amp;rs=cblt1.0&amp;transitionType=DocumentItem&amp;contextData=(sc.RelatedInfo)#co_pp_sp_162_879"/>
  <Relationship Id="r91"
    Type="http://schemas.openxmlformats.org/officeDocument/2006/relationships/hyperlink"
    TargetMode="External"
    Target="http://www.westlaw.com/Link/Document/FullText?findType=Y&amp;serNum=2009683626&amp;pubNum=0000162&amp;originatingDoc=I42d03ae0acab11eba76c8dd6462f1d09&amp;refType=RP&amp;fi=co_pp_sp_162_1158&amp;originationContext=document&amp;vr=3.0&amp;rs=cblt1.0&amp;transitionType=DocumentItem&amp;contextData=(sc.RelatedInfo)#co_pp_sp_162_1158"/>
  <Relationship Id="r92"
    Type="http://schemas.openxmlformats.org/officeDocument/2006/relationships/hyperlink"
    TargetMode="External"
    Target="http://www.westlaw.com/Link/Document/FullText?findType=Y&amp;serNum=1993130674&amp;pubNum=0000780&amp;originatingDoc=I42d03ae0acab11eba76c8dd6462f1d09&amp;refType=RP&amp;originationContext=document&amp;vr=3.0&amp;rs=cblt1.0&amp;transitionType=DocumentItem&amp;contextData=(sc.RelatedInfo)"/>
  <Relationship Id="r93"
    Type="http://schemas.openxmlformats.org/officeDocument/2006/relationships/hyperlink"
    TargetMode="External"
    Target="http://www.westlaw.com/Link/Document/FullText?findType=Y&amp;serNum=1999119877&amp;pubNum=0000162&amp;originatingDoc=I42d03ae0acab11eba76c8dd6462f1d09&amp;refType=RP&amp;fi=co_pp_sp_162_521&amp;originationContext=document&amp;vr=3.0&amp;rs=cblt1.0&amp;transitionType=DocumentItem&amp;contextData=(sc.RelatedInfo)#co_pp_sp_162_521"/>
  <Relationship Id="r94"
    Type="http://schemas.openxmlformats.org/officeDocument/2006/relationships/hyperlink"
    TargetMode="External"
    Target="http://www.westlaw.com/Link/Document/FullText?findType=L&amp;pubNum=1007675&amp;cite=DERREVR702&amp;originatingDoc=I42d03ae0acab11eba76c8dd6462f1d09&amp;refType=LQ&amp;originationContext=document&amp;vr=3.0&amp;rs=cblt1.0&amp;transitionType=DocumentItem&amp;contextData=(sc.RelatedInfo)"/>
  <Relationship Id="r95"
    Type="http://schemas.openxmlformats.org/officeDocument/2006/relationships/hyperlink"
    TargetMode="External"
    Target="http://www.westlaw.com/Link/Document/FullText?findType=Y&amp;serNum=2024570377&amp;pubNum=0000999&amp;originatingDoc=I42d03ae0acab11eba76c8dd6462f1d09&amp;refType=RP&amp;fi=co_pp_sp_999_6&amp;originationContext=document&amp;vr=3.0&amp;rs=cblt1.0&amp;transitionType=DocumentItem&amp;contextData=(sc.RelatedInfo)#co_pp_sp_999_6"/>
  <Relationship Id="r96"
    Type="http://schemas.openxmlformats.org/officeDocument/2006/relationships/hyperlink"
    TargetMode="External"
    Target="http://www.westlaw.com/Link/Document/FullText?findType=Y&amp;serNum=2039489860&amp;pubNum=0000506&amp;originatingDoc=I42d03ae0acab11eba76c8dd6462f1d09&amp;refType=RP&amp;fi=co_pp_sp_506_900&amp;originationContext=document&amp;vr=3.0&amp;rs=cblt1.0&amp;transitionType=DocumentItem&amp;contextData=(sc.RelatedInfo)#co_pp_sp_506_900"/>
  <Relationship Id="r97"
    Type="http://schemas.openxmlformats.org/officeDocument/2006/relationships/hyperlink"
    TargetMode="External"
    Target="http://www.westlaw.com/Link/Document/FullText?findType=L&amp;pubNum=1007675&amp;cite=DERREVR702&amp;originatingDoc=I42d03ae0acab11eba76c8dd6462f1d09&amp;refType=LQ&amp;originationContext=document&amp;vr=3.0&amp;rs=cblt1.0&amp;transitionType=DocumentItem&amp;contextData=(sc.RelatedInfo)"/>
  <Relationship Id="r98"
    Type="http://schemas.openxmlformats.org/officeDocument/2006/relationships/hyperlink"
    TargetMode="External"
    Target="http://www.westlaw.com/Link/Document/FullText?findType=Y&amp;serNum=2031171366&amp;pubNum=0000999&amp;originatingDoc=I42d03ae0acab11eba76c8dd6462f1d09&amp;refType=RP&amp;fi=co_pp_sp_999_4&amp;originationContext=document&amp;vr=3.0&amp;rs=cblt1.0&amp;transitionType=DocumentItem&amp;contextData=(sc.RelatedInfo)#co_pp_sp_999_4"/>
  <Relationship Id="r99"
    Type="http://schemas.openxmlformats.org/officeDocument/2006/relationships/hyperlink"
    TargetMode="External"
    Target="http://www.westlaw.com/Link/Document/FullText?findType=Y&amp;serNum=2009118667&amp;pubNum=0000162&amp;originatingDoc=I42d03ae0acab11eba76c8dd6462f1d09&amp;refType=RP&amp;fi=co_pp_sp_162_339&amp;originationContext=document&amp;vr=3.0&amp;rs=cblt1.0&amp;transitionType=DocumentItem&amp;contextData=(sc.RelatedInfo)#co_pp_sp_162_339"/>
  <Relationship Id="r100"
    Type="http://schemas.openxmlformats.org/officeDocument/2006/relationships/hyperlink"
    TargetMode="External"
    Target="http://www.westlaw.com/Link/Document/FullText?findType=Y&amp;serNum=2009683626&amp;pubNum=0000162&amp;originatingDoc=I42d03ae0acab11eba76c8dd6462f1d09&amp;refType=RP&amp;fi=co_pp_sp_162_1159&amp;originationContext=document&amp;vr=3.0&amp;rs=cblt1.0&amp;transitionType=DocumentItem&amp;contextData=(sc.RelatedInfo)#co_pp_sp_162_1159"/>
  <Relationship Id="r101"
    Type="http://schemas.openxmlformats.org/officeDocument/2006/relationships/hyperlink"
    TargetMode="External"
    Target="http://www.westlaw.com/Link/Document/FullText?findType=Y&amp;serNum=2004582784&amp;pubNum=0000999&amp;originatingDoc=I42d03ae0acab11eba76c8dd6462f1d09&amp;refType=RP&amp;fi=co_pp_sp_999_21&amp;originationContext=document&amp;vr=3.0&amp;rs=cblt1.0&amp;transitionType=DocumentItem&amp;contextData=(sc.RelatedInfo)#co_pp_sp_999_21"/>
  <Relationship Id="r102"
    Type="http://schemas.openxmlformats.org/officeDocument/2006/relationships/hyperlink"
    TargetMode="External"
    Target="http://www.westlaw.com/Link/Document/FullText?findType=Y&amp;serNum=2017267209&amp;pubNum=0000999&amp;originatingDoc=I42d03ae0acab11eba76c8dd6462f1d09&amp;refType=RP&amp;fi=co_pp_sp_999_1&amp;originationContext=document&amp;vr=3.0&amp;rs=cblt1.0&amp;transitionType=DocumentItem&amp;contextData=(sc.RelatedInfo)#co_pp_sp_999_1"/>
  <Relationship Id="r103"
    Type="http://schemas.openxmlformats.org/officeDocument/2006/relationships/hyperlink"
    TargetMode="External"
    Target="http://www.westlaw.com/Link/Document/FullText?findType=Y&amp;serNum=2021845111&amp;pubNum=0000162&amp;originatingDoc=I42d03ae0acab11eba76c8dd6462f1d09&amp;refType=RP&amp;fi=co_pp_sp_162_511&amp;originationContext=document&amp;vr=3.0&amp;rs=cblt1.0&amp;transitionType=DocumentItem&amp;contextData=(sc.RelatedInfo)#co_pp_sp_162_511"/>
  <Relationship Id="r104"
    Type="http://schemas.openxmlformats.org/officeDocument/2006/relationships/hyperlink"
    TargetMode="External"
    Target="http://www.westlaw.com/Link/Document/FullText?findType=Y&amp;serNum=2024248625&amp;pubNum=0007691&amp;originatingDoc=I42d03ae0acab11eba76c8dd6462f1d09&amp;refType=RP&amp;originationContext=document&amp;vr=3.0&amp;rs=cblt1.0&amp;transitionType=DocumentItem&amp;contextData=(sc.RelatedInfo)"/>
  <Relationship Id="r105"
    Type="http://schemas.openxmlformats.org/officeDocument/2006/relationships/hyperlink"
    TargetMode="External"
    Target="http://www.westlaw.com/Link/Document/FullText?findType=L&amp;pubNum=1007662&amp;cite=DERCHCTR30&amp;originatingDoc=I42d03ae0acab11eba76c8dd6462f1d09&amp;refType=LQ&amp;originationContext=document&amp;vr=3.0&amp;rs=cblt1.0&amp;transitionType=DocumentItem&amp;contextData=(sc.RelatedInfo)"/>
  <Relationship Id="r106"
    Type="http://schemas.openxmlformats.org/officeDocument/2006/relationships/hyperlink"
    TargetMode="External"
    Target="http://www.westlaw.com/Link/Document/FullText?findType=Y&amp;serNum=2004582784&amp;pubNum=0000999&amp;originatingDoc=I42d03ae0acab11eba76c8dd6462f1d09&amp;refType=RP&amp;fi=co_pp_sp_999_30&amp;originationContext=document&amp;vr=3.0&amp;rs=cblt1.0&amp;transitionType=DocumentItem&amp;contextData=(sc.RelatedInfo)#co_pp_sp_999_30"/>
  <Relationship Id="r107"
    Type="http://schemas.openxmlformats.org/officeDocument/2006/relationships/hyperlink"
    TargetMode="External"
    Target="http://www.westlaw.com/Link/Document/FullText?findType=L&amp;pubNum=1007662&amp;cite=DERCHCTR30&amp;originatingDoc=I42d03ae0acab11eba76c8dd6462f1d09&amp;refType=LQ&amp;originationContext=document&amp;vr=3.0&amp;rs=cblt1.0&amp;transitionType=DocumentItem&amp;contextData=(sc.RelatedInfo)"/>
  <Relationship Id="r108"
    Type="http://schemas.openxmlformats.org/officeDocument/2006/relationships/hyperlink"
    TargetMode="External"
    Target="http://www.westlaw.com/Link/Document/FullText?findType=Y&amp;serNum=1999091924&amp;pubNum=0000162&amp;originatingDoc=I42d03ae0acab11eba76c8dd6462f1d09&amp;refType=RP&amp;fi=co_pp_sp_162_1224&amp;originationContext=document&amp;vr=3.0&amp;rs=cblt1.0&amp;transitionType=DocumentItem&amp;contextData=(sc.RelatedInfo)#co_pp_sp_162_1224"/>
  <Relationship Id="r109"
    Type="http://schemas.openxmlformats.org/officeDocument/2006/relationships/hyperlink"
    TargetMode="External"
    Target="http://www.westlaw.com/Link/Document/FullText?findType=Y&amp;serNum=2036962974&amp;pubNum=0000999&amp;originatingDoc=I42d03ae0acab11eba76c8dd6462f1d09&amp;refType=RP&amp;fi=co_pp_sp_999_44&amp;originationContext=document&amp;vr=3.0&amp;rs=cblt1.0&amp;transitionType=DocumentItem&amp;contextData=(sc.RelatedInfo)#co_pp_sp_999_44"/>
  <Relationship Id="r110"
    Type="http://schemas.openxmlformats.org/officeDocument/2006/relationships/hyperlink"
    TargetMode="External"
    Target="http://www.westlaw.com/Link/Document/FullText?findType=Y&amp;serNum=1983112756&amp;pubNum=0000162&amp;originatingDoc=I42d03ae0acab11eba76c8dd6462f1d09&amp;refType=RP&amp;fi=co_pp_sp_162_714&amp;originationContext=document&amp;vr=3.0&amp;rs=cblt1.0&amp;transitionType=DocumentItem&amp;contextData=(sc.RelatedInfo)#co_pp_sp_162_714"/>
  <Relationship Id="r111"
    Type="http://schemas.openxmlformats.org/officeDocument/2006/relationships/hyperlink"
    TargetMode="External"
    Target="http://www.westlaw.com/Link/Document/FullText?findType=Y&amp;serNum=2002141663&amp;pubNum=0000162&amp;originatingDoc=I42d03ae0acab11eba76c8dd6462f1d09&amp;refType=RP&amp;fi=co_pp_sp_162_1184&amp;originationContext=document&amp;vr=3.0&amp;rs=cblt1.0&amp;transitionType=DocumentItem&amp;contextData=(sc.RelatedInfo)#co_pp_sp_162_1184"/>
  <Relationship Id="r112"
    Type="http://schemas.openxmlformats.org/officeDocument/2006/relationships/hyperlink"
    TargetMode="External"
    Target="http://www.westlaw.com/Link/Document/FullText?findType=Y&amp;serNum=1992171778&amp;pubNum=0000999&amp;originatingDoc=I42d03ae0acab11eba76c8dd6462f1d09&amp;refType=RP&amp;fi=co_pp_sp_999_7&amp;originationContext=document&amp;vr=3.0&amp;rs=cblt1.0&amp;transitionType=DocumentItem&amp;contextData=(sc.RelatedInfo)#co_pp_sp_999_7"/>
  <Relationship Id="r113"
    Type="http://schemas.openxmlformats.org/officeDocument/2006/relationships/hyperlink"
    TargetMode="External"
    Target="http://www.westlaw.com/Link/Document/FullText?findType=Y&amp;serNum=1992171778&amp;pubNum=0000999&amp;originatingDoc=I42d03ae0acab11eba76c8dd6462f1d09&amp;refType=RP&amp;fi=co_pp_sp_999_7&amp;originationContext=document&amp;vr=3.0&amp;rs=cblt1.0&amp;transitionType=DocumentItem&amp;contextData=(sc.RelatedInfo)#co_pp_sp_999_7"/>
  <Relationship Id="r114"
    Type="http://schemas.openxmlformats.org/officeDocument/2006/relationships/hyperlink"
    TargetMode="External"
    Target="http://www.westlaw.com/Link/Document/FullText?findType=Y&amp;serNum=1993210099&amp;pubNum=0000999&amp;originatingDoc=I42d03ae0acab11eba76c8dd6462f1d09&amp;refType=RP&amp;fi=co_pp_sp_999_12&amp;originationContext=document&amp;vr=3.0&amp;rs=cblt1.0&amp;transitionType=DocumentItem&amp;contextData=(sc.RelatedInfo)#co_pp_sp_999_12"/>
  <Relationship Id="r115"
    Type="http://schemas.openxmlformats.org/officeDocument/2006/relationships/hyperlink"
    TargetMode="External"
    Target="http://www.westlaw.com/Link/Document/FullText?findType=Y&amp;serNum=2026169302&amp;pubNum=0007691&amp;originatingDoc=I42d03ae0acab11eba76c8dd6462f1d09&amp;refType=RP&amp;fi=co_pp_sp_7691_468&amp;originationContext=document&amp;vr=3.0&amp;rs=cblt1.0&amp;transitionType=DocumentItem&amp;contextData=(sc.RelatedInfo)#co_pp_sp_7691_468"/>
  <Relationship Id="r116"
    Type="http://schemas.openxmlformats.org/officeDocument/2006/relationships/hyperlink"
    TargetMode="External"
    Target="http://www.westlaw.com/Link/Document/FullText?findType=Y&amp;serNum=2009683626&amp;pubNum=0000162&amp;originatingDoc=I42d03ae0acab11eba76c8dd6462f1d09&amp;refType=RP&amp;fi=co_pp_sp_162_1154&amp;originationContext=document&amp;vr=3.0&amp;rs=cblt1.0&amp;transitionType=DocumentItem&amp;contextData=(sc.RelatedInfo)#co_pp_sp_162_1154"/>
  <Relationship Id="r117"
    Type="http://schemas.openxmlformats.org/officeDocument/2006/relationships/hyperlink"
    TargetMode="External"
    Target="http://www.westlaw.com/Link/Document/FullText?findType=Y&amp;serNum=1996097915&amp;pubNum=0000162&amp;originatingDoc=I42d03ae0acab11eba76c8dd6462f1d09&amp;refType=RP&amp;fi=co_pp_sp_162_445&amp;originationContext=document&amp;vr=3.0&amp;rs=cblt1.0&amp;transitionType=DocumentItem&amp;contextData=(sc.RelatedInfo)#co_pp_sp_162_445"/>
  <Relationship Id="r118"
    Type="http://schemas.openxmlformats.org/officeDocument/2006/relationships/hyperlink"
    TargetMode="External"
    Target="http://www.westlaw.com/Link/Document/FullText?findType=Y&amp;serNum=2001180188&amp;pubNum=0000162&amp;originatingDoc=I42d03ae0acab11eba76c8dd6462f1d09&amp;refType=RP&amp;fi=co_pp_sp_162_441&amp;originationContext=document&amp;vr=3.0&amp;rs=cblt1.0&amp;transitionType=DocumentItem&amp;contextData=(sc.RelatedInfo)#co_pp_sp_162_441"/>
  <Relationship Id="r119"
    Type="http://schemas.openxmlformats.org/officeDocument/2006/relationships/hyperlink"
    TargetMode="External"
    Target="http://www.westlaw.com/Link/Document/FullText?findType=Y&amp;serNum=2050460584&amp;pubNum=0000999&amp;originatingDoc=I42d03ae0acab11eba76c8dd6462f1d09&amp;refType=RP&amp;fi=co_pp_sp_999_22&amp;originationContext=document&amp;vr=3.0&amp;rs=cblt1.0&amp;transitionType=DocumentItem&amp;contextData=(sc.RelatedInfo)#co_pp_sp_999_22"/>
  <Relationship Id="r120"
    Type="http://schemas.openxmlformats.org/officeDocument/2006/relationships/hyperlink"
    TargetMode="External"
    Target="http://www.westlaw.com/Link/Document/FullText?findType=Y&amp;serNum=1981120532&amp;pubNum=0000162&amp;originatingDoc=I42d03ae0acab11eba76c8dd6462f1d09&amp;refType=RP&amp;fi=co_pp_sp_162_501&amp;originationContext=document&amp;vr=3.0&amp;rs=cblt1.0&amp;transitionType=DocumentItem&amp;contextData=(sc.RelatedInfo)#co_pp_sp_162_501"/>
  <Relationship Id="r121"
    Type="http://schemas.openxmlformats.org/officeDocument/2006/relationships/hyperlink"
    TargetMode="External"
    Target="http://www.westlaw.com/Link/Document/FullText?findType=Y&amp;serNum=1983112756&amp;pubNum=0000162&amp;originatingDoc=I42d03ae0acab11eba76c8dd6462f1d09&amp;refType=RP&amp;fi=co_pp_sp_162_704&amp;originationContext=document&amp;vr=3.0&amp;rs=cblt1.0&amp;transitionType=DocumentItem&amp;contextData=(sc.RelatedInfo)#co_pp_sp_162_704"/>
  <Relationship Id="r122"
    Type="http://schemas.openxmlformats.org/officeDocument/2006/relationships/hyperlink"
    TargetMode="External"
    Target="http://www.westlaw.com/Link/Document/FullText?findType=Y&amp;serNum=1988079124&amp;pubNum=0000162&amp;originatingDoc=I42d03ae0acab11eba76c8dd6462f1d09&amp;refType=RP&amp;fi=co_pp_sp_162_1191&amp;originationContext=document&amp;vr=3.0&amp;rs=cblt1.0&amp;transitionType=DocumentItem&amp;contextData=(sc.RelatedInfo)#co_pp_sp_162_1191"/>
  <Relationship Id="r123"
    Type="http://schemas.openxmlformats.org/officeDocument/2006/relationships/hyperlink"
    TargetMode="External"
    Target="http://www.westlaw.com/Link/Document/FullText?findType=Y&amp;serNum=1993241544&amp;pubNum=0000162&amp;originatingDoc=I42d03ae0acab11eba76c8dd6462f1d09&amp;refType=RP&amp;fi=co_pp_sp_162_372&amp;originationContext=document&amp;vr=3.0&amp;rs=cblt1.0&amp;transitionType=DocumentItem&amp;contextData=(sc.RelatedInfo)#co_pp_sp_162_372"/>
  <Relationship Id="r124"
    Type="http://schemas.openxmlformats.org/officeDocument/2006/relationships/hyperlink"
    TargetMode="External"
    Target="http://www.westlaw.com/Link/Document/FullText?findType=Y&amp;serNum=1991110210&amp;pubNum=0000162&amp;originatingDoc=I42d03ae0acab11eba76c8dd6462f1d09&amp;refType=RP&amp;fi=co_pp_sp_162_466&amp;originationContext=document&amp;vr=3.0&amp;rs=cblt1.0&amp;transitionType=DocumentItem&amp;contextData=(sc.RelatedInfo)#co_pp_sp_162_466"/>
  <Relationship Id="r125"
    Type="http://schemas.openxmlformats.org/officeDocument/2006/relationships/hyperlink"
    TargetMode="External"
    Target="http://www.westlaw.com/Link/Document/FullText?findType=Y&amp;serNum=2044935086&amp;pubNum=0000999&amp;originatingDoc=I42d03ae0acab11eba76c8dd6462f1d09&amp;refType=RP&amp;fi=co_pp_sp_999_49&amp;originationContext=document&amp;vr=3.0&amp;rs=cblt1.0&amp;transitionType=DocumentItem&amp;contextData=(sc.RelatedInfo)#co_pp_sp_999_49"/>
  <Relationship Id="r126"
    Type="http://schemas.openxmlformats.org/officeDocument/2006/relationships/hyperlink"
    TargetMode="External"
    Target="http://www.westlaw.com/Link/Document/FullText?findType=Y&amp;serNum=2000049100&amp;pubNum=0000162&amp;originatingDoc=I42d03ae0acab11eba76c8dd6462f1d09&amp;refType=RP&amp;originationContext=document&amp;vr=3.0&amp;rs=cblt1.0&amp;transitionType=DocumentItem&amp;contextData=(sc.RelatedInfo)"/>
  <Relationship Id="r127"
    Type="http://schemas.openxmlformats.org/officeDocument/2006/relationships/hyperlink"
    TargetMode="External"
    Target="http://www.westlaw.com/Link/Document/FullText?findType=Y&amp;serNum=2032907253&amp;pubNum=0007691&amp;originatingDoc=I42d03ae0acab11eba76c8dd6462f1d09&amp;refType=RP&amp;fi=co_pp_sp_7691_38&amp;originationContext=document&amp;vr=3.0&amp;rs=cblt1.0&amp;transitionType=DocumentItem&amp;contextData=(sc.RelatedInfo)#co_pp_sp_7691_38"/>
  <Relationship Id="r128"
    Type="http://schemas.openxmlformats.org/officeDocument/2006/relationships/hyperlink"
    TargetMode="External"
    Target="http://www.westlaw.com/Link/Document/FullText?findType=Y&amp;serNum=2032907253&amp;pubNum=0007691&amp;originatingDoc=I42d03ae0acab11eba76c8dd6462f1d09&amp;refType=RP&amp;fi=co_pp_sp_7691_38&amp;originationContext=document&amp;vr=3.0&amp;rs=cblt1.0&amp;transitionType=DocumentItem&amp;contextData=(sc.RelatedInfo)#co_pp_sp_7691_38"/>
  <Relationship Id="r129"
    Type="http://schemas.openxmlformats.org/officeDocument/2006/relationships/hyperlink"
    TargetMode="External"
    Target="http://www.westlaw.com/Link/Document/FullText?findType=Y&amp;serNum=1996097915&amp;pubNum=0000162&amp;originatingDoc=I42d03ae0acab11eba76c8dd6462f1d09&amp;refType=RP&amp;fi=co_pp_sp_162_445&amp;originationContext=document&amp;vr=3.0&amp;rs=cblt1.0&amp;transitionType=DocumentItem&amp;contextData=(sc.RelatedInfo)#co_pp_sp_162_445"/>
  <Relationship Id="r130"
    Type="http://schemas.openxmlformats.org/officeDocument/2006/relationships/hyperlink"
    TargetMode="External"
    Target="http://www.westlaw.com/Link/Document/FullText?findType=Y&amp;serNum=1939116068&amp;pubNum=0000162&amp;originatingDoc=I42d03ae0acab11eba76c8dd6462f1d09&amp;refType=RP&amp;fi=co_pp_sp_162_510&amp;originationContext=document&amp;vr=3.0&amp;rs=cblt1.0&amp;transitionType=DocumentItem&amp;contextData=(sc.RelatedInfo)#co_pp_sp_162_510"/>
  <Relationship Id="r131"
    Type="http://schemas.openxmlformats.org/officeDocument/2006/relationships/hyperlink"
    TargetMode="External"
    Target="http://www.westlaw.com/Link/Document/FullText?findType=Y&amp;serNum=2001180188&amp;pubNum=0000162&amp;originatingDoc=I42d03ae0acab11eba76c8dd6462f1d09&amp;refType=RP&amp;fi=co_pp_sp_162_441&amp;originationContext=document&amp;vr=3.0&amp;rs=cblt1.0&amp;transitionType=DocumentItem&amp;contextData=(sc.RelatedInfo)#co_pp_sp_162_441"/>
  <Relationship Id="r132"
    Type="http://schemas.openxmlformats.org/officeDocument/2006/relationships/hyperlink"
    TargetMode="External"
    Target="http://www.westlaw.com/Link/Document/FullText?findType=Y&amp;serNum=1986134015&amp;pubNum=0000780&amp;originatingDoc=I42d03ae0acab11eba76c8dd6462f1d09&amp;refType=RP&amp;fi=co_pp_sp_780_660&amp;originationContext=document&amp;vr=3.0&amp;rs=cblt1.0&amp;transitionType=DocumentItem&amp;contextData=(sc.RelatedInfo)#co_pp_sp_780_660"/>
  <Relationship Id="r133"
    Type="http://schemas.openxmlformats.org/officeDocument/2006/relationships/hyperlink"
    TargetMode="External"
    Target="http://www.westlaw.com/Link/Document/FullText?findType=Y&amp;serNum=2031171366&amp;pubNum=0000999&amp;originatingDoc=I42d03ae0acab11eba76c8dd6462f1d09&amp;refType=RP&amp;fi=co_pp_sp_999_4&amp;originationContext=document&amp;vr=3.0&amp;rs=cblt1.0&amp;transitionType=DocumentItem&amp;contextData=(sc.RelatedInfo)#co_pp_sp_999_4"/>
  <Relationship Id="r134"
    Type="http://schemas.openxmlformats.org/officeDocument/2006/relationships/hyperlink"
    TargetMode="External"
    Target="http://www.westlaw.com/Link/Document/FullText?findType=Y&amp;serNum=2042330733&amp;pubNum=0000999&amp;originatingDoc=I42d03ae0acab11eba76c8dd6462f1d09&amp;refType=RP&amp;fi=co_pp_sp_999_36&amp;originationContext=document&amp;vr=3.0&amp;rs=cblt1.0&amp;transitionType=DocumentItem&amp;contextData=(sc.RelatedInfo)#co_pp_sp_999_36"/>
  <Relationship Id="r135"
    Type="http://schemas.openxmlformats.org/officeDocument/2006/relationships/hyperlink"
    TargetMode="External"
    Target="http://www.westlaw.com/Link/Document/FullText?findType=Y&amp;serNum=2036274621&amp;pubNum=0000999&amp;originatingDoc=I42d03ae0acab11eba76c8dd6462f1d09&amp;refType=RP&amp;fi=co_pp_sp_999_2&amp;originationContext=document&amp;vr=3.0&amp;rs=cblt1.0&amp;transitionType=DocumentItem&amp;contextData=(sc.RelatedInfo)#co_pp_sp_999_2"/>
  <Relationship Id="r136"
    Type="http://schemas.openxmlformats.org/officeDocument/2006/relationships/hyperlink"
    TargetMode="External"
    Target="http://www.westlaw.com/Link/Document/FullText?findType=Y&amp;serNum=1988047947&amp;pubNum=0000162&amp;originatingDoc=I42d03ae0acab11eba76c8dd6462f1d09&amp;refType=RP&amp;fi=co_pp_sp_162_409&amp;originationContext=document&amp;vr=3.0&amp;rs=cblt1.0&amp;transitionType=DocumentItem&amp;contextData=(sc.RelatedInfo)#co_pp_sp_162_409"/>
  <Relationship Id="r137"
    Type="http://schemas.openxmlformats.org/officeDocument/2006/relationships/hyperlink"
    TargetMode="External"
    Target="http://www.westlaw.com/Link/Document/FullText?findType=Y&amp;serNum=1966115747&amp;pubNum=0000162&amp;originatingDoc=I42d03ae0acab11eba76c8dd6462f1d09&amp;refType=RP&amp;fi=co_pp_sp_162_781&amp;originationContext=document&amp;vr=3.0&amp;rs=cblt1.0&amp;transitionType=DocumentItem&amp;contextData=(sc.RelatedInfo)#co_pp_sp_162_781"/>
  <Relationship Id="r138"
    Type="http://schemas.openxmlformats.org/officeDocument/2006/relationships/hyperlink"
    TargetMode="External"
    Target="http://www.westlaw.com/Link/Document/FullText?findType=L&amp;pubNum=1000005&amp;cite=DESTT6S2301&amp;originatingDoc=I42d03ae0acab11eba76c8dd6462f1d09&amp;refType=SP&amp;originationContext=document&amp;vr=3.0&amp;rs=cblt1.0&amp;transitionType=DocumentItem&amp;contextData=(sc.RelatedInfo)#co_pp_5ba1000067d06"/>
  <Relationship Id="r139"
    Type="http://schemas.openxmlformats.org/officeDocument/2006/relationships/hyperlink"
    TargetMode="External"
    Target="http://www.westlaw.com/Link/Document/FullText?findType=Y&amp;serNum=2012322127&amp;pubNum=0000162&amp;originatingDoc=I42d03ae0acab11eba76c8dd6462f1d09&amp;refType=RP&amp;fi=co_pp_sp_162_755&amp;originationContext=document&amp;vr=3.0&amp;rs=cblt1.0&amp;transitionType=DocumentItem&amp;contextData=(sc.RelatedInfo)#co_pp_sp_162_755"/>
</Relationships>

</file>

<file path=_rels/footer1.xml.rels><?xml version="1.0" encoding="UTF-8"?>
<Relationships xmlns="http://schemas.openxmlformats.org/package/2006/relationships">
  <Relationship Id="r1"
    Type="http://schemas.openxmlformats.org/officeDocument/2006/relationships/image"
    Target="images/1.png"/>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co_document_1"/>
    <w:p>
      <w:pPr>
        <w:pBdr>
          <w:top w:val="none" w:space="4"/>
        </w:pBdr>
        <w:spacing w:before="0" w:after="0" w:line="275" w:lineRule="atLeast"/>
        <w:jc w:val="both"/>
      </w:pPr>
      <w:bookmarkStart w:id="1" w:name="I42d03ae0acab11eba76c8dd6462f1d09_Targe"/>
      <w:bookmarkEnd w:id="1"/>
    </w:p>
    <w:bookmarkEnd w:id="0"/>
    <w:p>
      <w:pPr>
        <w:spacing w:before="0" w:after="0" w:line="275" w:lineRule="atLeast"/>
        <w:jc w:val="center"/>
      </w:pPr>
      <w:r>
        <w:rPr>
          <w:rFonts w:ascii="Georgia" w:hAnsi="Georgia"/>
          <w:color w:val="000000"/>
          <w:sz w:val="20"/>
        </w:rPr>
        <w:t>2021 WL 1734863 (Del.Ch.) (Trial Motion, Memorandum and Affidavit)</w:t>
      </w:r>
    </w:p>
    <w:p>
      <w:pPr>
        <w:spacing w:before="0" w:after="0" w:line="275" w:lineRule="atLeast"/>
        <w:jc w:val="center"/>
      </w:pPr>
      <w:r>
        <w:rPr>
          <w:rFonts w:ascii="Georgia" w:hAnsi="Georgia"/>
          <w:color w:val="000000"/>
          <w:sz w:val="20"/>
        </w:rPr>
        <w:t>Chancery Court of Delaware.</w:t>
      </w:r>
    </w:p>
    <w:p>
      <w:pPr>
        <w:spacing w:before="200" w:after="0" w:line="300" w:lineRule="atLeast"/>
        <w:ind w:left="100" w:right="100" w:firstLine="0"/>
        <w:jc w:val="center"/>
      </w:pPr>
      <w:r>
        <w:rPr>
          <w:rFonts w:ascii="Georgia" w:hAnsi="Georgia"/>
          <w:color w:val="252525"/>
          <w:sz w:val="20"/>
        </w:rPr>
        <w:t>In re CELLULAR TELEPHONE PARTNERSHIP LITIGATION.</w:t>
      </w:r>
    </w:p>
    <w:p>
      <w:pPr>
        <w:spacing w:before="200" w:after="0" w:line="275" w:lineRule="atLeast"/>
        <w:jc w:val="center"/>
      </w:pPr>
      <w:r>
        <w:rPr>
          <w:rFonts w:ascii="Times New Roman" w:hAnsi="Times New Roman"/>
          <w:color w:val="000000"/>
          <w:sz w:val="20"/>
        </w:rPr>
        <w:t>No. 6885-VCL.</w:t>
      </w:r>
    </w:p>
    <w:p>
      <w:pPr>
        <w:spacing w:before="0" w:after="0" w:line="275" w:lineRule="atLeast"/>
        <w:jc w:val="center"/>
      </w:pPr>
      <w:r>
        <w:rPr>
          <w:rFonts w:ascii="Georgia" w:hAnsi="Georgia"/>
          <w:color w:val="000000"/>
          <w:sz w:val="20"/>
        </w:rPr>
        <w:t>April 28, 2021.</w:t>
      </w:r>
    </w:p>
    <w:p>
      <w:pPr>
        <w:spacing w:before="400" w:after="0" w:line="275" w:lineRule="atLeast"/>
        <w:jc w:val="center"/>
      </w:pPr>
      <w:r>
        <w:rPr>
          <w:rFonts w:ascii="Times New Roman" w:hAnsi="Times New Roman"/>
          <w:b/>
          <w:color w:val="000000"/>
          <w:sz w:val="20"/>
        </w:rPr>
        <w:t>Plaintiffs' Post-Trial Answering Brief in Support of Their Breach of Fiduciary Duty Claims</w:t>
      </w:r>
    </w:p>
    <w:p>
      <w:pPr>
        <w:spacing w:before="400" w:after="0" w:line="275" w:lineRule="atLeast"/>
        <w:jc w:val="both"/>
      </w:pPr>
      <w:r>
        <w:rPr>
          <w:rFonts w:ascii="Times New Roman" w:hAnsi="Times New Roman"/>
          <w:color w:val="000000"/>
          <w:sz w:val="20"/>
        </w:rPr>
        <w:t xml:space="preserve">Cooch and Taylor, P.A., </w:t>
      </w:r>
      <w:hyperlink r:id="r7">
        <w:r>
          <w:rPr>
            <w:rFonts w:ascii="Times New Roman" w:hAnsi="Times New Roman"/>
            <w:color w:val="000000"/>
            <w:sz w:val="20"/>
          </w:rPr>
          <w:t>Carmella P. Keener</w:t>
        </w:r>
      </w:hyperlink>
      <w:r>
        <w:rPr>
          <w:rFonts w:ascii="Times New Roman" w:hAnsi="Times New Roman"/>
          <w:color w:val="000000"/>
          <w:sz w:val="20"/>
        </w:rPr>
        <w:t xml:space="preserve"> (#2810), The Nemours Building, 1007 North Orange Street, Suite 1120, Wilmington, Delaware 19801, (302) 984-3816, Of Counsel: Ajamie LLP, </w:t>
      </w:r>
      <w:hyperlink r:id="r8">
        <w:r>
          <w:rPr>
            <w:rFonts w:ascii="Times New Roman" w:hAnsi="Times New Roman"/>
            <w:color w:val="000000"/>
            <w:sz w:val="20"/>
          </w:rPr>
          <w:t>Thomas R. Ajamie</w:t>
        </w:r>
      </w:hyperlink>
      <w:r>
        <w:rPr>
          <w:rFonts w:ascii="Times New Roman" w:hAnsi="Times New Roman"/>
          <w:color w:val="000000"/>
          <w:sz w:val="20"/>
        </w:rPr>
        <w:t xml:space="preserve">, </w:t>
      </w:r>
      <w:hyperlink r:id="r9">
        <w:r>
          <w:rPr>
            <w:rFonts w:ascii="Times New Roman" w:hAnsi="Times New Roman"/>
            <w:color w:val="000000"/>
            <w:sz w:val="20"/>
          </w:rPr>
          <w:t>David S. Siegel</w:t>
        </w:r>
      </w:hyperlink>
      <w:r>
        <w:rPr>
          <w:rFonts w:ascii="Times New Roman" w:hAnsi="Times New Roman"/>
          <w:color w:val="000000"/>
          <w:sz w:val="20"/>
        </w:rPr>
        <w:t xml:space="preserve">, </w:t>
      </w:r>
      <w:hyperlink r:id="r10">
        <w:r>
          <w:rPr>
            <w:rFonts w:ascii="Times New Roman" w:hAnsi="Times New Roman"/>
            <w:color w:val="000000"/>
            <w:sz w:val="20"/>
          </w:rPr>
          <w:t>Ryan van Steenis</w:t>
        </w:r>
      </w:hyperlink>
      <w:r>
        <w:rPr>
          <w:rFonts w:ascii="Times New Roman" w:hAnsi="Times New Roman"/>
          <w:color w:val="000000"/>
          <w:sz w:val="20"/>
        </w:rPr>
        <w:t>, Pennzoil Place, South Tower, 711 Louisiana Street, Suite 2150, Houston, Texas 77002, (713) 860-1600, Michael A. Pullara, 1111 Hermann Drive, Suite 21A, Houston, Texas 77004, (713) 522-0733, for APR Plaintiffs.</w:t>
      </w:r>
    </w:p>
    <w:p>
      <w:pPr>
        <w:spacing w:before="200" w:after="0" w:line="275" w:lineRule="atLeast"/>
        <w:jc w:val="both"/>
      </w:pPr>
      <w:r>
        <w:rPr>
          <w:rFonts w:ascii="Times New Roman" w:hAnsi="Times New Roman"/>
          <w:color w:val="000000"/>
          <w:sz w:val="20"/>
        </w:rPr>
        <w:t xml:space="preserve">Prickett, Jones &amp; Elliott, P.A., </w:t>
      </w:r>
      <w:hyperlink r:id="r11">
        <w:r>
          <w:rPr>
            <w:rFonts w:ascii="Times New Roman" w:hAnsi="Times New Roman"/>
            <w:color w:val="000000"/>
            <w:sz w:val="20"/>
          </w:rPr>
          <w:t>Marcus E. Montejo</w:t>
        </w:r>
      </w:hyperlink>
      <w:r>
        <w:rPr>
          <w:rFonts w:ascii="Times New Roman" w:hAnsi="Times New Roman"/>
          <w:color w:val="000000"/>
          <w:sz w:val="20"/>
        </w:rPr>
        <w:t xml:space="preserve"> (#4890), </w:t>
      </w:r>
      <w:hyperlink r:id="r12">
        <w:r>
          <w:rPr>
            <w:rFonts w:ascii="Times New Roman" w:hAnsi="Times New Roman"/>
            <w:color w:val="000000"/>
            <w:sz w:val="20"/>
          </w:rPr>
          <w:t>Kevin H. Davenport</w:t>
        </w:r>
      </w:hyperlink>
      <w:r>
        <w:rPr>
          <w:rFonts w:ascii="Times New Roman" w:hAnsi="Times New Roman"/>
          <w:color w:val="000000"/>
          <w:sz w:val="20"/>
        </w:rPr>
        <w:t xml:space="preserve"> (#5327), </w:t>
      </w:r>
      <w:hyperlink r:id="r13">
        <w:r>
          <w:rPr>
            <w:rFonts w:ascii="Times New Roman" w:hAnsi="Times New Roman"/>
            <w:color w:val="000000"/>
            <w:sz w:val="20"/>
          </w:rPr>
          <w:t>John G. Day</w:t>
        </w:r>
      </w:hyperlink>
      <w:r>
        <w:rPr>
          <w:rFonts w:ascii="Times New Roman" w:hAnsi="Times New Roman"/>
          <w:color w:val="000000"/>
          <w:sz w:val="20"/>
        </w:rPr>
        <w:t xml:space="preserve"> (#6023), 1310 King Street, Wilmington, Delaware 19801, (302) 888-6500, for Prickett Plaintiffs.</w:t>
      </w:r>
    </w:p>
    <w:p>
      <w:pPr>
        <w:spacing w:before="200" w:after="0" w:line="275" w:lineRule="atLeast"/>
        <w:jc w:val="both"/>
      </w:pPr>
      <w:r>
        <w:rPr>
          <w:rFonts w:ascii="Times New Roman" w:hAnsi="Times New Roman"/>
          <w:color w:val="000000"/>
          <w:sz w:val="20"/>
        </w:rPr>
        <w:t>THIS FILING APPLIES TO ALL COORDINATED ACTIONS</w:t>
      </w:r>
    </w:p>
    <w:p>
      <w:pPr>
        <w:spacing w:before="0" w:after="0" w:line="275" w:lineRule="atLeast"/>
        <w:jc w:val="both"/>
      </w:pPr>
      <w:r>
        <w:rPr>
          <w:rFonts w:ascii="Times New Roman" w:hAnsi="Times New Roman"/>
          <w:color w:val="000000"/>
          <w:sz w:val="20"/>
        </w:rPr>
        <w:t> </w:t>
      </w:r>
    </w:p>
    <w:p>
      <w:pPr>
        <w:spacing w:before="0" w:after="0" w:line="240" w:lineRule="auto"/>
        <w:rPr>
          <w:sz w:val="20"/>
        </w:rPr>
      </w:pPr>
    </w:p>
    <w:tbl>
      <w:tblPr>
        <w:tblInd w:w="30" w:type="dxa"/>
        <w:tblLayout w:type="fixed"/>
      </w:tblPr>
      <w:tblGrid>
        <w:gridCol w:w="8745"/>
        <w:gridCol w:w="1320"/>
      </w:tblGrid>
      <w:bookmarkStart w:id="2" w:name="co_anchor_I7059bad6adb411ec8c80dd32e620"/>
      <w:tr>
        <w:tblPrEx/>
        <w:trPr/>
        <w:tc>
          <w:tcPr>
            <w:hMerge w:val="restart"/>
            <w:tcMar>
              <w:left w:w="30" w:type="dxa"/>
            </w:tcMar>
            <w:vAlign w:val="top"/>
          </w:tcPr>
          <w:p>
            <w:pPr>
              <w:spacing w:before="0" w:after="0" w:line="235" w:lineRule="atLeast"/>
              <w:jc w:val="center"/>
            </w:pPr>
            <w:r>
              <w:rPr>
                <w:rFonts w:ascii="Times New Roman" w:hAnsi="Times New Roman"/>
                <w:b/>
                <w:color w:val="000000"/>
                <w:sz w:val="20"/>
              </w:rPr>
              <w:t>TABLE OF CONTENTS</w:t>
            </w:r>
          </w:p>
        </w:tc>
        <w:tc>
          <w:tcPr>
            <w:hMerge w:val="continue"/>
            <w:tcMar>
              <w:right w:w="30" w:type="dxa"/>
            </w:tcMar>
            <w:vAlign w:val="top"/>
          </w:tcPr>
          <w:p>
            <w:pPr>
              <w:spacing w:before="0" w:after="0" w:line="240" w:lineRule="auto"/>
              <w:rPr>
                <w:rFonts w:ascii="Times New Roman" w:hAnsi="Times New Roman"/>
                <w:color w:val="000000"/>
                <w:sz w:val="20"/>
              </w:rPr>
            </w:pPr>
          </w:p>
        </w:tc>
      </w:tr>
      <w:bookmarkEnd w:id="2"/>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PRELIMINARY STATEMENT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ARGUMENT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 AT&amp;T BREACHED ITS DUTY OF LOYALTY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 The Transactions Were Not the Product of Fair Dealing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1. AT&amp;T Timed the Transactions for Its Own Benefit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9</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 4G and Expected Data Explosion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b. AT&amp;T Did Not Want to Share Profits with Partners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13</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2. AT&amp;T Initiated the Transactions for Its Own Benefit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15</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3. Transaction Terms Were Dictated, Not Negotiated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18</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4. AT&amp;T's Coercive Offer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22</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B. AT&amp;T Did Not Pay a Fair Price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23</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1. PwC's Valuations Are Unreliable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24</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2. Ms. Taylor's Opinions Are Neither Reliable nor Credible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25</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 Weighting of Methodologies Is Contrived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27</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b. Contradictory Prior Opinion on Tax Benefits Realized by Corporate Buyers of Pass-Though Entity Assets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c. The So-Called “Size Premium.”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34</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d. Unsupported Use of a 10-Year Projection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e. Long-Term Demise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46</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f Subscriber Revenue Assumptions Are Unreliable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49</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g. Market Approach Assumptions and Adjustments Are Unreliable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55</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II. PLAINTIFFS ARE ENTITLED TO $148,289,060 IN DAMAGES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61</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 Plaintiffs' Estimation of Damages Is Responsible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62</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1. Damages Should Be Calculated Pre-Tax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63</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2. A 3-Year Projection Period Is Reliable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3. Mr. Musey Provides the Most Reliable Revenue Projections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4. Expenses Are Not Understated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77</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5. AT&amp;T's WACC Is Appropriate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78</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6. 3% Growth Rate Is a Responsible Estimate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80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B. A Gut Check: AT&amp;T Knew the Value of What It Was Wrongfully Taking from the Minority Partners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81</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III. AWARD OF ATTORNEYS' FEES AND EXPENSES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87</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IV. INTEREST AND COSTS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88</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CONCLUSION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89</w:t>
            </w:r>
          </w:p>
        </w:tc>
      </w:tr>
    </w:tbl>
    <w:p>
      <w:pPr>
        <w:spacing w:before="0" w:after="0" w:line="240" w:lineRule="auto"/>
        <w:rPr>
          <w:sz w:val="20"/>
        </w:rPr>
      </w:pPr>
    </w:p>
    <w:tbl>
      <w:tblPr>
        <w:tblInd w:w="30" w:type="dxa"/>
        <w:tblLayout w:type="fixed"/>
      </w:tblPr>
      <w:tblGrid>
        <w:gridCol w:w="5745"/>
        <w:gridCol w:w="4305"/>
      </w:tblGrid>
      <w:bookmarkStart w:id="3" w:name="co_anchor_I7059bad7adb411ec8c80dd32e620"/>
      <w:tr>
        <w:tblPrEx/>
        <w:trPr/>
        <w:tc>
          <w:tcPr>
            <w:hMerge w:val="restart"/>
            <w:tcMar>
              <w:left w:w="30" w:type="dxa"/>
            </w:tcMar>
            <w:vAlign w:val="top"/>
          </w:tcPr>
          <w:p>
            <w:pPr>
              <w:spacing w:before="0" w:after="0" w:line="235" w:lineRule="atLeast"/>
              <w:jc w:val="center"/>
            </w:pPr>
            <w:r>
              <w:rPr>
                <w:rFonts w:ascii="Times New Roman" w:hAnsi="Times New Roman"/>
                <w:b/>
                <w:color w:val="000000"/>
                <w:sz w:val="20"/>
              </w:rPr>
              <w:t>TABLE OF AUTHORITIES</w:t>
            </w:r>
          </w:p>
        </w:tc>
        <w:tc>
          <w:tcPr>
            <w:hMerge w:val="continue"/>
            <w:tcMar>
              <w:right w:w="30" w:type="dxa"/>
            </w:tcMar>
            <w:vAlign w:val="top"/>
          </w:tcPr>
          <w:p>
            <w:pPr>
              <w:spacing w:before="0" w:after="0" w:line="240" w:lineRule="auto"/>
              <w:rPr>
                <w:rFonts w:ascii="Times New Roman" w:hAnsi="Times New Roman"/>
                <w:color w:val="000000"/>
                <w:sz w:val="20"/>
              </w:rPr>
            </w:pPr>
          </w:p>
        </w:tc>
      </w:tr>
      <w:bookmarkEnd w:id="3"/>
      <w:tr>
        <w:tblPrEx/>
        <w:trPr/>
        <w:tc>
          <w:tcPr>
            <w:hMerge w:val="restart"/>
            <w:tcMar>
              <w:left w:w="30" w:type="dxa"/>
            </w:tcMar>
            <w:vAlign w:val="top"/>
          </w:tcPr>
          <w:p>
            <w:pPr>
              <w:spacing w:before="0" w:after="0" w:line="235" w:lineRule="atLeast"/>
            </w:pPr>
            <w:r>
              <w:rPr>
                <w:rFonts w:ascii="Times New Roman" w:hAnsi="Times New Roman"/>
                <w:b/>
                <w:color w:val="000000"/>
                <w:sz w:val="20"/>
              </w:rPr>
              <w:t>CASES</w:t>
            </w:r>
          </w:p>
        </w:tc>
        <w:tc>
          <w:tcPr>
            <w:hMerge w:val="continue"/>
            <w:tcMar>
              <w:right w:w="30" w:type="dxa"/>
            </w:tcMar>
            <w:vAlign w:val="top"/>
          </w:tcPr>
          <w:p>
            <w:pPr>
              <w:spacing w:before="0" w:after="0" w:line="240" w:lineRule="auto"/>
              <w:rPr>
                <w:rFonts w:ascii="Times New Roman" w:hAnsi="Times New Roman"/>
                <w:color w:val="000000"/>
                <w:sz w:val="20"/>
              </w:rPr>
            </w:pPr>
          </w:p>
        </w:tc>
      </w:tr>
      <w:tr>
        <w:tblPrEx/>
        <w:trPr/>
        <w:tc>
          <w:tcPr>
            <w:tcMar>
              <w:left w:w="30" w:type="dxa"/>
              <w:right w:w="30" w:type="dxa"/>
            </w:tcMar>
            <w:vAlign w:val="top"/>
          </w:tcPr>
          <w:p>
            <w:pPr>
              <w:tabs>
                <w:tab w:val="right" w:pos="5665" w:leader="dot"/>
              </w:tabs>
              <w:spacing w:before="0" w:after="0" w:line="235" w:lineRule="atLeast"/>
            </w:pPr>
            <w:hyperlink r:id="r14">
              <w:r>
                <w:rPr>
                  <w:rFonts w:ascii="Times New Roman" w:hAnsi="Times New Roman"/>
                  <w:i/>
                  <w:color w:val="000000"/>
                  <w:sz w:val="20"/>
                </w:rPr>
                <w:t>ACP Master, Ltd. v. Sprint Corp.,</w:t>
              </w:r>
              <w:r>
                <w:rPr>
                  <w:rFonts w:ascii="Times New Roman" w:hAnsi="Times New Roman"/>
                  <w:color w:val="000000"/>
                  <w:sz w:val="20"/>
                </w:rPr>
                <w:t xml:space="preserve"> 2017 WL 3421142 (Del. Ch. July 17, 2017)</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21, 24, 80</w:t>
            </w:r>
          </w:p>
        </w:tc>
      </w:tr>
      <w:tr>
        <w:tblPrEx/>
        <w:trPr/>
        <w:tc>
          <w:tcPr>
            <w:tcMar>
              <w:left w:w="30" w:type="dxa"/>
              <w:right w:w="30" w:type="dxa"/>
            </w:tcMar>
            <w:vAlign w:val="top"/>
          </w:tcPr>
          <w:p>
            <w:pPr>
              <w:tabs>
                <w:tab w:val="right" w:pos="5665" w:leader="dot"/>
              </w:tabs>
              <w:spacing w:before="0" w:after="0" w:line="235" w:lineRule="atLeast"/>
            </w:pPr>
            <w:hyperlink r:id="r15">
              <w:r>
                <w:rPr>
                  <w:rFonts w:ascii="Times New Roman" w:hAnsi="Times New Roman"/>
                  <w:i/>
                  <w:color w:val="000000"/>
                  <w:sz w:val="20"/>
                </w:rPr>
                <w:t>Americas Mining Corp. v. Theriault,</w:t>
              </w:r>
              <w:r>
                <w:rPr>
                  <w:rFonts w:ascii="Times New Roman" w:hAnsi="Times New Roman"/>
                  <w:color w:val="000000"/>
                  <w:sz w:val="20"/>
                </w:rPr>
                <w:t xml:space="preserve"> 51 A.3d 1213 (Del. 2012)</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w:t>
            </w:r>
          </w:p>
        </w:tc>
      </w:tr>
      <w:tr>
        <w:tblPrEx/>
        <w:trPr/>
        <w:tc>
          <w:tcPr>
            <w:tcMar>
              <w:left w:w="30" w:type="dxa"/>
              <w:right w:w="30" w:type="dxa"/>
            </w:tcMar>
            <w:vAlign w:val="top"/>
          </w:tcPr>
          <w:p>
            <w:pPr>
              <w:tabs>
                <w:tab w:val="right" w:pos="5665" w:leader="dot"/>
              </w:tabs>
              <w:spacing w:before="0" w:after="0" w:line="235" w:lineRule="atLeast"/>
            </w:pPr>
            <w:hyperlink r:id="r16">
              <w:r>
                <w:rPr>
                  <w:rFonts w:ascii="Times New Roman" w:hAnsi="Times New Roman"/>
                  <w:i/>
                  <w:color w:val="000000"/>
                  <w:sz w:val="20"/>
                </w:rPr>
                <w:t>In re AT&amp;TMobility Wireless Operations Holdings Appraisal Litig.,</w:t>
              </w:r>
              <w:r>
                <w:rPr>
                  <w:rFonts w:ascii="Times New Roman" w:hAnsi="Times New Roman"/>
                  <w:color w:val="000000"/>
                  <w:sz w:val="20"/>
                </w:rPr>
                <w:t xml:space="preserve"> 2013 WL 3865099 (Del. Ch. June 24, 2013)</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28, 78</w:t>
            </w:r>
          </w:p>
        </w:tc>
      </w:tr>
      <w:tr>
        <w:tblPrEx/>
        <w:trPr/>
        <w:tc>
          <w:tcPr>
            <w:tcMar>
              <w:left w:w="30" w:type="dxa"/>
              <w:right w:w="30" w:type="dxa"/>
            </w:tcMar>
            <w:vAlign w:val="top"/>
          </w:tcPr>
          <w:p>
            <w:pPr>
              <w:tabs>
                <w:tab w:val="right" w:pos="5665" w:leader="dot"/>
              </w:tabs>
              <w:spacing w:before="0" w:after="0" w:line="235" w:lineRule="atLeast"/>
            </w:pPr>
            <w:hyperlink r:id="r17">
              <w:r>
                <w:rPr>
                  <w:rFonts w:ascii="Times New Roman" w:hAnsi="Times New Roman"/>
                  <w:i/>
                  <w:color w:val="000000"/>
                  <w:sz w:val="20"/>
                </w:rPr>
                <w:t>AT&amp;T Mobility Wireless Operations Holdings LLC v. North American Cellular Telephone, Inc.,</w:t>
              </w:r>
              <w:r>
                <w:rPr>
                  <w:rFonts w:ascii="Times New Roman" w:hAnsi="Times New Roman"/>
                  <w:color w:val="000000"/>
                  <w:sz w:val="20"/>
                </w:rPr>
                <w:t xml:space="preserve"> 2013 WL 1213810 (Del. Ch. Mar. 25, 2013)</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24</w:t>
            </w:r>
          </w:p>
        </w:tc>
      </w:tr>
      <w:tr>
        <w:tblPrEx/>
        <w:trPr/>
        <w:tc>
          <w:tcPr>
            <w:tcMar>
              <w:left w:w="30" w:type="dxa"/>
              <w:right w:w="30" w:type="dxa"/>
            </w:tcMar>
            <w:vAlign w:val="top"/>
          </w:tcPr>
          <w:p>
            <w:pPr>
              <w:tabs>
                <w:tab w:val="right" w:pos="5665" w:leader="dot"/>
              </w:tabs>
              <w:spacing w:before="0" w:after="0" w:line="235" w:lineRule="atLeast"/>
            </w:pPr>
            <w:hyperlink r:id="r18">
              <w:r>
                <w:rPr>
                  <w:rFonts w:ascii="Times New Roman" w:hAnsi="Times New Roman"/>
                  <w:i/>
                  <w:color w:val="000000"/>
                  <w:sz w:val="20"/>
                </w:rPr>
                <w:t>B&amp;L Cellular v. USCOC of Greater Iowa, LLC,</w:t>
              </w:r>
              <w:r>
                <w:rPr>
                  <w:rFonts w:ascii="Times New Roman" w:hAnsi="Times New Roman"/>
                  <w:color w:val="000000"/>
                  <w:sz w:val="20"/>
                </w:rPr>
                <w:t xml:space="preserve"> 2014 WL 5342715 (Del. Ch. Oct. 20, 2014)</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passim</w:t>
            </w:r>
          </w:p>
        </w:tc>
      </w:tr>
      <w:tr>
        <w:tblPrEx/>
        <w:trPr/>
        <w:tc>
          <w:tcPr>
            <w:tcMar>
              <w:left w:w="30" w:type="dxa"/>
              <w:right w:w="30" w:type="dxa"/>
            </w:tcMar>
            <w:vAlign w:val="top"/>
          </w:tcPr>
          <w:p>
            <w:pPr>
              <w:tabs>
                <w:tab w:val="right" w:pos="5665" w:leader="dot"/>
              </w:tabs>
              <w:spacing w:before="0" w:after="0" w:line="235" w:lineRule="atLeast"/>
            </w:pPr>
            <w:hyperlink r:id="r19">
              <w:r>
                <w:rPr>
                  <w:rFonts w:ascii="Times New Roman" w:hAnsi="Times New Roman"/>
                  <w:i/>
                  <w:color w:val="000000"/>
                  <w:sz w:val="20"/>
                </w:rPr>
                <w:t>Basho Techs. Holdco B, LLC v. Georgetown Basho Investors LLC,</w:t>
              </w:r>
              <w:r>
                <w:rPr>
                  <w:rFonts w:ascii="Times New Roman" w:hAnsi="Times New Roman"/>
                  <w:color w:val="000000"/>
                  <w:sz w:val="20"/>
                </w:rPr>
                <w:t xml:space="preserve"> 2018 WL 3326693 (Del. Ch. July 6, 2018)</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64</w:t>
            </w:r>
          </w:p>
        </w:tc>
      </w:tr>
      <w:tr>
        <w:tblPrEx/>
        <w:trPr/>
        <w:tc>
          <w:tcPr>
            <w:tcMar>
              <w:left w:w="30" w:type="dxa"/>
              <w:right w:w="30" w:type="dxa"/>
            </w:tcMar>
            <w:vAlign w:val="top"/>
          </w:tcPr>
          <w:p>
            <w:pPr>
              <w:tabs>
                <w:tab w:val="right" w:pos="5665" w:leader="dot"/>
              </w:tabs>
              <w:spacing w:before="0" w:after="0" w:line="235" w:lineRule="atLeast"/>
            </w:pPr>
            <w:hyperlink r:id="r20">
              <w:r>
                <w:rPr>
                  <w:rFonts w:ascii="Times New Roman" w:hAnsi="Times New Roman"/>
                  <w:i/>
                  <w:color w:val="000000"/>
                  <w:sz w:val="20"/>
                </w:rPr>
                <w:t>Beard Research, Inc. v. Kates,</w:t>
              </w:r>
              <w:r>
                <w:rPr>
                  <w:rFonts w:ascii="Times New Roman" w:hAnsi="Times New Roman"/>
                  <w:color w:val="000000"/>
                  <w:sz w:val="20"/>
                </w:rPr>
                <w:t xml:space="preserve"> 2009 WL 7409282 (Del. Ch. Mar. 31, 2009)</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35</w:t>
            </w:r>
          </w:p>
        </w:tc>
      </w:tr>
      <w:tr>
        <w:tblPrEx/>
        <w:trPr/>
        <w:tc>
          <w:tcPr>
            <w:tcMar>
              <w:left w:w="30" w:type="dxa"/>
              <w:right w:w="30" w:type="dxa"/>
            </w:tcMar>
            <w:vAlign w:val="top"/>
          </w:tcPr>
          <w:p>
            <w:pPr>
              <w:tabs>
                <w:tab w:val="right" w:pos="5665" w:leader="dot"/>
              </w:tabs>
              <w:spacing w:before="0" w:after="0" w:line="235" w:lineRule="atLeast"/>
            </w:pPr>
            <w:hyperlink r:id="r21">
              <w:r>
                <w:rPr>
                  <w:rFonts w:ascii="Times New Roman" w:hAnsi="Times New Roman"/>
                  <w:i/>
                  <w:color w:val="000000"/>
                  <w:sz w:val="20"/>
                </w:rPr>
                <w:t>Bomarko, Inc. v. Int'l Telecharge, Inc.,</w:t>
              </w:r>
              <w:r>
                <w:rPr>
                  <w:rFonts w:ascii="Times New Roman" w:hAnsi="Times New Roman"/>
                  <w:color w:val="000000"/>
                  <w:sz w:val="20"/>
                </w:rPr>
                <w:t xml:space="preserve"> 794 A.2d 1161 (Del. Ch. 1999)</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24, 61, 62, 65</w:t>
            </w:r>
          </w:p>
        </w:tc>
      </w:tr>
      <w:tr>
        <w:tblPrEx/>
        <w:trPr/>
        <w:tc>
          <w:tcPr>
            <w:tcMar>
              <w:left w:w="30" w:type="dxa"/>
              <w:right w:w="30" w:type="dxa"/>
            </w:tcMar>
            <w:vAlign w:val="top"/>
          </w:tcPr>
          <w:p>
            <w:pPr>
              <w:tabs>
                <w:tab w:val="right" w:pos="5665" w:leader="dot"/>
              </w:tabs>
              <w:spacing w:before="0" w:after="0" w:line="235" w:lineRule="atLeast"/>
            </w:pPr>
            <w:hyperlink r:id="r22">
              <w:r>
                <w:rPr>
                  <w:rFonts w:ascii="Times New Roman" w:hAnsi="Times New Roman"/>
                  <w:i/>
                  <w:color w:val="000000"/>
                  <w:sz w:val="20"/>
                </w:rPr>
                <w:t>Cede &amp; Co. v. Technicolor, Inc.,</w:t>
              </w:r>
              <w:r>
                <w:rPr>
                  <w:rFonts w:ascii="Times New Roman" w:hAnsi="Times New Roman"/>
                  <w:color w:val="000000"/>
                  <w:sz w:val="20"/>
                </w:rPr>
                <w:t xml:space="preserve"> 542 A.2d 1182 (Del. 1988)</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64</w:t>
            </w:r>
          </w:p>
        </w:tc>
      </w:tr>
      <w:tr>
        <w:tblPrEx/>
        <w:trPr/>
        <w:tc>
          <w:tcPr>
            <w:tcMar>
              <w:left w:w="30" w:type="dxa"/>
              <w:right w:w="30" w:type="dxa"/>
            </w:tcMar>
            <w:vAlign w:val="top"/>
          </w:tcPr>
          <w:p>
            <w:pPr>
              <w:tabs>
                <w:tab w:val="right" w:pos="5665" w:leader="dot"/>
              </w:tabs>
              <w:spacing w:before="0" w:after="0" w:line="235" w:lineRule="atLeast"/>
            </w:pPr>
            <w:r>
              <w:rPr>
                <w:rFonts w:ascii="Times New Roman" w:hAnsi="Times New Roman"/>
                <w:i/>
                <w:color w:val="000000"/>
                <w:sz w:val="20"/>
              </w:rPr>
              <w:t>In re Cellular Tel. P ‘ship Litig.,</w:t>
            </w:r>
            <w:r>
              <w:rPr>
                <w:rFonts w:ascii="Times New Roman" w:hAnsi="Times New Roman"/>
                <w:color w:val="000000"/>
                <w:sz w:val="20"/>
              </w:rPr>
              <w:t xml:space="preserve"> Coordinated C.A. No. 6885-VCL (Del. Ch. Apr. 18, 2019)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87</w:t>
            </w:r>
          </w:p>
        </w:tc>
      </w:tr>
      <w:tr>
        <w:tblPrEx/>
        <w:trPr/>
        <w:tc>
          <w:tcPr>
            <w:tcMar>
              <w:left w:w="30" w:type="dxa"/>
              <w:right w:w="30" w:type="dxa"/>
            </w:tcMar>
            <w:vAlign w:val="top"/>
          </w:tcPr>
          <w:p>
            <w:pPr>
              <w:tabs>
                <w:tab w:val="right" w:pos="5665" w:leader="dot"/>
              </w:tabs>
              <w:spacing w:before="0" w:after="0" w:line="235" w:lineRule="atLeast"/>
            </w:pPr>
            <w:hyperlink r:id="r23">
              <w:r>
                <w:rPr>
                  <w:rFonts w:ascii="Times New Roman" w:hAnsi="Times New Roman"/>
                  <w:i/>
                  <w:color w:val="000000"/>
                  <w:sz w:val="20"/>
                </w:rPr>
                <w:t>Daubert v. Merrell Dow Pharmaceuticals, Inc.,</w:t>
              </w:r>
              <w:r>
                <w:rPr>
                  <w:rFonts w:ascii="Times New Roman" w:hAnsi="Times New Roman"/>
                  <w:color w:val="000000"/>
                  <w:sz w:val="20"/>
                </w:rPr>
                <w:t xml:space="preserve"> 509 U.S. 579 (1993)</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35</w:t>
            </w:r>
          </w:p>
        </w:tc>
      </w:tr>
      <w:tr>
        <w:tblPrEx/>
        <w:trPr/>
        <w:tc>
          <w:tcPr>
            <w:tcMar>
              <w:left w:w="30" w:type="dxa"/>
              <w:right w:w="30" w:type="dxa"/>
            </w:tcMar>
            <w:vAlign w:val="top"/>
          </w:tcPr>
          <w:p>
            <w:pPr>
              <w:tabs>
                <w:tab w:val="right" w:pos="5665" w:leader="dot"/>
              </w:tabs>
              <w:spacing w:before="0" w:after="0" w:line="235" w:lineRule="atLeast"/>
            </w:pPr>
            <w:r>
              <w:rPr>
                <w:rFonts w:ascii="Times New Roman" w:hAnsi="Times New Roman"/>
                <w:i/>
                <w:color w:val="000000"/>
                <w:sz w:val="20"/>
              </w:rPr>
              <w:t xml:space="preserve">Del. </w:t>
            </w:r>
            <w:hyperlink r:id="r24">
              <w:r>
                <w:rPr>
                  <w:rFonts w:ascii="Times New Roman" w:hAnsi="Times New Roman"/>
                  <w:i/>
                  <w:color w:val="000000"/>
                  <w:sz w:val="20"/>
                </w:rPr>
                <w:t>Open MRI Radiology Assocs., P.A. v. Kessler,</w:t>
              </w:r>
              <w:r>
                <w:rPr>
                  <w:rFonts w:ascii="Times New Roman" w:hAnsi="Times New Roman"/>
                  <w:color w:val="000000"/>
                  <w:sz w:val="20"/>
                </w:rPr>
                <w:t xml:space="preserve"> 898 A.2d 290 (Del. Ch. 2006)</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passim</w:t>
            </w:r>
          </w:p>
        </w:tc>
      </w:tr>
      <w:tr>
        <w:tblPrEx/>
        <w:trPr/>
        <w:tc>
          <w:tcPr>
            <w:tcMar>
              <w:left w:w="30" w:type="dxa"/>
              <w:right w:w="30" w:type="dxa"/>
            </w:tcMar>
            <w:vAlign w:val="top"/>
          </w:tcPr>
          <w:p>
            <w:pPr>
              <w:tabs>
                <w:tab w:val="right" w:pos="5665" w:leader="dot"/>
              </w:tabs>
              <w:spacing w:before="0" w:after="0" w:line="235" w:lineRule="atLeast"/>
            </w:pPr>
            <w:hyperlink r:id="r25">
              <w:r>
                <w:rPr>
                  <w:rFonts w:ascii="Times New Roman" w:hAnsi="Times New Roman"/>
                  <w:i/>
                  <w:color w:val="000000"/>
                  <w:sz w:val="20"/>
                </w:rPr>
                <w:t>In re Dell Techs. Inc. Class VS'holders Litig.,</w:t>
              </w:r>
              <w:r>
                <w:rPr>
                  <w:rFonts w:ascii="Times New Roman" w:hAnsi="Times New Roman"/>
                  <w:color w:val="000000"/>
                  <w:sz w:val="20"/>
                </w:rPr>
                <w:t xml:space="preserve"> 2020 WL 3096748 (Del. Ch. June 11, 2010)</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9, 19</w:t>
            </w:r>
          </w:p>
        </w:tc>
      </w:tr>
      <w:tr>
        <w:tblPrEx/>
        <w:trPr/>
        <w:tc>
          <w:tcPr>
            <w:tcMar>
              <w:left w:w="30" w:type="dxa"/>
              <w:right w:w="30" w:type="dxa"/>
            </w:tcMar>
            <w:vAlign w:val="top"/>
          </w:tcPr>
          <w:p>
            <w:pPr>
              <w:tabs>
                <w:tab w:val="right" w:pos="5665" w:leader="dot"/>
              </w:tabs>
              <w:spacing w:before="0" w:after="0" w:line="235" w:lineRule="atLeast"/>
            </w:pPr>
            <w:hyperlink r:id="r26">
              <w:r>
                <w:rPr>
                  <w:rFonts w:ascii="Times New Roman" w:hAnsi="Times New Roman"/>
                  <w:i/>
                  <w:color w:val="000000"/>
                  <w:sz w:val="20"/>
                </w:rPr>
                <w:t>In re Dole Food Co., Inc. S'holderLitig.,</w:t>
              </w:r>
              <w:r>
                <w:rPr>
                  <w:rFonts w:ascii="Times New Roman" w:hAnsi="Times New Roman"/>
                  <w:color w:val="000000"/>
                  <w:sz w:val="20"/>
                </w:rPr>
                <w:t xml:space="preserve"> 2015 WL 5052214 (Del. Ch. Aug. 27, 2015)</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61</w:t>
            </w:r>
          </w:p>
        </w:tc>
      </w:tr>
      <w:tr>
        <w:tblPrEx/>
        <w:trPr/>
        <w:tc>
          <w:tcPr>
            <w:tcMar>
              <w:left w:w="30" w:type="dxa"/>
              <w:right w:w="30" w:type="dxa"/>
            </w:tcMar>
            <w:vAlign w:val="top"/>
          </w:tcPr>
          <w:p>
            <w:pPr>
              <w:tabs>
                <w:tab w:val="right" w:pos="5665" w:leader="dot"/>
              </w:tabs>
              <w:spacing w:before="0" w:after="0" w:line="235" w:lineRule="atLeast"/>
            </w:pPr>
            <w:hyperlink r:id="r27">
              <w:r>
                <w:rPr>
                  <w:rFonts w:ascii="Times New Roman" w:hAnsi="Times New Roman"/>
                  <w:i/>
                  <w:color w:val="000000"/>
                  <w:sz w:val="20"/>
                </w:rPr>
                <w:t>Emerald Partners v. Berlin,</w:t>
              </w:r>
              <w:r>
                <w:rPr>
                  <w:rFonts w:ascii="Times New Roman" w:hAnsi="Times New Roman"/>
                  <w:color w:val="000000"/>
                  <w:sz w:val="20"/>
                </w:rPr>
                <w:t xml:space="preserve"> 726 A.2d 1215 (Del. 1999)</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61</w:t>
            </w:r>
          </w:p>
        </w:tc>
      </w:tr>
      <w:tr>
        <w:tblPrEx/>
        <w:trPr/>
        <w:tc>
          <w:tcPr>
            <w:tcMar>
              <w:left w:w="30" w:type="dxa"/>
              <w:right w:w="30" w:type="dxa"/>
            </w:tcMar>
            <w:vAlign w:val="top"/>
          </w:tcPr>
          <w:p>
            <w:pPr>
              <w:tabs>
                <w:tab w:val="right" w:pos="5665" w:leader="dot"/>
              </w:tabs>
              <w:spacing w:before="0" w:after="0" w:line="235" w:lineRule="atLeast"/>
            </w:pPr>
            <w:hyperlink r:id="r28">
              <w:r>
                <w:rPr>
                  <w:rFonts w:ascii="Times New Roman" w:hAnsi="Times New Roman"/>
                  <w:i/>
                  <w:color w:val="000000"/>
                  <w:sz w:val="20"/>
                </w:rPr>
                <w:t>In re Emerging Commc'ns, Inc. S'holders Litig.,</w:t>
              </w:r>
              <w:r>
                <w:rPr>
                  <w:rFonts w:ascii="Times New Roman" w:hAnsi="Times New Roman"/>
                  <w:color w:val="000000"/>
                  <w:sz w:val="20"/>
                </w:rPr>
                <w:t xml:space="preserve"> 2004 WL 1305745 (Del. Ch. May 3, 2004)</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25, 40, 50</w:t>
            </w:r>
          </w:p>
        </w:tc>
      </w:tr>
      <w:tr>
        <w:tblPrEx/>
        <w:trPr/>
        <w:tc>
          <w:tcPr>
            <w:tcMar>
              <w:left w:w="30" w:type="dxa"/>
              <w:right w:w="30" w:type="dxa"/>
            </w:tcMar>
            <w:vAlign w:val="top"/>
          </w:tcPr>
          <w:p>
            <w:pPr>
              <w:tabs>
                <w:tab w:val="right" w:pos="5665" w:leader="dot"/>
              </w:tabs>
              <w:spacing w:before="0" w:after="0" w:line="235" w:lineRule="atLeast"/>
            </w:pPr>
            <w:r>
              <w:rPr>
                <w:rFonts w:ascii="Times New Roman" w:hAnsi="Times New Roman"/>
                <w:i/>
                <w:color w:val="000000"/>
                <w:sz w:val="20"/>
              </w:rPr>
              <w:t xml:space="preserve">Gesoffv. </w:t>
            </w:r>
            <w:hyperlink r:id="r29">
              <w:r>
                <w:rPr>
                  <w:rFonts w:ascii="Times New Roman" w:hAnsi="Times New Roman"/>
                  <w:i/>
                  <w:color w:val="000000"/>
                  <w:sz w:val="20"/>
                </w:rPr>
                <w:t>IIC Industries, Inc.,</w:t>
              </w:r>
              <w:r>
                <w:rPr>
                  <w:rFonts w:ascii="Times New Roman" w:hAnsi="Times New Roman"/>
                  <w:color w:val="000000"/>
                  <w:sz w:val="20"/>
                </w:rPr>
                <w:t xml:space="preserve"> 902 A.2d 1130 (Del. Ch. 2006)</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34, 36, 62</w:t>
            </w:r>
          </w:p>
        </w:tc>
      </w:tr>
      <w:tr>
        <w:tblPrEx/>
        <w:trPr/>
        <w:tc>
          <w:tcPr>
            <w:tcMar>
              <w:left w:w="30" w:type="dxa"/>
              <w:right w:w="30" w:type="dxa"/>
            </w:tcMar>
            <w:vAlign w:val="top"/>
          </w:tcPr>
          <w:p>
            <w:pPr>
              <w:tabs>
                <w:tab w:val="right" w:pos="5665" w:leader="dot"/>
              </w:tabs>
              <w:spacing w:before="0" w:after="0" w:line="235" w:lineRule="atLeast"/>
            </w:pPr>
            <w:hyperlink r:id="r30">
              <w:r>
                <w:rPr>
                  <w:rFonts w:ascii="Times New Roman" w:hAnsi="Times New Roman"/>
                  <w:i/>
                  <w:color w:val="000000"/>
                  <w:sz w:val="20"/>
                </w:rPr>
                <w:t>Global GTLP v. Golden Telecom, Inc.,</w:t>
              </w:r>
              <w:r>
                <w:rPr>
                  <w:rFonts w:ascii="Times New Roman" w:hAnsi="Times New Roman"/>
                  <w:color w:val="000000"/>
                  <w:sz w:val="20"/>
                </w:rPr>
                <w:t xml:space="preserve"> 993 A.2d 497 (Del. Ch.)</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47</w:t>
            </w:r>
          </w:p>
        </w:tc>
      </w:tr>
      <w:tr>
        <w:tblPrEx/>
        <w:trPr/>
        <w:tc>
          <w:tcPr>
            <w:tcMar>
              <w:left w:w="30" w:type="dxa"/>
              <w:right w:w="30" w:type="dxa"/>
            </w:tcMar>
            <w:vAlign w:val="top"/>
          </w:tcPr>
          <w:p>
            <w:pPr>
              <w:tabs>
                <w:tab w:val="right" w:pos="5665" w:leader="dot"/>
              </w:tabs>
              <w:spacing w:before="0" w:after="0" w:line="235" w:lineRule="atLeast"/>
            </w:pPr>
            <w:hyperlink r:id="r31">
              <w:r>
                <w:rPr>
                  <w:rFonts w:ascii="Times New Roman" w:hAnsi="Times New Roman"/>
                  <w:i/>
                  <w:color w:val="000000"/>
                  <w:sz w:val="20"/>
                </w:rPr>
                <w:t>Great Hill Equity Partners IV, LP v. SIG Growth Equity Fund I, LLLP,</w:t>
              </w:r>
              <w:r>
                <w:rPr>
                  <w:rFonts w:ascii="Times New Roman" w:hAnsi="Times New Roman"/>
                  <w:color w:val="000000"/>
                  <w:sz w:val="20"/>
                </w:rPr>
                <w:t xml:space="preserve"> 2020 WL 948513 (Del. Ch. Feb. 27, 2020)</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63</w:t>
            </w:r>
          </w:p>
        </w:tc>
      </w:tr>
      <w:tr>
        <w:tblPrEx/>
        <w:trPr/>
        <w:tc>
          <w:tcPr>
            <w:tcMar>
              <w:left w:w="30" w:type="dxa"/>
              <w:right w:w="30" w:type="dxa"/>
            </w:tcMar>
            <w:vAlign w:val="top"/>
          </w:tcPr>
          <w:p>
            <w:pPr>
              <w:tabs>
                <w:tab w:val="right" w:pos="5665" w:leader="dot"/>
              </w:tabs>
              <w:spacing w:before="0" w:after="0" w:line="235" w:lineRule="atLeast"/>
            </w:pPr>
            <w:hyperlink r:id="r32">
              <w:r>
                <w:rPr>
                  <w:rFonts w:ascii="Times New Roman" w:hAnsi="Times New Roman"/>
                  <w:i/>
                  <w:color w:val="000000"/>
                  <w:sz w:val="20"/>
                </w:rPr>
                <w:t>Guth v. Loft, Inc.,</w:t>
              </w:r>
              <w:r>
                <w:rPr>
                  <w:rFonts w:ascii="Times New Roman" w:hAnsi="Times New Roman"/>
                  <w:color w:val="000000"/>
                  <w:sz w:val="20"/>
                </w:rPr>
                <w:t xml:space="preserve"> 5 A.2d 503 (Del. 1939)</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65</w:t>
            </w:r>
          </w:p>
        </w:tc>
      </w:tr>
      <w:tr>
        <w:tblPrEx/>
        <w:trPr/>
        <w:tc>
          <w:tcPr>
            <w:tcMar>
              <w:left w:w="30" w:type="dxa"/>
              <w:right w:w="30" w:type="dxa"/>
            </w:tcMar>
            <w:vAlign w:val="top"/>
          </w:tcPr>
          <w:p>
            <w:pPr>
              <w:tabs>
                <w:tab w:val="right" w:pos="5665" w:leader="dot"/>
              </w:tabs>
              <w:spacing w:before="0" w:after="0" w:line="235" w:lineRule="atLeast"/>
            </w:pPr>
            <w:hyperlink r:id="r33">
              <w:r>
                <w:rPr>
                  <w:rFonts w:ascii="Times New Roman" w:hAnsi="Times New Roman"/>
                  <w:i/>
                  <w:color w:val="000000"/>
                  <w:sz w:val="20"/>
                </w:rPr>
                <w:t>Hillsboro Energy, LLC v. Secure Energy, Inc.,</w:t>
              </w:r>
              <w:r>
                <w:rPr>
                  <w:rFonts w:ascii="Times New Roman" w:hAnsi="Times New Roman"/>
                  <w:color w:val="000000"/>
                  <w:sz w:val="20"/>
                </w:rPr>
                <w:t xml:space="preserve"> 2008 WL 4561227 (Del. Ch. Oct. 3, 2008)</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40</w:t>
            </w:r>
          </w:p>
        </w:tc>
      </w:tr>
      <w:tr>
        <w:tblPrEx/>
        <w:trPr/>
        <w:tc>
          <w:tcPr>
            <w:tcMar>
              <w:left w:w="30" w:type="dxa"/>
              <w:right w:w="30" w:type="dxa"/>
            </w:tcMar>
            <w:vAlign w:val="top"/>
          </w:tcPr>
          <w:p>
            <w:pPr>
              <w:tabs>
                <w:tab w:val="right" w:pos="5665" w:leader="dot"/>
              </w:tabs>
              <w:spacing w:before="0" w:after="0" w:line="235" w:lineRule="atLeast"/>
            </w:pPr>
            <w:hyperlink r:id="r34">
              <w:r>
                <w:rPr>
                  <w:rFonts w:ascii="Times New Roman" w:hAnsi="Times New Roman"/>
                  <w:i/>
                  <w:color w:val="000000"/>
                  <w:sz w:val="20"/>
                </w:rPr>
                <w:t>J&amp;J Celcom v. AT&amp;T Wireless Services, Inc.,</w:t>
              </w:r>
              <w:r>
                <w:rPr>
                  <w:rFonts w:ascii="Times New Roman" w:hAnsi="Times New Roman"/>
                  <w:color w:val="000000"/>
                  <w:sz w:val="20"/>
                </w:rPr>
                <w:t xml:space="preserve"> 2005 WL 1126924 (W.D. Wash. May 10, 2005)</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8</w:t>
            </w:r>
          </w:p>
        </w:tc>
      </w:tr>
      <w:tr>
        <w:tblPrEx/>
        <w:trPr/>
        <w:tc>
          <w:tcPr>
            <w:tcMar>
              <w:left w:w="30" w:type="dxa"/>
              <w:right w:w="30" w:type="dxa"/>
            </w:tcMar>
            <w:vAlign w:val="top"/>
          </w:tcPr>
          <w:p>
            <w:pPr>
              <w:tabs>
                <w:tab w:val="right" w:pos="5665" w:leader="dot"/>
              </w:tabs>
              <w:spacing w:before="0" w:after="0" w:line="235" w:lineRule="atLeast"/>
            </w:pPr>
            <w:hyperlink r:id="r35">
              <w:r>
                <w:rPr>
                  <w:rFonts w:ascii="Times New Roman" w:hAnsi="Times New Roman"/>
                  <w:i/>
                  <w:color w:val="000000"/>
                  <w:sz w:val="20"/>
                </w:rPr>
                <w:t>Kahn v. Lynch Comm'ns Sys., Inc.,</w:t>
              </w:r>
              <w:r>
                <w:rPr>
                  <w:rFonts w:ascii="Times New Roman" w:hAnsi="Times New Roman"/>
                  <w:color w:val="000000"/>
                  <w:sz w:val="20"/>
                </w:rPr>
                <w:t xml:space="preserve"> 638 A.2d 1110 (Del. 1994)</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w:t>
            </w:r>
          </w:p>
        </w:tc>
      </w:tr>
      <w:tr>
        <w:tblPrEx/>
        <w:trPr/>
        <w:tc>
          <w:tcPr>
            <w:tcMar>
              <w:left w:w="30" w:type="dxa"/>
              <w:right w:w="30" w:type="dxa"/>
            </w:tcMar>
            <w:vAlign w:val="top"/>
          </w:tcPr>
          <w:p>
            <w:pPr>
              <w:tabs>
                <w:tab w:val="right" w:pos="5665" w:leader="dot"/>
              </w:tabs>
              <w:spacing w:before="0" w:after="0" w:line="235" w:lineRule="atLeast"/>
            </w:pPr>
            <w:hyperlink r:id="r36">
              <w:r>
                <w:rPr>
                  <w:rFonts w:ascii="Times New Roman" w:hAnsi="Times New Roman"/>
                  <w:i/>
                  <w:color w:val="000000"/>
                  <w:sz w:val="20"/>
                </w:rPr>
                <w:t>Kansas City Southern Railway Co. v. Sny Island Levee Drainage District,</w:t>
              </w:r>
              <w:r>
                <w:rPr>
                  <w:rFonts w:ascii="Times New Roman" w:hAnsi="Times New Roman"/>
                  <w:color w:val="000000"/>
                  <w:sz w:val="20"/>
                </w:rPr>
                <w:t xml:space="preserve"> 831 F.3d 892 (7th Cir. 2016)</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35</w:t>
            </w:r>
          </w:p>
        </w:tc>
      </w:tr>
      <w:tr>
        <w:tblPrEx/>
        <w:trPr/>
        <w:tc>
          <w:tcPr>
            <w:tcMar>
              <w:left w:w="30" w:type="dxa"/>
              <w:right w:w="30" w:type="dxa"/>
            </w:tcMar>
            <w:vAlign w:val="top"/>
          </w:tcPr>
          <w:p>
            <w:pPr>
              <w:tabs>
                <w:tab w:val="right" w:pos="5665" w:leader="dot"/>
              </w:tabs>
              <w:spacing w:before="0" w:after="0" w:line="235" w:lineRule="atLeast"/>
            </w:pPr>
            <w:hyperlink r:id="r37">
              <w:r>
                <w:rPr>
                  <w:rFonts w:ascii="Times New Roman" w:hAnsi="Times New Roman"/>
                  <w:i/>
                  <w:color w:val="000000"/>
                  <w:sz w:val="20"/>
                </w:rPr>
                <w:t>Le Beau v. M.G. Bancorporation, Inc.,</w:t>
              </w:r>
              <w:r>
                <w:rPr>
                  <w:rFonts w:ascii="Times New Roman" w:hAnsi="Times New Roman"/>
                  <w:color w:val="000000"/>
                  <w:sz w:val="20"/>
                </w:rPr>
                <w:t xml:space="preserve"> 1998 WL 44993 (Del. Ch. Jan. 29, 1998)</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26</w:t>
            </w:r>
          </w:p>
        </w:tc>
      </w:tr>
      <w:tr>
        <w:tblPrEx/>
        <w:trPr/>
        <w:tc>
          <w:tcPr>
            <w:tcMar>
              <w:left w:w="30" w:type="dxa"/>
              <w:right w:w="30" w:type="dxa"/>
            </w:tcMar>
            <w:vAlign w:val="top"/>
          </w:tcPr>
          <w:p>
            <w:pPr>
              <w:tabs>
                <w:tab w:val="right" w:pos="5665" w:leader="dot"/>
              </w:tabs>
              <w:spacing w:before="0" w:after="0" w:line="235" w:lineRule="atLeast"/>
            </w:pPr>
            <w:hyperlink r:id="r38">
              <w:r>
                <w:rPr>
                  <w:rFonts w:ascii="Times New Roman" w:hAnsi="Times New Roman"/>
                  <w:i/>
                  <w:color w:val="000000"/>
                  <w:sz w:val="20"/>
                </w:rPr>
                <w:t>Lynch v. Vickers Energy Corp.,</w:t>
              </w:r>
              <w:r>
                <w:rPr>
                  <w:rFonts w:ascii="Times New Roman" w:hAnsi="Times New Roman"/>
                  <w:color w:val="000000"/>
                  <w:sz w:val="20"/>
                </w:rPr>
                <w:t xml:space="preserve"> 429 A.2d 497 (Del. 1981)</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64</w:t>
            </w:r>
          </w:p>
        </w:tc>
      </w:tr>
      <w:tr>
        <w:tblPrEx/>
        <w:trPr/>
        <w:tc>
          <w:tcPr>
            <w:tcMar>
              <w:left w:w="30" w:type="dxa"/>
              <w:right w:w="30" w:type="dxa"/>
            </w:tcMar>
            <w:vAlign w:val="top"/>
          </w:tcPr>
          <w:p>
            <w:pPr>
              <w:tabs>
                <w:tab w:val="right" w:pos="5665" w:leader="dot"/>
              </w:tabs>
              <w:spacing w:before="0" w:after="0" w:line="235" w:lineRule="atLeast"/>
            </w:pPr>
            <w:hyperlink r:id="r39">
              <w:r>
                <w:rPr>
                  <w:rFonts w:ascii="Times New Roman" w:hAnsi="Times New Roman"/>
                  <w:i/>
                  <w:color w:val="000000"/>
                  <w:sz w:val="20"/>
                </w:rPr>
                <w:t>M.G. Bancorporation, Inc. v. Le Beau,</w:t>
              </w:r>
              <w:r>
                <w:rPr>
                  <w:rFonts w:ascii="Times New Roman" w:hAnsi="Times New Roman"/>
                  <w:color w:val="000000"/>
                  <w:sz w:val="20"/>
                </w:rPr>
                <w:t xml:space="preserve"> 737 A.2d 513 (Del. 1999)</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35</w:t>
            </w:r>
          </w:p>
        </w:tc>
      </w:tr>
      <w:tr>
        <w:tblPrEx/>
        <w:trPr/>
        <w:tc>
          <w:tcPr>
            <w:tcMar>
              <w:left w:w="30" w:type="dxa"/>
              <w:right w:w="30" w:type="dxa"/>
            </w:tcMar>
            <w:vAlign w:val="top"/>
          </w:tcPr>
          <w:p>
            <w:pPr>
              <w:tabs>
                <w:tab w:val="right" w:pos="5665" w:leader="dot"/>
              </w:tabs>
              <w:spacing w:before="0" w:after="0" w:line="235" w:lineRule="atLeast"/>
            </w:pPr>
            <w:hyperlink r:id="r40">
              <w:r>
                <w:rPr>
                  <w:rFonts w:ascii="Times New Roman" w:hAnsi="Times New Roman"/>
                  <w:i/>
                  <w:color w:val="000000"/>
                  <w:sz w:val="20"/>
                </w:rPr>
                <w:t>Metro. Mut. Fire Ins. Co. v. Carmen Holding Co.,</w:t>
              </w:r>
              <w:r>
                <w:rPr>
                  <w:rFonts w:ascii="Times New Roman" w:hAnsi="Times New Roman"/>
                  <w:color w:val="000000"/>
                  <w:sz w:val="20"/>
                </w:rPr>
                <w:t xml:space="preserve"> 220 A.2d 778 (Del. 1966)</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88</w:t>
            </w:r>
          </w:p>
        </w:tc>
      </w:tr>
      <w:tr>
        <w:tblPrEx/>
        <w:trPr/>
        <w:tc>
          <w:tcPr>
            <w:tcMar>
              <w:left w:w="30" w:type="dxa"/>
              <w:right w:w="30" w:type="dxa"/>
            </w:tcMar>
            <w:vAlign w:val="top"/>
          </w:tcPr>
          <w:p>
            <w:pPr>
              <w:tabs>
                <w:tab w:val="right" w:pos="5665" w:leader="dot"/>
              </w:tabs>
              <w:spacing w:before="0" w:after="0" w:line="235" w:lineRule="atLeast"/>
            </w:pPr>
            <w:r>
              <w:rPr>
                <w:rFonts w:ascii="Times New Roman" w:hAnsi="Times New Roman"/>
                <w:i/>
                <w:color w:val="000000"/>
                <w:sz w:val="20"/>
              </w:rPr>
              <w:t>In re Nine Sys. Corp. S'holders Litig.,</w:t>
            </w:r>
            <w:r>
              <w:rPr>
                <w:rFonts w:ascii="Times New Roman" w:hAnsi="Times New Roman"/>
                <w:color w:val="000000"/>
                <w:sz w:val="20"/>
              </w:rPr>
              <w:t xml:space="preserve"> </w:t>
            </w:r>
            <w:hyperlink r:id="r41">
              <w:r>
                <w:rPr>
                  <w:rFonts w:ascii="Times New Roman" w:hAnsi="Times New Roman"/>
                  <w:color w:val="000000"/>
                  <w:sz w:val="20"/>
                </w:rPr>
                <w:t>2015 WL 2265669 (Del. Ch. May 7, 2015)</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86</w:t>
            </w:r>
          </w:p>
        </w:tc>
      </w:tr>
      <w:tr>
        <w:tblPrEx/>
        <w:trPr/>
        <w:tc>
          <w:tcPr>
            <w:tcMar>
              <w:left w:w="30" w:type="dxa"/>
              <w:right w:w="30" w:type="dxa"/>
            </w:tcMar>
            <w:vAlign w:val="top"/>
          </w:tcPr>
          <w:p>
            <w:pPr>
              <w:tabs>
                <w:tab w:val="right" w:pos="5665" w:leader="dot"/>
              </w:tabs>
              <w:spacing w:before="0" w:after="0" w:line="235" w:lineRule="atLeast"/>
            </w:pPr>
            <w:hyperlink r:id="r42">
              <w:r>
                <w:rPr>
                  <w:rFonts w:ascii="Times New Roman" w:hAnsi="Times New Roman"/>
                  <w:i/>
                  <w:color w:val="000000"/>
                  <w:sz w:val="20"/>
                </w:rPr>
                <w:t>Oberly v. Kirby,</w:t>
              </w:r>
              <w:r>
                <w:rPr>
                  <w:rFonts w:ascii="Times New Roman" w:hAnsi="Times New Roman"/>
                  <w:color w:val="000000"/>
                  <w:sz w:val="20"/>
                </w:rPr>
                <w:t xml:space="preserve"> 592 A.2d 445 (Del. 1991)</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62, 64</w:t>
            </w:r>
          </w:p>
        </w:tc>
      </w:tr>
      <w:tr>
        <w:tblPrEx/>
        <w:trPr/>
        <w:tc>
          <w:tcPr>
            <w:tcMar>
              <w:left w:w="30" w:type="dxa"/>
              <w:right w:w="30" w:type="dxa"/>
            </w:tcMar>
            <w:vAlign w:val="top"/>
          </w:tcPr>
          <w:p>
            <w:pPr>
              <w:tabs>
                <w:tab w:val="right" w:pos="5665" w:leader="dot"/>
              </w:tabs>
              <w:spacing w:before="0" w:after="0" w:line="235" w:lineRule="atLeast"/>
            </w:pPr>
            <w:hyperlink r:id="r43">
              <w:r>
                <w:rPr>
                  <w:rFonts w:ascii="Times New Roman" w:hAnsi="Times New Roman"/>
                  <w:i/>
                  <w:color w:val="000000"/>
                  <w:sz w:val="20"/>
                </w:rPr>
                <w:t>In re Orchard Enters., Inc. S'holder Litig.,</w:t>
              </w:r>
              <w:r>
                <w:rPr>
                  <w:rFonts w:ascii="Times New Roman" w:hAnsi="Times New Roman"/>
                  <w:color w:val="000000"/>
                  <w:sz w:val="20"/>
                </w:rPr>
                <w:t xml:space="preserve"> 88 A.3d 1 (Del. Ch. 2014)</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65</w:t>
            </w:r>
          </w:p>
        </w:tc>
      </w:tr>
      <w:tr>
        <w:tblPrEx/>
        <w:trPr/>
        <w:tc>
          <w:tcPr>
            <w:tcMar>
              <w:left w:w="30" w:type="dxa"/>
              <w:right w:w="30" w:type="dxa"/>
            </w:tcMar>
            <w:vAlign w:val="top"/>
          </w:tcPr>
          <w:p>
            <w:pPr>
              <w:tabs>
                <w:tab w:val="right" w:pos="5665" w:leader="dot"/>
              </w:tabs>
              <w:spacing w:before="0" w:after="0" w:line="235" w:lineRule="atLeast"/>
            </w:pPr>
            <w:hyperlink r:id="r44">
              <w:r>
                <w:rPr>
                  <w:rFonts w:ascii="Times New Roman" w:hAnsi="Times New Roman"/>
                  <w:i/>
                  <w:color w:val="000000"/>
                  <w:sz w:val="20"/>
                </w:rPr>
                <w:t>In re Pure Res., Inc. S'holders Litig.,</w:t>
              </w:r>
              <w:r>
                <w:rPr>
                  <w:rFonts w:ascii="Times New Roman" w:hAnsi="Times New Roman"/>
                  <w:color w:val="000000"/>
                  <w:sz w:val="20"/>
                </w:rPr>
                <w:t xml:space="preserve"> 808 A.2d 421 (Del. Ch. 2002)</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w:t>
            </w:r>
          </w:p>
        </w:tc>
      </w:tr>
      <w:tr>
        <w:tblPrEx/>
        <w:trPr/>
        <w:tc>
          <w:tcPr>
            <w:tcMar>
              <w:left w:w="30" w:type="dxa"/>
              <w:right w:w="30" w:type="dxa"/>
            </w:tcMar>
            <w:vAlign w:val="top"/>
          </w:tcPr>
          <w:p>
            <w:pPr>
              <w:tabs>
                <w:tab w:val="right" w:pos="5665" w:leader="dot"/>
              </w:tabs>
              <w:spacing w:before="0" w:after="0" w:line="235" w:lineRule="atLeast"/>
            </w:pPr>
            <w:hyperlink r:id="r45">
              <w:r>
                <w:rPr>
                  <w:rFonts w:ascii="Times New Roman" w:hAnsi="Times New Roman"/>
                  <w:i/>
                  <w:color w:val="000000"/>
                  <w:sz w:val="20"/>
                </w:rPr>
                <w:t>In re Radiology Assocs., Inc. Litig.,</w:t>
              </w:r>
              <w:r>
                <w:rPr>
                  <w:rFonts w:ascii="Times New Roman" w:hAnsi="Times New Roman"/>
                  <w:color w:val="000000"/>
                  <w:sz w:val="20"/>
                </w:rPr>
                <w:t xml:space="preserve"> 611 A.2d 485 (Del. Ch. 1991)</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w:t>
            </w:r>
          </w:p>
        </w:tc>
      </w:tr>
      <w:tr>
        <w:tblPrEx/>
        <w:trPr/>
        <w:tc>
          <w:tcPr>
            <w:tcMar>
              <w:left w:w="30" w:type="dxa"/>
              <w:right w:w="30" w:type="dxa"/>
            </w:tcMar>
            <w:vAlign w:val="top"/>
          </w:tcPr>
          <w:p>
            <w:pPr>
              <w:tabs>
                <w:tab w:val="right" w:pos="5665" w:leader="dot"/>
              </w:tabs>
              <w:spacing w:before="0" w:after="0" w:line="235" w:lineRule="atLeast"/>
            </w:pPr>
            <w:hyperlink r:id="r46">
              <w:r>
                <w:rPr>
                  <w:rFonts w:ascii="Times New Roman" w:hAnsi="Times New Roman"/>
                  <w:i/>
                  <w:color w:val="000000"/>
                  <w:sz w:val="20"/>
                </w:rPr>
                <w:t>Randall v. Loftsgaarden,</w:t>
              </w:r>
              <w:r>
                <w:rPr>
                  <w:rFonts w:ascii="Times New Roman" w:hAnsi="Times New Roman"/>
                  <w:color w:val="000000"/>
                  <w:sz w:val="20"/>
                </w:rPr>
                <w:t xml:space="preserve"> 478 U.S. 647 (1986)</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68</w:t>
            </w:r>
          </w:p>
        </w:tc>
      </w:tr>
      <w:tr>
        <w:tblPrEx/>
        <w:trPr/>
        <w:tc>
          <w:tcPr>
            <w:tcMar>
              <w:left w:w="30" w:type="dxa"/>
              <w:right w:w="30" w:type="dxa"/>
            </w:tcMar>
            <w:vAlign w:val="top"/>
          </w:tcPr>
          <w:p>
            <w:pPr>
              <w:tabs>
                <w:tab w:val="right" w:pos="5665" w:leader="dot"/>
              </w:tabs>
              <w:spacing w:before="0" w:after="0" w:line="235" w:lineRule="atLeast"/>
            </w:pPr>
            <w:hyperlink r:id="r47">
              <w:r>
                <w:rPr>
                  <w:rFonts w:ascii="Times New Roman" w:hAnsi="Times New Roman"/>
                  <w:i/>
                  <w:color w:val="000000"/>
                  <w:sz w:val="20"/>
                </w:rPr>
                <w:t>Red Sail Easter Ltd. Partners, L.P. v. Radio City Music Hall Prods., Inc.,</w:t>
              </w:r>
              <w:r>
                <w:rPr>
                  <w:rFonts w:ascii="Times New Roman" w:hAnsi="Times New Roman"/>
                  <w:color w:val="000000"/>
                  <w:sz w:val="20"/>
                </w:rPr>
                <w:t xml:space="preserve"> 1992 WL 251380 (Del. Ch. Sept. 29, 1992)</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61</w:t>
            </w:r>
          </w:p>
        </w:tc>
      </w:tr>
      <w:tr>
        <w:tblPrEx/>
        <w:trPr/>
        <w:tc>
          <w:tcPr>
            <w:tcMar>
              <w:left w:w="30" w:type="dxa"/>
              <w:right w:w="30" w:type="dxa"/>
            </w:tcMar>
            <w:vAlign w:val="top"/>
          </w:tcPr>
          <w:p>
            <w:pPr>
              <w:tabs>
                <w:tab w:val="right" w:pos="5665" w:leader="dot"/>
              </w:tabs>
              <w:spacing w:before="0" w:after="0" w:line="235" w:lineRule="atLeast"/>
            </w:pPr>
            <w:hyperlink r:id="r48">
              <w:r>
                <w:rPr>
                  <w:rFonts w:ascii="Times New Roman" w:hAnsi="Times New Roman"/>
                  <w:i/>
                  <w:color w:val="000000"/>
                  <w:sz w:val="20"/>
                </w:rPr>
                <w:t>Reis v. Hazelett Strip-Casting Corp.,</w:t>
              </w:r>
              <w:r>
                <w:rPr>
                  <w:rFonts w:ascii="Times New Roman" w:hAnsi="Times New Roman"/>
                  <w:color w:val="000000"/>
                  <w:sz w:val="20"/>
                </w:rPr>
                <w:t xml:space="preserve"> 28 A.3d 442 (Del. Ch. 2011)</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61</w:t>
            </w:r>
          </w:p>
        </w:tc>
      </w:tr>
      <w:tr>
        <w:tblPrEx/>
        <w:trPr/>
        <w:tc>
          <w:tcPr>
            <w:tcMar>
              <w:left w:w="30" w:type="dxa"/>
              <w:right w:w="30" w:type="dxa"/>
            </w:tcMar>
            <w:vAlign w:val="top"/>
          </w:tcPr>
          <w:p>
            <w:pPr>
              <w:tabs>
                <w:tab w:val="right" w:pos="5665" w:leader="dot"/>
              </w:tabs>
              <w:spacing w:before="0" w:after="0" w:line="235" w:lineRule="atLeast"/>
            </w:pPr>
            <w:hyperlink r:id="r49">
              <w:r>
                <w:rPr>
                  <w:rFonts w:ascii="Times New Roman" w:hAnsi="Times New Roman"/>
                  <w:i/>
                  <w:color w:val="000000"/>
                  <w:sz w:val="20"/>
                </w:rPr>
                <w:t>Schnell v. Chris-Craft Indus., Inc.,</w:t>
              </w:r>
              <w:r>
                <w:rPr>
                  <w:rFonts w:ascii="Times New Roman" w:hAnsi="Times New Roman"/>
                  <w:color w:val="000000"/>
                  <w:sz w:val="20"/>
                </w:rPr>
                <w:t xml:space="preserve"> 285 A.2d 437 (Del. 1971)</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9</w:t>
            </w:r>
          </w:p>
        </w:tc>
      </w:tr>
      <w:tr>
        <w:tblPrEx/>
        <w:trPr/>
        <w:tc>
          <w:tcPr>
            <w:tcMar>
              <w:left w:w="30" w:type="dxa"/>
              <w:right w:w="30" w:type="dxa"/>
            </w:tcMar>
            <w:vAlign w:val="top"/>
          </w:tcPr>
          <w:p>
            <w:pPr>
              <w:tabs>
                <w:tab w:val="right" w:pos="5665" w:leader="dot"/>
              </w:tabs>
              <w:spacing w:before="0" w:after="0" w:line="235" w:lineRule="atLeast"/>
            </w:pPr>
            <w:hyperlink r:id="r50">
              <w:r>
                <w:rPr>
                  <w:rFonts w:ascii="Times New Roman" w:hAnsi="Times New Roman"/>
                  <w:i/>
                  <w:color w:val="000000"/>
                  <w:sz w:val="20"/>
                </w:rPr>
                <w:t>Smith v. Van Gorkom,</w:t>
              </w:r>
              <w:r>
                <w:rPr>
                  <w:rFonts w:ascii="Times New Roman" w:hAnsi="Times New Roman"/>
                  <w:color w:val="000000"/>
                  <w:sz w:val="20"/>
                </w:rPr>
                <w:t xml:space="preserve"> 488 A.2d 858 (Del. 1985)</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34</w:t>
            </w:r>
          </w:p>
        </w:tc>
      </w:tr>
      <w:tr>
        <w:tblPrEx/>
        <w:trPr/>
        <w:tc>
          <w:tcPr>
            <w:tcMar>
              <w:left w:w="30" w:type="dxa"/>
              <w:right w:w="30" w:type="dxa"/>
            </w:tcMar>
            <w:vAlign w:val="top"/>
          </w:tcPr>
          <w:p>
            <w:pPr>
              <w:tabs>
                <w:tab w:val="right" w:pos="5665" w:leader="dot"/>
              </w:tabs>
              <w:spacing w:before="0" w:after="0" w:line="235" w:lineRule="atLeast"/>
            </w:pPr>
            <w:hyperlink r:id="r51">
              <w:r>
                <w:rPr>
                  <w:rFonts w:ascii="Times New Roman" w:hAnsi="Times New Roman"/>
                  <w:i/>
                  <w:color w:val="000000"/>
                  <w:sz w:val="20"/>
                </w:rPr>
                <w:t>Strassburger v. Earley,</w:t>
              </w:r>
              <w:r>
                <w:rPr>
                  <w:rFonts w:ascii="Times New Roman" w:hAnsi="Times New Roman"/>
                  <w:color w:val="000000"/>
                  <w:sz w:val="20"/>
                </w:rPr>
                <w:t xml:space="preserve"> 752 A.2d 557 (Del. Ch. 2000)</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64</w:t>
            </w:r>
          </w:p>
        </w:tc>
      </w:tr>
      <w:tr>
        <w:tblPrEx/>
        <w:trPr/>
        <w:tc>
          <w:tcPr>
            <w:tcMar>
              <w:left w:w="30" w:type="dxa"/>
              <w:right w:w="30" w:type="dxa"/>
            </w:tcMar>
            <w:vAlign w:val="top"/>
          </w:tcPr>
          <w:p>
            <w:pPr>
              <w:tabs>
                <w:tab w:val="right" w:pos="5665" w:leader="dot"/>
              </w:tabs>
              <w:spacing w:before="0" w:after="0" w:line="235" w:lineRule="atLeast"/>
            </w:pPr>
            <w:hyperlink r:id="r52">
              <w:r>
                <w:rPr>
                  <w:rFonts w:ascii="Times New Roman" w:hAnsi="Times New Roman"/>
                  <w:i/>
                  <w:color w:val="000000"/>
                  <w:sz w:val="20"/>
                </w:rPr>
                <w:t>Summa Corp. v. Trans WorldAirlines, Inc.,</w:t>
              </w:r>
              <w:r>
                <w:rPr>
                  <w:rFonts w:ascii="Times New Roman" w:hAnsi="Times New Roman"/>
                  <w:color w:val="000000"/>
                  <w:sz w:val="20"/>
                </w:rPr>
                <w:t xml:space="preserve"> 540 A.2d 403 (Del. 1988)</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88</w:t>
            </w:r>
          </w:p>
        </w:tc>
      </w:tr>
      <w:tr>
        <w:tblPrEx/>
        <w:trPr/>
        <w:tc>
          <w:tcPr>
            <w:tcMar>
              <w:left w:w="30" w:type="dxa"/>
              <w:right w:w="30" w:type="dxa"/>
            </w:tcMar>
            <w:vAlign w:val="top"/>
          </w:tcPr>
          <w:p>
            <w:pPr>
              <w:tabs>
                <w:tab w:val="right" w:pos="5665" w:leader="dot"/>
              </w:tabs>
              <w:spacing w:before="0" w:after="0" w:line="235" w:lineRule="atLeast"/>
            </w:pPr>
            <w:hyperlink r:id="r53">
              <w:r>
                <w:rPr>
                  <w:rFonts w:ascii="Times New Roman" w:hAnsi="Times New Roman"/>
                  <w:i/>
                  <w:color w:val="000000"/>
                  <w:sz w:val="20"/>
                </w:rPr>
                <w:t>Thorpe v. CERBCO, Inc.,</w:t>
              </w:r>
              <w:r>
                <w:rPr>
                  <w:rFonts w:ascii="Times New Roman" w:hAnsi="Times New Roman"/>
                  <w:color w:val="000000"/>
                  <w:sz w:val="20"/>
                </w:rPr>
                <w:t xml:space="preserve"> 676 A.2d 436 (Del. 1996)</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62, 65</w:t>
            </w:r>
          </w:p>
        </w:tc>
      </w:tr>
      <w:tr>
        <w:tblPrEx/>
        <w:trPr/>
        <w:tc>
          <w:tcPr>
            <w:tcMar>
              <w:left w:w="30" w:type="dxa"/>
              <w:right w:w="30" w:type="dxa"/>
            </w:tcMar>
            <w:vAlign w:val="top"/>
          </w:tcPr>
          <w:p>
            <w:pPr>
              <w:tabs>
                <w:tab w:val="right" w:pos="5665" w:leader="dot"/>
              </w:tabs>
              <w:spacing w:before="0" w:after="0" w:line="235" w:lineRule="atLeast"/>
            </w:pPr>
            <w:hyperlink r:id="r54">
              <w:r>
                <w:rPr>
                  <w:rFonts w:ascii="Times New Roman" w:hAnsi="Times New Roman"/>
                  <w:i/>
                  <w:color w:val="000000"/>
                  <w:sz w:val="20"/>
                </w:rPr>
                <w:t>Thorpe v. CERBCO, Inc.,</w:t>
              </w:r>
              <w:r>
                <w:rPr>
                  <w:rFonts w:ascii="Times New Roman" w:hAnsi="Times New Roman"/>
                  <w:color w:val="000000"/>
                  <w:sz w:val="20"/>
                </w:rPr>
                <w:t xml:space="preserve"> 1993 WL 443406 (Del. Ch. Oct. 29, 1993)</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61</w:t>
            </w:r>
          </w:p>
        </w:tc>
      </w:tr>
      <w:tr>
        <w:tblPrEx/>
        <w:trPr/>
        <w:tc>
          <w:tcPr>
            <w:tcMar>
              <w:left w:w="30" w:type="dxa"/>
              <w:right w:w="30" w:type="dxa"/>
            </w:tcMar>
            <w:vAlign w:val="top"/>
          </w:tcPr>
          <w:p>
            <w:pPr>
              <w:tabs>
                <w:tab w:val="right" w:pos="5665" w:leader="dot"/>
              </w:tabs>
              <w:spacing w:before="0" w:after="0" w:line="235" w:lineRule="atLeast"/>
            </w:pPr>
            <w:r>
              <w:rPr>
                <w:rFonts w:ascii="Times New Roman" w:hAnsi="Times New Roman"/>
                <w:i/>
                <w:color w:val="000000"/>
                <w:sz w:val="20"/>
              </w:rPr>
              <w:t xml:space="preserve">Valeant Pharma. </w:t>
            </w:r>
            <w:hyperlink r:id="r55">
              <w:r>
                <w:rPr>
                  <w:rFonts w:ascii="Times New Roman" w:hAnsi="Times New Roman"/>
                  <w:i/>
                  <w:color w:val="000000"/>
                  <w:sz w:val="20"/>
                </w:rPr>
                <w:t>Int'l v. Jerney,</w:t>
              </w:r>
              <w:r>
                <w:rPr>
                  <w:rFonts w:ascii="Times New Roman" w:hAnsi="Times New Roman"/>
                  <w:color w:val="000000"/>
                  <w:sz w:val="20"/>
                </w:rPr>
                <w:t xml:space="preserve"> 921 A.2d 732 (Del. Ch. 2007)</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88</w:t>
            </w:r>
          </w:p>
        </w:tc>
      </w:tr>
      <w:tr>
        <w:tblPrEx/>
        <w:trPr/>
        <w:tc>
          <w:tcPr>
            <w:tcMar>
              <w:left w:w="30" w:type="dxa"/>
              <w:right w:w="30" w:type="dxa"/>
            </w:tcMar>
            <w:vAlign w:val="top"/>
          </w:tcPr>
          <w:p>
            <w:pPr>
              <w:tabs>
                <w:tab w:val="right" w:pos="5665" w:leader="dot"/>
              </w:tabs>
              <w:spacing w:before="0" w:after="0" w:line="235" w:lineRule="atLeast"/>
            </w:pPr>
            <w:hyperlink r:id="r56">
              <w:r>
                <w:rPr>
                  <w:rFonts w:ascii="Times New Roman" w:hAnsi="Times New Roman"/>
                  <w:i/>
                  <w:color w:val="000000"/>
                  <w:sz w:val="20"/>
                </w:rPr>
                <w:t>Weinberger v. UOP, Inc.,</w:t>
              </w:r>
              <w:r>
                <w:rPr>
                  <w:rFonts w:ascii="Times New Roman" w:hAnsi="Times New Roman"/>
                  <w:color w:val="000000"/>
                  <w:sz w:val="20"/>
                </w:rPr>
                <w:t xml:space="preserve"> 457 A.2d 701 (Del. 1983)</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9, 61, 64, 86</w:t>
            </w:r>
          </w:p>
        </w:tc>
      </w:tr>
      <w:tr>
        <w:tblPrEx/>
        <w:trPr/>
        <w:tc>
          <w:tcPr>
            <w:hMerge w:val="restart"/>
            <w:tcMar>
              <w:left w:w="30" w:type="dxa"/>
            </w:tcMar>
            <w:vAlign w:val="top"/>
          </w:tcPr>
          <w:p>
            <w:pPr>
              <w:spacing w:before="0" w:after="0" w:line="235" w:lineRule="atLeast"/>
            </w:pPr>
            <w:r>
              <w:rPr>
                <w:rFonts w:ascii="Times New Roman" w:hAnsi="Times New Roman"/>
                <w:color w:val="000000"/>
                <w:sz w:val="20"/>
              </w:rPr>
              <w:t>RULES</w:t>
            </w:r>
          </w:p>
        </w:tc>
        <w:tc>
          <w:tcPr>
            <w:hMerge w:val="continue"/>
            <w:tcMar>
              <w:right w:w="30" w:type="dxa"/>
            </w:tcMar>
            <w:vAlign w:val="top"/>
          </w:tcPr>
          <w:p>
            <w:pPr>
              <w:spacing w:before="0" w:after="0" w:line="240" w:lineRule="auto"/>
              <w:rPr>
                <w:rFonts w:ascii="Times New Roman" w:hAnsi="Times New Roman"/>
                <w:color w:val="000000"/>
                <w:sz w:val="20"/>
              </w:rPr>
            </w:pPr>
          </w:p>
        </w:tc>
      </w:tr>
      <w:tr>
        <w:tblPrEx/>
        <w:trPr/>
        <w:tc>
          <w:tcPr>
            <w:tcMar>
              <w:left w:w="30" w:type="dxa"/>
              <w:right w:w="30" w:type="dxa"/>
            </w:tcMar>
            <w:vAlign w:val="top"/>
          </w:tcPr>
          <w:p>
            <w:pPr>
              <w:tabs>
                <w:tab w:val="right" w:pos="5665" w:leader="dot"/>
              </w:tabs>
              <w:spacing w:before="0" w:after="0" w:line="235" w:lineRule="atLeast"/>
            </w:pPr>
            <w:r>
              <w:rPr>
                <w:rFonts w:ascii="Times New Roman" w:hAnsi="Times New Roman"/>
                <w:color w:val="000000"/>
                <w:sz w:val="20"/>
              </w:rPr>
              <w:t xml:space="preserve">Delaware </w:t>
            </w:r>
            <w:hyperlink r:id="r57">
              <w:r>
                <w:rPr>
                  <w:rFonts w:ascii="Times New Roman" w:hAnsi="Times New Roman"/>
                  <w:color w:val="000000"/>
                  <w:sz w:val="20"/>
                </w:rPr>
                <w:t>Court of Chancery Rule 30(b)(6)</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50</w:t>
            </w:r>
          </w:p>
        </w:tc>
      </w:tr>
      <w:tr>
        <w:tblPrEx/>
        <w:trPr/>
        <w:tc>
          <w:tcPr>
            <w:tcMar>
              <w:left w:w="30" w:type="dxa"/>
              <w:right w:w="30" w:type="dxa"/>
            </w:tcMar>
            <w:vAlign w:val="top"/>
          </w:tcPr>
          <w:p>
            <w:pPr>
              <w:tabs>
                <w:tab w:val="right" w:pos="5665" w:leader="dot"/>
              </w:tabs>
              <w:spacing w:before="0" w:after="0" w:line="235" w:lineRule="atLeast"/>
            </w:pPr>
            <w:r>
              <w:rPr>
                <w:rFonts w:ascii="Times New Roman" w:hAnsi="Times New Roman"/>
                <w:color w:val="000000"/>
                <w:sz w:val="20"/>
              </w:rPr>
              <w:t xml:space="preserve">Delaware </w:t>
            </w:r>
            <w:hyperlink r:id="r58">
              <w:r>
                <w:rPr>
                  <w:rFonts w:ascii="Times New Roman" w:hAnsi="Times New Roman"/>
                  <w:color w:val="000000"/>
                  <w:sz w:val="20"/>
                </w:rPr>
                <w:t>Court of Chancery Rule 54(d)</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88</w:t>
            </w:r>
          </w:p>
        </w:tc>
      </w:tr>
      <w:tr>
        <w:tblPrEx/>
        <w:trPr/>
        <w:tc>
          <w:tcPr>
            <w:tcMar>
              <w:left w:w="30" w:type="dxa"/>
              <w:right w:w="30" w:type="dxa"/>
            </w:tcMar>
            <w:vAlign w:val="top"/>
          </w:tcPr>
          <w:p>
            <w:pPr>
              <w:tabs>
                <w:tab w:val="right" w:pos="5665" w:leader="dot"/>
              </w:tabs>
              <w:spacing w:before="0" w:after="0" w:line="235" w:lineRule="atLeast"/>
            </w:pPr>
            <w:hyperlink r:id="r59">
              <w:r>
                <w:rPr>
                  <w:rFonts w:ascii="Times New Roman" w:hAnsi="Times New Roman"/>
                  <w:color w:val="000000"/>
                  <w:sz w:val="20"/>
                </w:rPr>
                <w:t>Delaware Rule of Evidence 702</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34, 35, 40</w:t>
            </w:r>
          </w:p>
        </w:tc>
      </w:tr>
      <w:tr>
        <w:tblPrEx/>
        <w:trPr/>
        <w:tc>
          <w:tcPr>
            <w:hMerge w:val="restart"/>
            <w:tcMar>
              <w:left w:w="30" w:type="dxa"/>
            </w:tcMar>
            <w:vAlign w:val="top"/>
          </w:tcPr>
          <w:p>
            <w:pPr>
              <w:spacing w:before="0" w:after="0" w:line="235" w:lineRule="atLeast"/>
            </w:pPr>
            <w:r>
              <w:rPr>
                <w:rFonts w:ascii="Times New Roman" w:hAnsi="Times New Roman"/>
                <w:color w:val="000000"/>
                <w:sz w:val="20"/>
              </w:rPr>
              <w:t>STATUTES</w:t>
            </w:r>
          </w:p>
        </w:tc>
        <w:tc>
          <w:tcPr>
            <w:hMerge w:val="continue"/>
            <w:tcMar>
              <w:right w:w="30" w:type="dxa"/>
            </w:tcMar>
            <w:vAlign w:val="top"/>
          </w:tcPr>
          <w:p>
            <w:pPr>
              <w:spacing w:before="0" w:after="0" w:line="240" w:lineRule="auto"/>
              <w:rPr>
                <w:rFonts w:ascii="Times New Roman" w:hAnsi="Times New Roman"/>
                <w:color w:val="000000"/>
                <w:sz w:val="20"/>
              </w:rPr>
            </w:pPr>
          </w:p>
        </w:tc>
      </w:tr>
      <w:tr>
        <w:tblPrEx/>
        <w:trPr/>
        <w:tc>
          <w:tcPr>
            <w:tcMar>
              <w:left w:w="30" w:type="dxa"/>
              <w:right w:w="30" w:type="dxa"/>
            </w:tcMar>
            <w:vAlign w:val="top"/>
          </w:tcPr>
          <w:p>
            <w:pPr>
              <w:tabs>
                <w:tab w:val="right" w:pos="5665" w:leader="dot"/>
              </w:tabs>
              <w:spacing w:before="0" w:after="0" w:line="235" w:lineRule="atLeast"/>
            </w:pPr>
            <w:hyperlink r:id="r60">
              <w:r>
                <w:rPr>
                  <w:rFonts w:ascii="Times New Roman" w:hAnsi="Times New Roman"/>
                  <w:color w:val="000000"/>
                  <w:sz w:val="20"/>
                </w:rPr>
                <w:t xml:space="preserve">6 </w:t>
              </w:r>
              <w:r>
                <w:rPr>
                  <w:rFonts w:ascii="Times New Roman" w:hAnsi="Times New Roman"/>
                  <w:i/>
                  <w:color w:val="000000"/>
                  <w:sz w:val="20"/>
                </w:rPr>
                <w:t>Del. C.</w:t>
              </w:r>
              <w:r>
                <w:rPr>
                  <w:rFonts w:ascii="Times New Roman" w:hAnsi="Times New Roman"/>
                  <w:color w:val="000000"/>
                  <w:sz w:val="20"/>
                </w:rPr>
                <w:t xml:space="preserve"> § 2301(d)</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88</w:t>
            </w:r>
          </w:p>
        </w:tc>
      </w:tr>
      <w:tr>
        <w:tblPrEx/>
        <w:trPr/>
        <w:tc>
          <w:tcPr>
            <w:hMerge w:val="restart"/>
            <w:tcMar>
              <w:left w:w="30" w:type="dxa"/>
            </w:tcMar>
            <w:vAlign w:val="top"/>
          </w:tcPr>
          <w:p>
            <w:pPr>
              <w:spacing w:before="0" w:after="0" w:line="235" w:lineRule="atLeast"/>
            </w:pPr>
            <w:r>
              <w:rPr>
                <w:rFonts w:ascii="Times New Roman" w:hAnsi="Times New Roman"/>
                <w:b/>
                <w:color w:val="000000"/>
                <w:sz w:val="20"/>
              </w:rPr>
              <w:t>OTHER AUTHORITIES</w:t>
            </w:r>
          </w:p>
        </w:tc>
        <w:tc>
          <w:tcPr>
            <w:hMerge w:val="continue"/>
            <w:tcMar>
              <w:right w:w="30" w:type="dxa"/>
            </w:tcMar>
            <w:vAlign w:val="top"/>
          </w:tcPr>
          <w:p>
            <w:pPr>
              <w:spacing w:before="0" w:after="0" w:line="240" w:lineRule="auto"/>
              <w:rPr>
                <w:rFonts w:ascii="Times New Roman" w:hAnsi="Times New Roman"/>
                <w:color w:val="000000"/>
                <w:sz w:val="20"/>
              </w:rPr>
            </w:pPr>
          </w:p>
        </w:tc>
      </w:tr>
      <w:tr>
        <w:tblPrEx/>
        <w:trPr/>
        <w:tc>
          <w:tcPr>
            <w:tcMar>
              <w:left w:w="30" w:type="dxa"/>
              <w:right w:w="30" w:type="dxa"/>
            </w:tcMar>
            <w:vAlign w:val="top"/>
          </w:tcPr>
          <w:p>
            <w:pPr>
              <w:tabs>
                <w:tab w:val="right" w:pos="5665" w:leader="dot"/>
              </w:tabs>
              <w:spacing w:before="0" w:after="0" w:line="235" w:lineRule="atLeast"/>
            </w:pPr>
            <w:r>
              <w:rPr>
                <w:rFonts w:ascii="Times New Roman" w:hAnsi="Times New Roman"/>
                <w:color w:val="000000"/>
                <w:sz w:val="20"/>
              </w:rPr>
              <w:t xml:space="preserve">A.A. Berle, Jr., </w:t>
            </w:r>
            <w:hyperlink r:id="r61">
              <w:r>
                <w:rPr>
                  <w:rFonts w:ascii="Times New Roman" w:hAnsi="Times New Roman"/>
                  <w:i/>
                  <w:color w:val="000000"/>
                  <w:sz w:val="20"/>
                </w:rPr>
                <w:t>Corporate Powers as Powers in Trust,</w:t>
              </w:r>
              <w:r>
                <w:rPr>
                  <w:rFonts w:ascii="Times New Roman" w:hAnsi="Times New Roman"/>
                  <w:color w:val="000000"/>
                  <w:sz w:val="20"/>
                </w:rPr>
                <w:t xml:space="preserve"> 44 Harv. L. Rev. 1049 (1931)</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9</w:t>
            </w:r>
          </w:p>
        </w:tc>
      </w:tr>
      <w:tr>
        <w:tblPrEx/>
        <w:trPr/>
        <w:tc>
          <w:tcPr>
            <w:tcMar>
              <w:left w:w="30" w:type="dxa"/>
              <w:right w:w="30" w:type="dxa"/>
            </w:tcMar>
            <w:vAlign w:val="top"/>
          </w:tcPr>
          <w:p>
            <w:pPr>
              <w:tabs>
                <w:tab w:val="right" w:pos="5665" w:leader="dot"/>
              </w:tabs>
              <w:spacing w:before="0" w:after="0" w:line="235" w:lineRule="atLeast"/>
            </w:pPr>
            <w:r>
              <w:rPr>
                <w:rFonts w:ascii="Times New Roman" w:hAnsi="Times New Roman"/>
                <w:color w:val="000000"/>
                <w:sz w:val="20"/>
              </w:rPr>
              <w:t xml:space="preserve">Aswath Damodaran, </w:t>
            </w:r>
            <w:r>
              <w:rPr>
                <w:rFonts w:ascii="Times New Roman" w:hAnsi="Times New Roman"/>
                <w:i/>
                <w:color w:val="000000"/>
                <w:sz w:val="20"/>
              </w:rPr>
              <w:t>The Small Cap Premium: Where is the beef?,</w:t>
            </w:r>
            <w:r>
              <w:rPr>
                <w:rFonts w:ascii="Times New Roman" w:hAnsi="Times New Roman"/>
                <w:color w:val="000000"/>
                <w:sz w:val="20"/>
              </w:rPr>
              <w:t xml:space="preserve"> Musings on Markets (Apr. 11, 2015)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37</w:t>
            </w:r>
          </w:p>
        </w:tc>
      </w:tr>
      <w:tr>
        <w:tblPrEx/>
        <w:trPr/>
        <w:tc>
          <w:tcPr>
            <w:tcMar>
              <w:left w:w="30" w:type="dxa"/>
              <w:right w:w="30" w:type="dxa"/>
            </w:tcMar>
            <w:vAlign w:val="top"/>
          </w:tcPr>
          <w:p>
            <w:pPr>
              <w:tabs>
                <w:tab w:val="right" w:pos="5665" w:leader="dot"/>
              </w:tabs>
              <w:spacing w:before="0" w:after="0" w:line="235" w:lineRule="atLeast"/>
            </w:pPr>
            <w:r>
              <w:rPr>
                <w:rFonts w:ascii="Times New Roman" w:hAnsi="Times New Roman"/>
                <w:color w:val="000000"/>
                <w:sz w:val="20"/>
              </w:rPr>
              <w:t xml:space="preserve">Donald J. Wolfe &amp; Michael A. Pittenger, </w:t>
            </w:r>
            <w:r>
              <w:rPr>
                <w:rFonts w:ascii="Times New Roman" w:hAnsi="Times New Roman"/>
                <w:i/>
                <w:color w:val="000000"/>
                <w:sz w:val="20"/>
              </w:rPr>
              <w:t>Corporate and Commerical Practice in the Del. Court of Chancery,</w:t>
            </w:r>
            <w:r>
              <w:rPr>
                <w:rFonts w:ascii="Times New Roman" w:hAnsi="Times New Roman"/>
                <w:color w:val="000000"/>
                <w:sz w:val="20"/>
              </w:rPr>
              <w:t xml:space="preserve"> § 12.04[b]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64</w:t>
            </w:r>
          </w:p>
        </w:tc>
      </w:tr>
      <w:tr>
        <w:tblPrEx/>
        <w:trPr/>
        <w:tc>
          <w:tcPr>
            <w:tcMar>
              <w:left w:w="30" w:type="dxa"/>
              <w:right w:w="30" w:type="dxa"/>
            </w:tcMar>
            <w:vAlign w:val="top"/>
          </w:tcPr>
          <w:p>
            <w:pPr>
              <w:tabs>
                <w:tab w:val="right" w:pos="5665" w:leader="dot"/>
              </w:tabs>
              <w:spacing w:before="0" w:after="0" w:line="235" w:lineRule="atLeast"/>
            </w:pPr>
            <w:r>
              <w:rPr>
                <w:rFonts w:ascii="Times New Roman" w:hAnsi="Times New Roman"/>
                <w:color w:val="000000"/>
                <w:sz w:val="20"/>
              </w:rPr>
              <w:t xml:space="preserve">Shannon P. Pratt, </w:t>
            </w:r>
            <w:r>
              <w:rPr>
                <w:rFonts w:ascii="Times New Roman" w:hAnsi="Times New Roman"/>
                <w:i/>
                <w:color w:val="000000"/>
                <w:sz w:val="20"/>
              </w:rPr>
              <w:t>Valuing a Business: The Analysis and Appraisal of Closely Held Companies</w:t>
            </w:r>
            <w:r>
              <w:rPr>
                <w:rFonts w:ascii="Times New Roman" w:hAnsi="Times New Roman"/>
                <w:color w:val="000000"/>
                <w:sz w:val="20"/>
              </w:rPr>
              <w:t xml:space="preserve"> (5th ed. 2008)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70</w:t>
            </w:r>
          </w:p>
        </w:tc>
      </w:tr>
    </w:tbl>
    <w:p>
      <w:pPr>
        <w:spacing w:before="200" w:after="0" w:line="275" w:lineRule="atLeast"/>
        <w:jc w:val="both"/>
      </w:pPr>
      <w:r>
        <w:rPr>
          <w:rFonts w:ascii="Times New Roman" w:hAnsi="Times New Roman"/>
          <w:b/>
          <w:color w:val="000000"/>
          <w:sz w:val="20"/>
        </w:rPr>
        <w:t>PRELIMINARY STATEMENT</w:t>
      </w:r>
      <w:r>
        <w:rPr>
          <w:rFonts w:ascii="Times New Roman" w:hAnsi="Times New Roman"/>
          <w:color w:val="000000"/>
          <w:sz w:val="20"/>
        </w:rPr>
        <w:t>[Text redacted in copy]c</w:t>
      </w:r>
      <w:bookmarkStart w:id="4" w:name="co_tablefootnote_1_1"/>
      <w:hyperlink w:anchor="co_tablefootnoteblock_1_1">
        <w:r>
          <w:rPr>
            <w:rFonts w:ascii="Times New Roman" w:hAnsi="Times New Roman"/>
            <w:color w:val="000000"/>
            <w:sz w:val="16"/>
            <w:vertAlign w:val="superscript"/>
          </w:rPr>
          <w:t>1</w:t>
        </w:r>
      </w:hyperlink>
      <w:bookmarkEnd w:id="4"/>
    </w:p>
    <w:p>
      <w:pPr>
        <w:spacing w:before="0" w:after="0" w:line="275" w:lineRule="atLeast"/>
        <w:jc w:val="both"/>
      </w:pPr>
      <w:r>
        <w:rPr>
          <w:rFonts w:ascii="Times New Roman" w:hAnsi="Times New Roman"/>
          <w:color w:val="000000"/>
          <w:sz w:val="20"/>
        </w:rPr>
        <w:t> </w:t>
      </w:r>
    </w:p>
    <w:p>
      <w:pPr>
        <w:spacing w:before="400" w:after="0" w:line="275" w:lineRule="atLeast"/>
        <w:jc w:val="both"/>
      </w:pPr>
      <w:r>
        <w:rPr>
          <w:rFonts w:ascii="Times New Roman" w:hAnsi="Times New Roman"/>
          <w:color w:val="000000"/>
          <w:sz w:val="20"/>
        </w:rPr>
        <w:t>At trial, Plaintiffs presented overwhelming evidence that AT&amp;T breached its fiduciary duty of loyalty to the Minority Partners by cashing them out of the Partnerships through an unfair process and at an unfair price. Despite carrying the burden of establishing the Transactions were entirely fair, AT&amp;T presented no credible evidence of fair dealing or fair price. AT&amp;T instead resorts to mischaracterizing the trial evidence or ignoring it altogether.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Chief among AT&amp;T's mischaracterizations is the contention that the Transactions' purpose was to reduce administrative expenses. </w:t>
      </w:r>
      <w:r>
        <w:rPr>
          <w:rFonts w:ascii="Times New Roman" w:hAnsi="Times New Roman"/>
          <w:color w:val="000000"/>
          <w:sz w:val="20"/>
        </w:rPr>
        <w:t>Trial showed this was less than truthful: AT&amp;T's actual purpose for the Transactions was to avoid future profit distributions to its partners,</w:t>
      </w:r>
      <w:bookmarkStart w:id="5" w:name="co_tablefootnote_2_1"/>
      <w:hyperlink w:anchor="co_tablefootnoteblock_2_1">
        <w:r>
          <w:rPr>
            <w:rFonts w:ascii="Times New Roman" w:hAnsi="Times New Roman"/>
            <w:color w:val="000000"/>
            <w:sz w:val="16"/>
            <w:vertAlign w:val="superscript"/>
          </w:rPr>
          <w:t>2</w:t>
        </w:r>
      </w:hyperlink>
      <w:bookmarkEnd w:id="5"/>
      <w:r>
        <w:rPr>
          <w:rFonts w:ascii="Times New Roman" w:hAnsi="Times New Roman"/>
          <w:color w:val="000000"/>
          <w:sz w:val="20"/>
        </w:rPr>
        <w:t xml:space="preserve"> reduce its minority interest expense,</w:t>
      </w:r>
      <w:bookmarkStart w:id="6" w:name="co_tablefootnote_3_1"/>
      <w:hyperlink w:anchor="co_tablefootnoteblock_3_1">
        <w:r>
          <w:rPr>
            <w:rFonts w:ascii="Times New Roman" w:hAnsi="Times New Roman"/>
            <w:color w:val="000000"/>
            <w:sz w:val="16"/>
            <w:vertAlign w:val="superscript"/>
          </w:rPr>
          <w:t>3</w:t>
        </w:r>
      </w:hyperlink>
      <w:bookmarkEnd w:id="6"/>
      <w:r>
        <w:rPr>
          <w:rFonts w:ascii="Times New Roman" w:hAnsi="Times New Roman"/>
          <w:color w:val="000000"/>
          <w:sz w:val="20"/>
        </w:rPr>
        <w:t xml:space="preserve"> and increase its profitability.</w:t>
      </w:r>
      <w:bookmarkStart w:id="7" w:name="co_tablefootnote_4_1"/>
      <w:hyperlink w:anchor="co_tablefootnoteblock_4_1">
        <w:r>
          <w:rPr>
            <w:rFonts w:ascii="Times New Roman" w:hAnsi="Times New Roman"/>
            <w:color w:val="000000"/>
            <w:sz w:val="16"/>
            <w:vertAlign w:val="superscript"/>
          </w:rPr>
          <w:t>4</w:t>
        </w:r>
      </w:hyperlink>
      <w:bookmarkEnd w:id="7"/>
      <w:r>
        <w:rPr>
          <w:rFonts w:ascii="Times New Roman" w:hAnsi="Times New Roman"/>
          <w:color w:val="000000"/>
          <w:sz w:val="20"/>
        </w:rPr>
        <w:t xml:space="preserve"> AT&amp;T's minority interest expense was 2.4% of Mobility's Operating Income as of the close of the 3</w:t>
      </w:r>
      <w:r>
        <w:rPr>
          <w:rFonts w:ascii="Times New Roman" w:hAnsi="Times New Roman"/>
          <w:color w:val="000000"/>
          <w:sz w:val="16"/>
          <w:vertAlign w:val="superscript"/>
        </w:rPr>
        <w:t>rd</w:t>
      </w:r>
      <w:r>
        <w:rPr>
          <w:rFonts w:ascii="Times New Roman" w:hAnsi="Times New Roman"/>
          <w:color w:val="000000"/>
          <w:sz w:val="20"/>
        </w:rPr>
        <w:t xml:space="preserve"> quarter of 2009</w:t>
      </w:r>
      <w:bookmarkStart w:id="8" w:name="co_tablefootnote_5_1"/>
      <w:hyperlink w:anchor="co_tablefootnoteblock_5_1">
        <w:r>
          <w:rPr>
            <w:rFonts w:ascii="Times New Roman" w:hAnsi="Times New Roman"/>
            <w:color w:val="000000"/>
            <w:sz w:val="16"/>
            <w:vertAlign w:val="superscript"/>
          </w:rPr>
          <w:t>5</w:t>
        </w:r>
      </w:hyperlink>
      <w:bookmarkEnd w:id="8"/>
      <w:r>
        <w:rPr>
          <w:rFonts w:ascii="Times New Roman" w:hAnsi="Times New Roman"/>
          <w:color w:val="000000"/>
          <w:sz w:val="20"/>
        </w:rPr>
        <w:t xml:space="preserve"> and growing.</w:t>
      </w:r>
      <w:bookmarkStart w:id="9" w:name="co_tablefootnote_6_1"/>
      <w:hyperlink w:anchor="co_tablefootnoteblock_6_1">
        <w:r>
          <w:rPr>
            <w:rFonts w:ascii="Times New Roman" w:hAnsi="Times New Roman"/>
            <w:color w:val="000000"/>
            <w:sz w:val="16"/>
            <w:vertAlign w:val="superscript"/>
          </w:rPr>
          <w:t>6</w:t>
        </w:r>
      </w:hyperlink>
      <w:bookmarkEnd w:id="9"/>
      <w:r>
        <w:rPr>
          <w:rFonts w:ascii="Times New Roman" w:hAnsi="Times New Roman"/>
          <w:color w:val="000000"/>
          <w:sz w:val="20"/>
        </w:rPr>
        <w:t xml:space="preserve"> AT&amp;T was the proverbial “800-pound gorilla”</w:t>
      </w:r>
      <w:bookmarkStart w:id="10" w:name="co_tablefootnote_7_1"/>
      <w:hyperlink w:anchor="co_tablefootnoteblock_7_1">
        <w:r>
          <w:rPr>
            <w:rFonts w:ascii="Times New Roman" w:hAnsi="Times New Roman"/>
            <w:color w:val="000000"/>
            <w:sz w:val="16"/>
            <w:vertAlign w:val="superscript"/>
          </w:rPr>
          <w:t>7</w:t>
        </w:r>
      </w:hyperlink>
      <w:bookmarkEnd w:id="10"/>
      <w:r>
        <w:rPr>
          <w:rFonts w:ascii="Times New Roman" w:hAnsi="Times New Roman"/>
          <w:color w:val="000000"/>
          <w:sz w:val="20"/>
        </w:rPr>
        <w:t xml:space="preserve"> and Plaintiffs' distributions were low-hanging bananas that could be plucked without Plaintiffs' consent.</w:t>
      </w:r>
      <w:bookmarkStart w:id="11" w:name="co_tablefootnote_8_1"/>
      <w:hyperlink w:anchor="co_tablefootnoteblock_8_1">
        <w:r>
          <w:rPr>
            <w:rFonts w:ascii="Times New Roman" w:hAnsi="Times New Roman"/>
            <w:color w:val="000000"/>
            <w:sz w:val="16"/>
            <w:vertAlign w:val="superscript"/>
          </w:rPr>
          <w:t>8</w:t>
        </w:r>
      </w:hyperlink>
      <w:bookmarkEnd w:id="11"/>
    </w:p>
    <w:p>
      <w:pPr>
        <w:spacing w:before="0" w:after="0" w:line="275" w:lineRule="atLeast"/>
        <w:jc w:val="both"/>
      </w:pPr>
      <w:r>
        <w:rPr>
          <w:rFonts w:ascii="Times New Roman" w:hAnsi="Times New Roman"/>
          <w:color w:val="000000"/>
          <w:sz w:val="20"/>
        </w:rPr>
        <w:t> </w:t>
      </w:r>
    </w:p>
    <w:p>
      <w:pPr>
        <w:spacing w:before="400" w:after="0" w:line="275" w:lineRule="atLeast"/>
        <w:jc w:val="both"/>
      </w:pPr>
      <w:r>
        <w:rPr>
          <w:rFonts w:ascii="Times New Roman" w:hAnsi="Times New Roman"/>
          <w:color w:val="000000"/>
          <w:sz w:val="20"/>
        </w:rPr>
        <w:t xml:space="preserve">The avoidance of administrative expenses was a </w:t>
      </w:r>
      <w:r>
        <w:rPr>
          <w:rFonts w:ascii="Times New Roman" w:hAnsi="Times New Roman"/>
          <w:i/>
          <w:color w:val="000000"/>
          <w:sz w:val="20"/>
        </w:rPr>
        <w:t>de minimis</w:t>
      </w:r>
      <w:r>
        <w:rPr>
          <w:rFonts w:ascii="Times New Roman" w:hAnsi="Times New Roman"/>
          <w:color w:val="000000"/>
          <w:sz w:val="20"/>
        </w:rPr>
        <w:t xml:space="preserve"> “byproduct of the transactions.”</w:t>
      </w:r>
      <w:bookmarkStart w:id="12" w:name="co_tablefootnote_9_1"/>
      <w:hyperlink w:anchor="co_tablefootnoteblock_9_1">
        <w:r>
          <w:rPr>
            <w:rFonts w:ascii="Times New Roman" w:hAnsi="Times New Roman"/>
            <w:color w:val="000000"/>
            <w:sz w:val="16"/>
            <w:vertAlign w:val="superscript"/>
          </w:rPr>
          <w:t>9</w:t>
        </w:r>
      </w:hyperlink>
      <w:bookmarkEnd w:id="12"/>
      <w:r>
        <w:rPr>
          <w:rFonts w:ascii="Times New Roman" w:hAnsi="Times New Roman"/>
          <w:color w:val="000000"/>
          <w:sz w:val="20"/>
        </w:rPr>
        <w:t xml:space="preserve"> Between the 4</w:t>
      </w:r>
      <w:r>
        <w:rPr>
          <w:rFonts w:ascii="Times New Roman" w:hAnsi="Times New Roman"/>
          <w:color w:val="000000"/>
          <w:sz w:val="16"/>
          <w:vertAlign w:val="superscript"/>
        </w:rPr>
        <w:t>th</w:t>
      </w:r>
      <w:r>
        <w:rPr>
          <w:rFonts w:ascii="Times New Roman" w:hAnsi="Times New Roman"/>
          <w:color w:val="000000"/>
          <w:sz w:val="20"/>
        </w:rPr>
        <w:t xml:space="preserve"> quarter of 2010 and 2014, AT&amp;T projected “[n]ew cash flow from avoided partnership distributions” would generate $47.5 million</w:t>
      </w:r>
      <w:bookmarkStart w:id="13" w:name="co_tablefootnote_10_1"/>
      <w:hyperlink w:anchor="co_tablefootnoteblock_10_1">
        <w:r>
          <w:rPr>
            <w:rFonts w:ascii="Times New Roman" w:hAnsi="Times New Roman"/>
            <w:color w:val="000000"/>
            <w:sz w:val="16"/>
            <w:vertAlign w:val="superscript"/>
          </w:rPr>
          <w:t>10</w:t>
        </w:r>
      </w:hyperlink>
      <w:bookmarkEnd w:id="13"/>
      <w:r>
        <w:rPr>
          <w:rFonts w:ascii="Times New Roman" w:hAnsi="Times New Roman"/>
          <w:color w:val="000000"/>
          <w:sz w:val="20"/>
        </w:rPr>
        <w:t xml:space="preserve"> and a “cash tax shield from step-up” would generate another $9.4 million.</w:t>
      </w:r>
      <w:bookmarkStart w:id="14" w:name="co_tablefootnote_11_1"/>
      <w:hyperlink w:anchor="co_tablefootnoteblock_11_1">
        <w:r>
          <w:rPr>
            <w:rFonts w:ascii="Times New Roman" w:hAnsi="Times New Roman"/>
            <w:color w:val="000000"/>
            <w:sz w:val="16"/>
            <w:vertAlign w:val="superscript"/>
          </w:rPr>
          <w:t>11</w:t>
        </w:r>
      </w:hyperlink>
      <w:bookmarkEnd w:id="14"/>
      <w:r>
        <w:rPr>
          <w:rFonts w:ascii="Times New Roman" w:hAnsi="Times New Roman"/>
          <w:color w:val="000000"/>
          <w:sz w:val="20"/>
        </w:rPr>
        <w:t xml:space="preserve"> In contrast, “[a]voided administrative costs, after taxes” would generate $1.9 million, just 3.2% of the benefits AT&amp;T expected from the Transactions.</w:t>
      </w:r>
      <w:bookmarkStart w:id="15" w:name="co_tablefootnote_12_1"/>
      <w:hyperlink w:anchor="co_tablefootnoteblock_12_1">
        <w:r>
          <w:rPr>
            <w:rFonts w:ascii="Times New Roman" w:hAnsi="Times New Roman"/>
            <w:color w:val="000000"/>
            <w:sz w:val="16"/>
            <w:vertAlign w:val="superscript"/>
          </w:rPr>
          <w:t>12</w:t>
        </w:r>
      </w:hyperlink>
      <w:bookmarkEnd w:id="15"/>
      <w:r>
        <w:rPr>
          <w:rFonts w:ascii="Times New Roman" w:hAnsi="Times New Roman"/>
          <w:color w:val="000000"/>
          <w:sz w:val="20"/>
        </w:rPr>
        <w:t xml:space="preserve"> Yet, AT&amp;T told this Court the Transactions were motivated by administrative cost-savings over,</w:t>
      </w:r>
      <w:bookmarkStart w:id="16" w:name="co_tablefootnote_13_1"/>
      <w:hyperlink w:anchor="co_tablefootnoteblock_13_1">
        <w:r>
          <w:rPr>
            <w:rFonts w:ascii="Times New Roman" w:hAnsi="Times New Roman"/>
            <w:color w:val="000000"/>
            <w:sz w:val="16"/>
            <w:vertAlign w:val="superscript"/>
          </w:rPr>
          <w:t>13</w:t>
        </w:r>
      </w:hyperlink>
      <w:bookmarkEnd w:id="16"/>
      <w:r>
        <w:rPr>
          <w:rFonts w:ascii="Times New Roman" w:hAnsi="Times New Roman"/>
          <w:color w:val="000000"/>
          <w:sz w:val="20"/>
        </w:rPr>
        <w:t xml:space="preserve"> and over,</w:t>
      </w:r>
      <w:bookmarkStart w:id="17" w:name="co_tablefootnote_14_1"/>
      <w:hyperlink w:anchor="co_tablefootnoteblock_14_1">
        <w:r>
          <w:rPr>
            <w:rFonts w:ascii="Times New Roman" w:hAnsi="Times New Roman"/>
            <w:color w:val="000000"/>
            <w:sz w:val="16"/>
            <w:vertAlign w:val="superscript"/>
          </w:rPr>
          <w:t>14</w:t>
        </w:r>
      </w:hyperlink>
      <w:bookmarkEnd w:id="17"/>
      <w:r>
        <w:rPr>
          <w:rFonts w:ascii="Times New Roman" w:hAnsi="Times New Roman"/>
          <w:color w:val="000000"/>
          <w:sz w:val="20"/>
        </w:rPr>
        <w:t xml:space="preserve"> and over,</w:t>
      </w:r>
      <w:bookmarkStart w:id="18" w:name="co_tablefootnote_15_1"/>
      <w:hyperlink w:anchor="co_tablefootnoteblock_15_1">
        <w:r>
          <w:rPr>
            <w:rFonts w:ascii="Times New Roman" w:hAnsi="Times New Roman"/>
            <w:color w:val="000000"/>
            <w:sz w:val="16"/>
            <w:vertAlign w:val="superscript"/>
          </w:rPr>
          <w:t>15</w:t>
        </w:r>
      </w:hyperlink>
      <w:bookmarkEnd w:id="18"/>
      <w:r>
        <w:rPr>
          <w:rFonts w:ascii="Times New Roman" w:hAnsi="Times New Roman"/>
          <w:color w:val="000000"/>
          <w:sz w:val="20"/>
        </w:rPr>
        <w:t xml:space="preserve"> and over,</w:t>
      </w:r>
      <w:bookmarkStart w:id="19" w:name="co_tablefootnote_16_1"/>
      <w:hyperlink w:anchor="co_tablefootnoteblock_16_1">
        <w:r>
          <w:rPr>
            <w:rFonts w:ascii="Times New Roman" w:hAnsi="Times New Roman"/>
            <w:color w:val="000000"/>
            <w:sz w:val="16"/>
            <w:vertAlign w:val="superscript"/>
          </w:rPr>
          <w:t>16</w:t>
        </w:r>
      </w:hyperlink>
      <w:bookmarkEnd w:id="19"/>
      <w:r>
        <w:rPr>
          <w:rFonts w:ascii="Times New Roman" w:hAnsi="Times New Roman"/>
          <w:color w:val="000000"/>
          <w:sz w:val="20"/>
        </w:rPr>
        <w:t xml:space="preserve"> and over,</w:t>
      </w:r>
      <w:bookmarkStart w:id="20" w:name="co_tablefootnote_17_1"/>
      <w:hyperlink w:anchor="co_tablefootnoteblock_17_1">
        <w:r>
          <w:rPr>
            <w:rFonts w:ascii="Times New Roman" w:hAnsi="Times New Roman"/>
            <w:color w:val="000000"/>
            <w:sz w:val="16"/>
            <w:vertAlign w:val="superscript"/>
          </w:rPr>
          <w:t>17</w:t>
        </w:r>
      </w:hyperlink>
      <w:bookmarkEnd w:id="20"/>
      <w:r>
        <w:rPr>
          <w:rFonts w:ascii="Times New Roman" w:hAnsi="Times New Roman"/>
          <w:color w:val="000000"/>
          <w:sz w:val="20"/>
        </w:rPr>
        <w:t xml:space="preserve"> and over</w:t>
      </w:r>
      <w:bookmarkStart w:id="21" w:name="co_tablefootnote_18_1"/>
      <w:hyperlink w:anchor="co_tablefootnoteblock_18_1">
        <w:r>
          <w:rPr>
            <w:rFonts w:ascii="Times New Roman" w:hAnsi="Times New Roman"/>
            <w:color w:val="000000"/>
            <w:sz w:val="16"/>
            <w:vertAlign w:val="superscript"/>
          </w:rPr>
          <w:t>18</w:t>
        </w:r>
      </w:hyperlink>
      <w:bookmarkEnd w:id="21"/>
      <w:r>
        <w:rPr>
          <w:rFonts w:ascii="Times New Roman" w:hAnsi="Times New Roman"/>
          <w:color w:val="000000"/>
          <w:sz w:val="20"/>
        </w:rPr>
        <w:t xml:space="preserve"> again. Avoided distributions and AT&amp;T's corresponding minority interest expense are not even mentioned in AT&amp;T's post-trial briefing.</w:t>
      </w:r>
    </w:p>
    <w:p>
      <w:pPr>
        <w:spacing w:before="0" w:after="0" w:line="275" w:lineRule="atLeast"/>
        <w:jc w:val="both"/>
      </w:pPr>
      <w:r>
        <w:rPr>
          <w:rFonts w:ascii="Times New Roman" w:hAnsi="Times New Roman"/>
          <w:color w:val="000000"/>
          <w:sz w:val="20"/>
        </w:rPr>
        <w:t> </w:t>
      </w:r>
    </w:p>
    <w:p>
      <w:pPr>
        <w:spacing w:before="400" w:after="0" w:line="275" w:lineRule="atLeast"/>
        <w:jc w:val="both"/>
      </w:pPr>
      <w:r>
        <w:rPr>
          <w:rFonts w:ascii="Times New Roman" w:hAnsi="Times New Roman"/>
          <w:color w:val="000000"/>
          <w:sz w:val="20"/>
        </w:rPr>
        <w:t>AT&amp;T misrepresents more: AT&amp;T did not manage the Partnerships in compliance with either the Partnership Agreements or Management Network and Sharing Agreements (“MNSAs”),</w:t>
      </w:r>
      <w:bookmarkStart w:id="22" w:name="co_tablefootnote_19_1"/>
      <w:hyperlink w:anchor="co_tablefootnoteblock_19_1">
        <w:r>
          <w:rPr>
            <w:rFonts w:ascii="Times New Roman" w:hAnsi="Times New Roman"/>
            <w:color w:val="000000"/>
            <w:sz w:val="16"/>
            <w:vertAlign w:val="superscript"/>
          </w:rPr>
          <w:t>19</w:t>
        </w:r>
      </w:hyperlink>
      <w:bookmarkEnd w:id="22"/>
      <w:r>
        <w:rPr>
          <w:rFonts w:ascii="Times New Roman" w:hAnsi="Times New Roman"/>
          <w:color w:val="000000"/>
          <w:sz w:val="20"/>
        </w:rPr>
        <w:t xml:space="preserve"> and AT&amp;T has no idea how much more profitable the Partnerships would have been if it had complied with these agreements.</w:t>
      </w:r>
      <w:bookmarkStart w:id="23" w:name="co_tablefootnote_20_1"/>
      <w:hyperlink w:anchor="co_tablefootnoteblock_20_1">
        <w:r>
          <w:rPr>
            <w:rFonts w:ascii="Times New Roman" w:hAnsi="Times New Roman"/>
            <w:color w:val="000000"/>
            <w:sz w:val="16"/>
            <w:vertAlign w:val="superscript"/>
          </w:rPr>
          <w:t>20</w:t>
        </w:r>
      </w:hyperlink>
      <w:bookmarkEnd w:id="23"/>
      <w:r>
        <w:rPr>
          <w:rFonts w:ascii="Times New Roman" w:hAnsi="Times New Roman"/>
          <w:color w:val="000000"/>
          <w:sz w:val="20"/>
        </w:rPr>
        <w:t xml:space="preserve"> AT&amp;T has no idea what the Partnership financials would look like if it accurately accounted for Partnership subscribers,</w:t>
      </w:r>
      <w:bookmarkStart w:id="24" w:name="co_tablefootnote_21_1"/>
      <w:hyperlink w:anchor="co_tablefootnoteblock_21_1">
        <w:r>
          <w:rPr>
            <w:rFonts w:ascii="Times New Roman" w:hAnsi="Times New Roman"/>
            <w:color w:val="000000"/>
            <w:sz w:val="16"/>
            <w:vertAlign w:val="superscript"/>
          </w:rPr>
          <w:t>21</w:t>
        </w:r>
      </w:hyperlink>
      <w:bookmarkEnd w:id="24"/>
      <w:r>
        <w:rPr>
          <w:rFonts w:ascii="Times New Roman" w:hAnsi="Times New Roman"/>
          <w:color w:val="000000"/>
          <w:sz w:val="20"/>
        </w:rPr>
        <w:t xml:space="preserve"> nor did AT&amp;T and Verizon agree to port subscribers to Mobility based on NPA-NXX ranges.</w:t>
      </w:r>
      <w:bookmarkStart w:id="25" w:name="co_tablefootnote_22_1"/>
      <w:hyperlink w:anchor="co_tablefootnoteblock_22_1">
        <w:r>
          <w:rPr>
            <w:rFonts w:ascii="Times New Roman" w:hAnsi="Times New Roman"/>
            <w:color w:val="000000"/>
            <w:sz w:val="16"/>
            <w:vertAlign w:val="superscript"/>
          </w:rPr>
          <w:t>22</w:t>
        </w:r>
      </w:hyperlink>
      <w:bookmarkEnd w:id="25"/>
      <w:r>
        <w:rPr>
          <w:rFonts w:ascii="Times New Roman" w:hAnsi="Times New Roman"/>
          <w:color w:val="000000"/>
          <w:sz w:val="20"/>
        </w:rPr>
        <w:t xml:space="preserve"> Roaming did not make the Partnerships whole,</w:t>
      </w:r>
      <w:bookmarkStart w:id="26" w:name="co_tablefootnote_23_1"/>
      <w:hyperlink w:anchor="co_tablefootnoteblock_23_1">
        <w:r>
          <w:rPr>
            <w:rFonts w:ascii="Times New Roman" w:hAnsi="Times New Roman"/>
            <w:color w:val="000000"/>
            <w:sz w:val="16"/>
            <w:vertAlign w:val="superscript"/>
          </w:rPr>
          <w:t>23</w:t>
        </w:r>
      </w:hyperlink>
      <w:bookmarkEnd w:id="26"/>
      <w:r>
        <w:rPr>
          <w:rFonts w:ascii="Times New Roman" w:hAnsi="Times New Roman"/>
          <w:color w:val="000000"/>
          <w:sz w:val="20"/>
        </w:rPr>
        <w:t xml:space="preserve"> and AT&amp;T's philosophy was not to allocate all revenues to the Partnerships,</w:t>
      </w:r>
      <w:bookmarkStart w:id="27" w:name="co_tablefootnote_24_1"/>
      <w:hyperlink w:anchor="co_tablefootnoteblock_24_1">
        <w:r>
          <w:rPr>
            <w:rFonts w:ascii="Times New Roman" w:hAnsi="Times New Roman"/>
            <w:color w:val="000000"/>
            <w:sz w:val="16"/>
            <w:vertAlign w:val="superscript"/>
          </w:rPr>
          <w:t>24</w:t>
        </w:r>
      </w:hyperlink>
      <w:bookmarkEnd w:id="27"/>
      <w:r>
        <w:rPr>
          <w:rFonts w:ascii="Times New Roman" w:hAnsi="Times New Roman"/>
          <w:color w:val="000000"/>
          <w:sz w:val="20"/>
        </w:rPr>
        <w:t xml:space="preserve"> nor did AT&amp;T historically favor the Partnerships.</w:t>
      </w:r>
      <w:bookmarkStart w:id="28" w:name="co_tablefootnote_25_1"/>
      <w:hyperlink w:anchor="co_tablefootnoteblock_25_1">
        <w:r>
          <w:rPr>
            <w:rFonts w:ascii="Times New Roman" w:hAnsi="Times New Roman"/>
            <w:color w:val="000000"/>
            <w:sz w:val="16"/>
            <w:vertAlign w:val="superscript"/>
          </w:rPr>
          <w:t>25</w:t>
        </w:r>
      </w:hyperlink>
      <w:bookmarkEnd w:id="28"/>
    </w:p>
    <w:p>
      <w:pPr>
        <w:spacing w:before="0" w:after="0" w:line="275" w:lineRule="atLeast"/>
        <w:jc w:val="both"/>
      </w:pPr>
      <w:r>
        <w:rPr>
          <w:rFonts w:ascii="Times New Roman" w:hAnsi="Times New Roman"/>
          <w:color w:val="000000"/>
          <w:sz w:val="20"/>
        </w:rPr>
        <w:t> </w:t>
      </w:r>
    </w:p>
    <w:p>
      <w:pPr>
        <w:spacing w:before="400" w:after="0" w:line="275" w:lineRule="atLeast"/>
        <w:jc w:val="both"/>
      </w:pPr>
      <w:r>
        <w:rPr>
          <w:rFonts w:ascii="Times New Roman" w:hAnsi="Times New Roman"/>
          <w:color w:val="000000"/>
          <w:sz w:val="20"/>
        </w:rPr>
        <w:t>Plaintiffs have proven AT&amp;T's valuations were contrived and manipulated, its witnesses lack credibility, and that AT&amp;T effected the Transactions unilaterally, on terms it dictated and knew to be unfair. Plaintiffs have met their burden to support judgment in their favor and the award of $148,289,060 in damages, plus pre- and post-judgment interest and costs.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objects, claiming Plaintiffs' reliance on </w:t>
      </w:r>
      <w:r>
        <w:rPr>
          <w:rFonts w:ascii="Times New Roman" w:hAnsi="Times New Roman"/>
          <w:i/>
          <w:color w:val="000000"/>
          <w:sz w:val="20"/>
        </w:rPr>
        <w:t>Radiology Associates</w:t>
      </w:r>
      <w:bookmarkStart w:id="29" w:name="co_tablefootnote_26_1"/>
      <w:hyperlink w:anchor="co_tablefootnoteblock_26_1">
        <w:r>
          <w:rPr>
            <w:rFonts w:ascii="Times New Roman" w:hAnsi="Times New Roman"/>
            <w:color w:val="000000"/>
            <w:sz w:val="16"/>
            <w:vertAlign w:val="superscript"/>
          </w:rPr>
          <w:t>26</w:t>
        </w:r>
      </w:hyperlink>
      <w:bookmarkEnd w:id="29"/>
      <w:r>
        <w:rPr>
          <w:rFonts w:ascii="Times New Roman" w:hAnsi="Times New Roman"/>
          <w:color w:val="000000"/>
          <w:sz w:val="20"/>
        </w:rPr>
        <w:t xml:space="preserve"> creates a windfall. It does no such thing and, in fact, is the closest the Court can come to leaving AT&amp;T in the precise position it claims to have rightfully occupied for a decade: enjoying only administrative savings from the Transactions, and nothing more.</w:t>
      </w:r>
    </w:p>
    <w:p>
      <w:pPr>
        <w:spacing w:before="0" w:after="0" w:line="275" w:lineRule="atLeast"/>
        <w:jc w:val="both"/>
      </w:pPr>
      <w:r>
        <w:rPr>
          <w:rFonts w:ascii="Times New Roman" w:hAnsi="Times New Roman"/>
          <w:color w:val="000000"/>
          <w:sz w:val="20"/>
        </w:rPr>
        <w:t> </w:t>
      </w:r>
    </w:p>
    <w:p>
      <w:pPr>
        <w:spacing w:before="400" w:after="0" w:line="275" w:lineRule="atLeast"/>
        <w:jc w:val="both"/>
      </w:pPr>
      <w:r>
        <w:rPr>
          <w:rFonts w:ascii="Times New Roman" w:hAnsi="Times New Roman"/>
          <w:color w:val="000000"/>
          <w:sz w:val="20"/>
        </w:rPr>
        <w:t>Plaintiffs are also entitled to their attorneys' fees for AT&amp;T's pre-litigation conduct, which left the Minority Partners with no path but to endure the enormous litigation effort they have undertaken.</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ARGUMENT</w:t>
      </w:r>
      <w:bookmarkStart w:id="30" w:name="co_tablefootnote_27_1"/>
      <w:hyperlink w:anchor="co_tablefootnoteblock_27_1">
        <w:r>
          <w:rPr>
            <w:rFonts w:ascii="Times New Roman" w:hAnsi="Times New Roman"/>
            <w:b/>
            <w:color w:val="000000"/>
            <w:sz w:val="16"/>
            <w:vertAlign w:val="superscript"/>
          </w:rPr>
          <w:t>27</w:t>
        </w:r>
      </w:hyperlink>
      <w:bookmarkEnd w:id="30"/>
    </w:p>
    <w:p>
      <w:pPr>
        <w:spacing w:before="600" w:after="0" w:line="275" w:lineRule="atLeast"/>
        <w:jc w:val="center"/>
      </w:pPr>
      <w:r>
        <w:rPr>
          <w:rFonts w:ascii="Times New Roman" w:hAnsi="Times New Roman"/>
          <w:b/>
          <w:color w:val="000000"/>
          <w:sz w:val="20"/>
        </w:rPr>
        <w:t>I. AT&amp;T BREACHED ITS DUTY OF LOYALTY</w:t>
      </w:r>
    </w:p>
    <w:p>
      <w:pPr>
        <w:spacing w:before="200" w:after="0" w:line="275" w:lineRule="atLeast"/>
        <w:jc w:val="both"/>
      </w:pPr>
      <w:r>
        <w:rPr>
          <w:rFonts w:ascii="Times New Roman" w:hAnsi="Times New Roman"/>
          <w:color w:val="000000"/>
          <w:sz w:val="20"/>
        </w:rPr>
        <w:t>The parties agree the Transactions are subject to entire fairness review.</w:t>
      </w:r>
      <w:bookmarkStart w:id="31" w:name="co_tablefootnote_28_1"/>
      <w:hyperlink w:anchor="co_tablefootnoteblock_28_1">
        <w:r>
          <w:rPr>
            <w:rFonts w:ascii="Times New Roman" w:hAnsi="Times New Roman"/>
            <w:color w:val="000000"/>
            <w:sz w:val="16"/>
            <w:vertAlign w:val="superscript"/>
          </w:rPr>
          <w:t>28</w:t>
        </w:r>
      </w:hyperlink>
      <w:bookmarkEnd w:id="31"/>
      <w:r>
        <w:rPr>
          <w:rFonts w:ascii="Times New Roman" w:hAnsi="Times New Roman"/>
          <w:color w:val="000000"/>
          <w:sz w:val="20"/>
        </w:rPr>
        <w:t xml:space="preserve"> AT&amp;T had the burden of proof</w:t>
      </w:r>
      <w:bookmarkStart w:id="32" w:name="co_tablefootnote_29_1"/>
      <w:hyperlink w:anchor="co_tablefootnoteblock_29_1">
        <w:r>
          <w:rPr>
            <w:rFonts w:ascii="Times New Roman" w:hAnsi="Times New Roman"/>
            <w:color w:val="000000"/>
            <w:sz w:val="16"/>
            <w:vertAlign w:val="superscript"/>
          </w:rPr>
          <w:t>29</w:t>
        </w:r>
      </w:hyperlink>
      <w:bookmarkEnd w:id="32"/>
      <w:r>
        <w:rPr>
          <w:rFonts w:ascii="Times New Roman" w:hAnsi="Times New Roman"/>
          <w:color w:val="000000"/>
          <w:sz w:val="20"/>
        </w:rPr>
        <w:t xml:space="preserve"> and failed to meet its burden. Its arguments on fair dealing are inapposite, relying on misdescribed evidence and misapplied law.</w:t>
      </w:r>
      <w:bookmarkStart w:id="33" w:name="co_tablefootnote_30_1"/>
      <w:hyperlink w:anchor="co_tablefootnoteblock_30_1">
        <w:r>
          <w:rPr>
            <w:rFonts w:ascii="Times New Roman" w:hAnsi="Times New Roman"/>
            <w:color w:val="000000"/>
            <w:sz w:val="16"/>
            <w:vertAlign w:val="superscript"/>
          </w:rPr>
          <w:t>30</w:t>
        </w:r>
      </w:hyperlink>
      <w:bookmarkEnd w:id="33"/>
      <w:r>
        <w:rPr>
          <w:rFonts w:ascii="Times New Roman" w:hAnsi="Times New Roman"/>
          <w:color w:val="000000"/>
          <w:sz w:val="20"/>
        </w:rPr>
        <w:t xml:space="preserve"> As to fair price, AT&amp;T proffered only the opinions of Carlyn Taylor. Trial showed that her opinions are not credible or reliable. Failing to meet its burden, AT&amp;T is liable to the Minority Partners for breach of its duty of loyalty.</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 The Transactions Were Not the Product of Fair Dealing.</w:t>
      </w:r>
    </w:p>
    <w:p>
      <w:pPr>
        <w:spacing w:before="200" w:after="0" w:line="275" w:lineRule="atLeast"/>
        <w:jc w:val="both"/>
      </w:pPr>
      <w:r>
        <w:rPr>
          <w:rFonts w:ascii="Times New Roman" w:hAnsi="Times New Roman"/>
          <w:color w:val="000000"/>
          <w:sz w:val="20"/>
        </w:rPr>
        <w:t>Delaware courts have long provided controllers guidance for structuring interested transactions fairly.</w:t>
      </w:r>
      <w:bookmarkStart w:id="34" w:name="co_tablefootnote_31_1"/>
      <w:hyperlink w:anchor="co_tablefootnoteblock_31_1">
        <w:r>
          <w:rPr>
            <w:rFonts w:ascii="Times New Roman" w:hAnsi="Times New Roman"/>
            <w:color w:val="000000"/>
            <w:sz w:val="16"/>
            <w:vertAlign w:val="superscript"/>
          </w:rPr>
          <w:t>31</w:t>
        </w:r>
      </w:hyperlink>
      <w:bookmarkEnd w:id="34"/>
      <w:r>
        <w:rPr>
          <w:rFonts w:ascii="Times New Roman" w:hAnsi="Times New Roman"/>
          <w:color w:val="000000"/>
          <w:sz w:val="20"/>
        </w:rPr>
        <w:t xml:space="preserve"> AT&amp;T had the means to create safeguards to protect minority interests and demonstrate fair dealing. Each of the Partnerships had an Executive Committee, and minority representation could have been used to negotiate at arm's-length.</w:t>
      </w:r>
      <w:bookmarkStart w:id="35" w:name="co_tablefootnote_32_1"/>
      <w:hyperlink w:anchor="co_tablefootnoteblock_32_1">
        <w:r>
          <w:rPr>
            <w:rFonts w:ascii="Times New Roman" w:hAnsi="Times New Roman"/>
            <w:color w:val="000000"/>
            <w:sz w:val="16"/>
            <w:vertAlign w:val="superscript"/>
          </w:rPr>
          <w:t>32</w:t>
        </w:r>
      </w:hyperlink>
      <w:bookmarkEnd w:id="35"/>
      <w:r>
        <w:rPr>
          <w:rFonts w:ascii="Times New Roman" w:hAnsi="Times New Roman"/>
          <w:color w:val="000000"/>
          <w:sz w:val="20"/>
        </w:rPr>
        <w:t xml:space="preserve"> AT&amp;T instead chose to act unilaterally. In fact, AT&amp;T focused on the Partnerships precisely because it could act unilaterally.</w:t>
      </w:r>
      <w:bookmarkStart w:id="36" w:name="co_tablefootnote_33_1"/>
      <w:hyperlink w:anchor="co_tablefootnoteblock_33_1">
        <w:r>
          <w:rPr>
            <w:rFonts w:ascii="Times New Roman" w:hAnsi="Times New Roman"/>
            <w:color w:val="000000"/>
            <w:sz w:val="16"/>
            <w:vertAlign w:val="superscript"/>
          </w:rPr>
          <w:t>33</w:t>
        </w:r>
      </w:hyperlink>
      <w:bookmarkEnd w:id="36"/>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concedes Delaware law, or substantially similar law, applies to the Transactions.</w:t>
      </w:r>
      <w:bookmarkStart w:id="37" w:name="co_tablefootnote_34_1"/>
      <w:hyperlink w:anchor="co_tablefootnoteblock_34_1">
        <w:r>
          <w:rPr>
            <w:rFonts w:ascii="Times New Roman" w:hAnsi="Times New Roman"/>
            <w:color w:val="000000"/>
            <w:sz w:val="16"/>
            <w:vertAlign w:val="superscript"/>
          </w:rPr>
          <w:t>34</w:t>
        </w:r>
      </w:hyperlink>
      <w:bookmarkEnd w:id="37"/>
      <w:r>
        <w:rPr>
          <w:rFonts w:ascii="Times New Roman" w:hAnsi="Times New Roman"/>
          <w:color w:val="000000"/>
          <w:sz w:val="20"/>
        </w:rPr>
        <w:t xml:space="preserve"> Yet, AT&amp;T relies </w:t>
      </w:r>
      <w:r>
        <w:rPr>
          <w:rFonts w:ascii="Times New Roman" w:hAnsi="Times New Roman"/>
          <w:i/>
          <w:color w:val="000000"/>
          <w:sz w:val="20"/>
        </w:rPr>
        <w:t>on J&amp;J Celcom v. AT&amp;T Wireless Services, Inc.</w:t>
      </w:r>
      <w:bookmarkStart w:id="38" w:name="co_tablefootnote_35_1"/>
      <w:hyperlink w:anchor="co_tablefootnoteblock_35_1">
        <w:r>
          <w:rPr>
            <w:rFonts w:ascii="Times New Roman" w:hAnsi="Times New Roman"/>
            <w:color w:val="000000"/>
            <w:sz w:val="16"/>
            <w:vertAlign w:val="superscript"/>
          </w:rPr>
          <w:t>35</w:t>
        </w:r>
      </w:hyperlink>
      <w:bookmarkEnd w:id="38"/>
      <w:r>
        <w:rPr>
          <w:rFonts w:ascii="Times New Roman" w:hAnsi="Times New Roman"/>
          <w:color w:val="000000"/>
          <w:sz w:val="20"/>
        </w:rPr>
        <w:t xml:space="preserve"> and asserts that the Transactions were “contractually-permitted”</w:t>
      </w:r>
      <w:bookmarkStart w:id="39" w:name="co_tablefootnote_36_1"/>
      <w:hyperlink w:anchor="co_tablefootnoteblock_36_1">
        <w:r>
          <w:rPr>
            <w:rFonts w:ascii="Times New Roman" w:hAnsi="Times New Roman"/>
            <w:color w:val="000000"/>
            <w:sz w:val="16"/>
            <w:vertAlign w:val="superscript"/>
          </w:rPr>
          <w:t>36</w:t>
        </w:r>
      </w:hyperlink>
      <w:bookmarkEnd w:id="39"/>
      <w:r>
        <w:rPr>
          <w:rFonts w:ascii="Times New Roman" w:hAnsi="Times New Roman"/>
          <w:color w:val="000000"/>
          <w:sz w:val="20"/>
        </w:rPr>
        <w:t xml:space="preserve"> to contend it dealt fairly with the Minority Partners. </w:t>
      </w:r>
      <w:r>
        <w:rPr>
          <w:rFonts w:ascii="Times New Roman" w:hAnsi="Times New Roman"/>
          <w:i/>
          <w:color w:val="000000"/>
          <w:sz w:val="20"/>
        </w:rPr>
        <w:t>J&amp;J Celcom</w:t>
      </w:r>
      <w:r>
        <w:rPr>
          <w:rFonts w:ascii="Times New Roman" w:hAnsi="Times New Roman"/>
          <w:color w:val="000000"/>
          <w:sz w:val="20"/>
        </w:rPr>
        <w:t xml:space="preserve"> was decided under Washington, not Delaware law and, in any event, merely granted summary judgment for AT&amp;T after the cashed-out parties “presented no coherent evidence that the values should have been materially different.”</w:t>
      </w:r>
      <w:bookmarkStart w:id="40" w:name="co_tablefootnote_37_1"/>
      <w:hyperlink w:anchor="co_tablefootnoteblock_37_1">
        <w:r>
          <w:rPr>
            <w:rFonts w:ascii="Times New Roman" w:hAnsi="Times New Roman"/>
            <w:color w:val="000000"/>
            <w:sz w:val="16"/>
            <w:vertAlign w:val="superscript"/>
          </w:rPr>
          <w:t>37</w:t>
        </w:r>
      </w:hyperlink>
      <w:bookmarkEnd w:id="40"/>
      <w:r>
        <w:rPr>
          <w:rFonts w:ascii="Times New Roman" w:hAnsi="Times New Roman"/>
          <w:color w:val="000000"/>
          <w:sz w:val="20"/>
        </w:rPr>
        <w:t xml:space="preserve"> </w:t>
      </w:r>
      <w:r>
        <w:rPr>
          <w:rFonts w:ascii="Times New Roman" w:hAnsi="Times New Roman"/>
          <w:i/>
          <w:color w:val="000000"/>
          <w:sz w:val="20"/>
        </w:rPr>
        <w:t>J&amp;J Celcom</w:t>
      </w:r>
      <w:r>
        <w:rPr>
          <w:rFonts w:ascii="Times New Roman" w:hAnsi="Times New Roman"/>
          <w:color w:val="000000"/>
          <w:sz w:val="20"/>
        </w:rPr>
        <w:t xml:space="preserve"> has no bearing on fair dealing; the concept is not even discussed. AT&amp;T's statement that the Transactions were “contractually-permitted” is just as irrelevant. Delaware law is clear AT&amp;T's conduct is “twice tested,”</w:t>
      </w:r>
      <w:bookmarkStart w:id="41" w:name="co_tablefootnote_38_1"/>
      <w:hyperlink w:anchor="co_tablefootnoteblock_38_1">
        <w:r>
          <w:rPr>
            <w:rFonts w:ascii="Times New Roman" w:hAnsi="Times New Roman"/>
            <w:color w:val="000000"/>
            <w:sz w:val="16"/>
            <w:vertAlign w:val="superscript"/>
          </w:rPr>
          <w:t>38</w:t>
        </w:r>
      </w:hyperlink>
      <w:bookmarkEnd w:id="41"/>
      <w:r>
        <w:rPr>
          <w:rFonts w:ascii="Times New Roman" w:hAnsi="Times New Roman"/>
          <w:color w:val="000000"/>
          <w:sz w:val="20"/>
        </w:rPr>
        <w:t xml:space="preserve"> and “inequitable action does not become permissible simply because it is legally possible.”</w:t>
      </w:r>
      <w:bookmarkStart w:id="42" w:name="co_tablefootnote_39_1"/>
      <w:hyperlink w:anchor="co_tablefootnoteblock_39_1">
        <w:r>
          <w:rPr>
            <w:rFonts w:ascii="Times New Roman" w:hAnsi="Times New Roman"/>
            <w:color w:val="000000"/>
            <w:sz w:val="16"/>
            <w:vertAlign w:val="superscript"/>
          </w:rPr>
          <w:t>39</w:t>
        </w:r>
      </w:hyperlink>
      <w:bookmarkEnd w:id="42"/>
      <w:r>
        <w:rPr>
          <w:rFonts w:ascii="Times New Roman" w:hAnsi="Times New Roman"/>
          <w:color w:val="000000"/>
          <w:sz w:val="20"/>
        </w:rPr>
        <w:t xml:space="preserve"> As to fair dealing under Delaware law, </w:t>
      </w:r>
      <w:r>
        <w:rPr>
          <w:rFonts w:ascii="Times New Roman" w:hAnsi="Times New Roman"/>
          <w:i/>
          <w:color w:val="000000"/>
          <w:sz w:val="20"/>
        </w:rPr>
        <w:t>i.e.</w:t>
      </w:r>
      <w:r>
        <w:rPr>
          <w:rFonts w:ascii="Times New Roman" w:hAnsi="Times New Roman"/>
          <w:color w:val="000000"/>
          <w:sz w:val="20"/>
        </w:rPr>
        <w:t xml:space="preserve"> “when the transaction was timed, how it was initiated, structured, negotiated, disclosed ... and how the approvals of the [partners] were obtained,”</w:t>
      </w:r>
      <w:bookmarkStart w:id="43" w:name="co_tablefootnote_40_1"/>
      <w:hyperlink w:anchor="co_tablefootnoteblock_40_1">
        <w:r>
          <w:rPr>
            <w:rFonts w:ascii="Times New Roman" w:hAnsi="Times New Roman"/>
            <w:color w:val="000000"/>
            <w:sz w:val="16"/>
            <w:vertAlign w:val="superscript"/>
          </w:rPr>
          <w:t>40</w:t>
        </w:r>
      </w:hyperlink>
      <w:bookmarkEnd w:id="43"/>
      <w:r>
        <w:rPr>
          <w:rFonts w:ascii="Times New Roman" w:hAnsi="Times New Roman"/>
          <w:color w:val="000000"/>
          <w:sz w:val="20"/>
        </w:rPr>
        <w:t xml:space="preserve"> the trial evidence shows there was none.</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1. AT&amp;T Timed the Transactions for Its Own Benefit.</w:t>
      </w:r>
    </w:p>
    <w:p>
      <w:pPr>
        <w:spacing w:before="200" w:after="0" w:line="275" w:lineRule="atLeast"/>
        <w:jc w:val="both"/>
      </w:pPr>
      <w:r>
        <w:rPr>
          <w:rFonts w:ascii="Times New Roman" w:hAnsi="Times New Roman"/>
          <w:color w:val="000000"/>
          <w:sz w:val="20"/>
        </w:rPr>
        <w:t>AT&amp;T timed the Transactions for its own benefit. In arguing to the contrary, AT&amp;T contends (i) there was no “game changer” on the horizon in the wireless business</w:t>
      </w:r>
      <w:bookmarkStart w:id="44" w:name="co_tablefootnote_41_1"/>
      <w:hyperlink w:anchor="co_tablefootnoteblock_41_1">
        <w:r>
          <w:rPr>
            <w:rFonts w:ascii="Times New Roman" w:hAnsi="Times New Roman"/>
            <w:color w:val="000000"/>
            <w:sz w:val="16"/>
            <w:vertAlign w:val="superscript"/>
          </w:rPr>
          <w:t>41</w:t>
        </w:r>
      </w:hyperlink>
      <w:bookmarkEnd w:id="44"/>
      <w:r>
        <w:rPr>
          <w:rFonts w:ascii="Times New Roman" w:hAnsi="Times New Roman"/>
          <w:color w:val="000000"/>
          <w:sz w:val="20"/>
        </w:rPr>
        <w:t xml:space="preserve"> and (ii) its motivation for the Transactions was merely a “fair and legitimate business” concern to simplify its structure and reduce “costs and inefficiencies of accounting for partnership markets separately.”</w:t>
      </w:r>
      <w:bookmarkStart w:id="45" w:name="co_tablefootnote_42_1"/>
      <w:hyperlink w:anchor="co_tablefootnoteblock_42_1">
        <w:r>
          <w:rPr>
            <w:rFonts w:ascii="Times New Roman" w:hAnsi="Times New Roman"/>
            <w:color w:val="000000"/>
            <w:sz w:val="16"/>
            <w:vertAlign w:val="superscript"/>
          </w:rPr>
          <w:t>42</w:t>
        </w:r>
      </w:hyperlink>
      <w:bookmarkEnd w:id="45"/>
      <w:r>
        <w:rPr>
          <w:rFonts w:ascii="Times New Roman" w:hAnsi="Times New Roman"/>
          <w:color w:val="000000"/>
          <w:sz w:val="20"/>
        </w:rPr>
        <w:t xml:space="preserve"> The trial evidence shows both contentions are untrue: there was a game changer on the horizon - 4G was expected to revolutionize how the Network was used by everyone, and everything; and AT&amp;T's motivation for the Transactions was to avoid sharing future profits with its partners, not administrative efficiencies.</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 4G and Expected Data Explosion.</w:t>
      </w:r>
    </w:p>
    <w:p>
      <w:pPr>
        <w:spacing w:before="200" w:after="0" w:line="275" w:lineRule="atLeast"/>
        <w:jc w:val="both"/>
      </w:pPr>
      <w:r>
        <w:rPr>
          <w:rFonts w:ascii="Times New Roman" w:hAnsi="Times New Roman"/>
          <w:color w:val="000000"/>
          <w:sz w:val="20"/>
        </w:rPr>
        <w:t>AT&amp;T expected explosive growth in network usage. That fact alone contradicts AT&amp;T's contention that the Transactions occurred “at a time of increasing cost in a maturing industry.”</w:t>
      </w:r>
      <w:bookmarkStart w:id="46" w:name="co_tablefootnote_43_1"/>
      <w:hyperlink w:anchor="co_tablefootnoteblock_43_1">
        <w:r>
          <w:rPr>
            <w:rFonts w:ascii="Times New Roman" w:hAnsi="Times New Roman"/>
            <w:color w:val="000000"/>
            <w:sz w:val="16"/>
            <w:vertAlign w:val="superscript"/>
          </w:rPr>
          <w:t>43</w:t>
        </w:r>
      </w:hyperlink>
      <w:bookmarkEnd w:id="46"/>
      <w:r>
        <w:rPr>
          <w:rFonts w:ascii="Times New Roman" w:hAnsi="Times New Roman"/>
          <w:color w:val="000000"/>
          <w:sz w:val="20"/>
        </w:rPr>
        <w:t xml:space="preserve"> The possibilities presented by 4G were enormous.</w:t>
      </w:r>
      <w:bookmarkStart w:id="47" w:name="co_tablefootnote_44_1"/>
      <w:hyperlink w:anchor="co_tablefootnoteblock_44_1">
        <w:r>
          <w:rPr>
            <w:rFonts w:ascii="Times New Roman" w:hAnsi="Times New Roman"/>
            <w:color w:val="000000"/>
            <w:sz w:val="16"/>
            <w:vertAlign w:val="superscript"/>
          </w:rPr>
          <w:t>44</w:t>
        </w:r>
      </w:hyperlink>
      <w:bookmarkEnd w:id="47"/>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As of the dates of the Transactions, AT&amp;T had mostly rolled-out its 3G technology.</w:t>
      </w:r>
      <w:bookmarkStart w:id="48" w:name="co_tablefootnote_45_1"/>
      <w:hyperlink w:anchor="co_tablefootnoteblock_45_1">
        <w:r>
          <w:rPr>
            <w:rFonts w:ascii="Times New Roman" w:hAnsi="Times New Roman"/>
            <w:color w:val="000000"/>
            <w:sz w:val="16"/>
            <w:vertAlign w:val="superscript"/>
          </w:rPr>
          <w:t>45</w:t>
        </w:r>
      </w:hyperlink>
      <w:bookmarkEnd w:id="48"/>
      <w:r>
        <w:rPr>
          <w:rFonts w:ascii="Times New Roman" w:hAnsi="Times New Roman"/>
          <w:color w:val="000000"/>
          <w:sz w:val="20"/>
        </w:rPr>
        <w:t xml:space="preserve"> 4G was next.</w:t>
      </w:r>
      <w:bookmarkStart w:id="49" w:name="co_tablefootnote_46_1"/>
      <w:hyperlink w:anchor="co_tablefootnoteblock_46_1">
        <w:r>
          <w:rPr>
            <w:rFonts w:ascii="Times New Roman" w:hAnsi="Times New Roman"/>
            <w:color w:val="000000"/>
            <w:sz w:val="16"/>
            <w:vertAlign w:val="superscript"/>
          </w:rPr>
          <w:t>46</w:t>
        </w:r>
      </w:hyperlink>
      <w:bookmarkEnd w:id="49"/>
      <w:r>
        <w:rPr>
          <w:rFonts w:ascii="Times New Roman" w:hAnsi="Times New Roman"/>
          <w:color w:val="000000"/>
          <w:sz w:val="20"/>
        </w:rPr>
        <w:t xml:space="preserve"> 4G created the “step function increase in data throughput” that makes today's smartphone media applications viable.</w:t>
      </w:r>
      <w:bookmarkStart w:id="50" w:name="co_tablefootnote_47_1"/>
      <w:hyperlink w:anchor="co_tablefootnoteblock_47_1">
        <w:r>
          <w:rPr>
            <w:rFonts w:ascii="Times New Roman" w:hAnsi="Times New Roman"/>
            <w:color w:val="000000"/>
            <w:sz w:val="16"/>
            <w:vertAlign w:val="superscript"/>
          </w:rPr>
          <w:t>47</w:t>
        </w:r>
      </w:hyperlink>
      <w:bookmarkEnd w:id="50"/>
      <w:r>
        <w:rPr>
          <w:rFonts w:ascii="Times New Roman" w:hAnsi="Times New Roman"/>
          <w:color w:val="000000"/>
          <w:sz w:val="20"/>
        </w:rPr>
        <w:t xml:space="preserve"> In the advancing technology, AT&amp;T also saw growing opportunities to monetize subscriber data.</w:t>
      </w:r>
      <w:bookmarkStart w:id="51" w:name="co_tablefootnote_48_1"/>
      <w:hyperlink w:anchor="co_tablefootnoteblock_48_1">
        <w:r>
          <w:rPr>
            <w:rFonts w:ascii="Times New Roman" w:hAnsi="Times New Roman"/>
            <w:color w:val="000000"/>
            <w:sz w:val="16"/>
            <w:vertAlign w:val="superscript"/>
          </w:rPr>
          <w:t>48</w:t>
        </w:r>
      </w:hyperlink>
      <w:bookmarkEnd w:id="51"/>
      <w:r>
        <w:rPr>
          <w:rFonts w:ascii="Times New Roman" w:hAnsi="Times New Roman"/>
          <w:color w:val="000000"/>
          <w:sz w:val="20"/>
        </w:rPr>
        <w:t xml:space="preserve"> Similarly, connected devices, particularly machine-to-machine technology, was exploding.</w:t>
      </w:r>
      <w:bookmarkStart w:id="52" w:name="co_tablefootnote_49_1"/>
      <w:hyperlink w:anchor="co_tablefootnoteblock_49_1">
        <w:r>
          <w:rPr>
            <w:rFonts w:ascii="Times New Roman" w:hAnsi="Times New Roman"/>
            <w:color w:val="000000"/>
            <w:sz w:val="16"/>
            <w:vertAlign w:val="superscript"/>
          </w:rPr>
          <w:t>49</w:t>
        </w:r>
      </w:hyperlink>
      <w:bookmarkEnd w:id="52"/>
      <w:r>
        <w:rPr>
          <w:rFonts w:ascii="Times New Roman" w:hAnsi="Times New Roman"/>
          <w:color w:val="000000"/>
          <w:sz w:val="20"/>
        </w:rPr>
        <w:t xml:space="preserve"> Data usage was projected to explode:</w:t>
      </w:r>
      <w:bookmarkStart w:id="53" w:name="co_tablefootnote_50_1"/>
      <w:hyperlink w:anchor="co_tablefootnoteblock_50_1">
        <w:r>
          <w:rPr>
            <w:rFonts w:ascii="Times New Roman" w:hAnsi="Times New Roman"/>
            <w:color w:val="000000"/>
            <w:sz w:val="16"/>
            <w:vertAlign w:val="superscript"/>
          </w:rPr>
          <w:t>50</w:t>
        </w:r>
      </w:hyperlink>
      <w:bookmarkEnd w:id="53"/>
    </w:p>
    <w:p>
      <w:pPr>
        <w:spacing w:before="0" w:after="0" w:line="275" w:lineRule="atLeast"/>
        <w:jc w:val="both"/>
      </w:pPr>
      <w:r>
        <w:rPr>
          <w:rFonts w:ascii="Times New Roman" w:hAnsi="Times New Roman"/>
          <w:color w:val="000000"/>
          <w:sz w:val="20"/>
        </w:rPr>
        <w:t> </w:t>
      </w:r>
    </w:p>
    <w:bookmarkStart w:id="54" w:name="co_anchor_I7059e1e2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54"/>
    <w:p>
      <w:pPr>
        <w:spacing w:before="0" w:after="0" w:line="275" w:lineRule="atLeast"/>
        <w:jc w:val="both"/>
      </w:pPr>
      <w:r>
        <w:rPr>
          <w:rFonts w:ascii="Times New Roman" w:hAnsi="Times New Roman"/>
          <w:color w:val="000000"/>
          <w:sz w:val="20"/>
        </w:rPr>
        <w:t>That AT&amp;T viewed 4G and the explosion of data traffic it would drive to be a “game-changer” is an understatement. Anticipating data-driven network products, AT&amp;T established an entirely new Emerging Device Organization (“EDO”), which was expected to deliver steady margins over 45% after year three and produce an IRR over 50% by 2014.</w:t>
      </w:r>
      <w:bookmarkStart w:id="55" w:name="co_tablefootnote_51_1"/>
      <w:hyperlink w:anchor="co_tablefootnoteblock_51_1">
        <w:r>
          <w:rPr>
            <w:rFonts w:ascii="Times New Roman" w:hAnsi="Times New Roman"/>
            <w:color w:val="000000"/>
            <w:sz w:val="16"/>
            <w:vertAlign w:val="superscript"/>
          </w:rPr>
          <w:t>51</w:t>
        </w:r>
      </w:hyperlink>
      <w:bookmarkEnd w:id="55"/>
      <w:r>
        <w:rPr>
          <w:rFonts w:ascii="Times New Roman" w:hAnsi="Times New Roman"/>
          <w:color w:val="000000"/>
          <w:sz w:val="20"/>
        </w:rPr>
        <w:t xml:space="preserve"> This initiative aimed to attract application developers to create applications to be used on the “Network.”</w:t>
      </w:r>
      <w:bookmarkStart w:id="56" w:name="co_tablefootnote_52_1"/>
      <w:hyperlink w:anchor="co_tablefootnoteblock_52_1">
        <w:r>
          <w:rPr>
            <w:rFonts w:ascii="Times New Roman" w:hAnsi="Times New Roman"/>
            <w:color w:val="000000"/>
            <w:sz w:val="16"/>
            <w:vertAlign w:val="superscript"/>
          </w:rPr>
          <w:t>52</w:t>
        </w:r>
      </w:hyperlink>
      <w:bookmarkEnd w:id="56"/>
      <w:r>
        <w:rPr>
          <w:rFonts w:ascii="Times New Roman" w:hAnsi="Times New Roman"/>
          <w:color w:val="000000"/>
          <w:sz w:val="20"/>
        </w:rPr>
        <w:t xml:space="preserve"> After its first year, EDO was 37.6% ahead of projected revenue because of stronger than expected tablet sales.</w:t>
      </w:r>
      <w:bookmarkStart w:id="57" w:name="co_tablefootnote_53_1"/>
      <w:hyperlink w:anchor="co_tablefootnoteblock_53_1">
        <w:r>
          <w:rPr>
            <w:rFonts w:ascii="Times New Roman" w:hAnsi="Times New Roman"/>
            <w:color w:val="000000"/>
            <w:sz w:val="16"/>
            <w:vertAlign w:val="superscript"/>
          </w:rPr>
          <w:t>53</w:t>
        </w:r>
      </w:hyperlink>
      <w:bookmarkEnd w:id="57"/>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AT&amp;T's objective was to mobilize “everything that you do.”</w:t>
      </w:r>
      <w:bookmarkStart w:id="58" w:name="co_tablefootnote_54_1"/>
      <w:hyperlink w:anchor="co_tablefootnoteblock_54_1">
        <w:r>
          <w:rPr>
            <w:rFonts w:ascii="Times New Roman" w:hAnsi="Times New Roman"/>
            <w:color w:val="000000"/>
            <w:sz w:val="16"/>
            <w:vertAlign w:val="superscript"/>
          </w:rPr>
          <w:t>54</w:t>
        </w:r>
      </w:hyperlink>
      <w:bookmarkEnd w:id="58"/>
      <w:r>
        <w:rPr>
          <w:rFonts w:ascii="Times New Roman" w:hAnsi="Times New Roman"/>
          <w:color w:val="000000"/>
          <w:sz w:val="20"/>
        </w:rPr>
        <w:t xml:space="preserve"> The convergence of its Network was indeed arriving.</w:t>
      </w:r>
      <w:bookmarkStart w:id="59" w:name="co_tablefootnote_55_1"/>
      <w:hyperlink w:anchor="co_tablefootnoteblock_55_1">
        <w:r>
          <w:rPr>
            <w:rFonts w:ascii="Times New Roman" w:hAnsi="Times New Roman"/>
            <w:color w:val="000000"/>
            <w:sz w:val="16"/>
            <w:vertAlign w:val="superscript"/>
          </w:rPr>
          <w:t>55</w:t>
        </w:r>
      </w:hyperlink>
      <w:bookmarkEnd w:id="59"/>
      <w:r>
        <w:rPr>
          <w:rFonts w:ascii="Times New Roman" w:hAnsi="Times New Roman"/>
          <w:color w:val="000000"/>
          <w:sz w:val="20"/>
        </w:rPr>
        <w:t xml:space="preserve"> For example, by August 2010, Netflix released its iPhone and iPad apps allowing users to stream (not just download) their instant queues.</w:t>
      </w:r>
      <w:bookmarkStart w:id="60" w:name="co_tablefootnote_56_1"/>
      <w:hyperlink w:anchor="co_tablefootnoteblock_56_1">
        <w:r>
          <w:rPr>
            <w:rFonts w:ascii="Times New Roman" w:hAnsi="Times New Roman"/>
            <w:color w:val="000000"/>
            <w:sz w:val="16"/>
            <w:vertAlign w:val="superscript"/>
          </w:rPr>
          <w:t>56</w:t>
        </w:r>
      </w:hyperlink>
      <w:bookmarkEnd w:id="60"/>
      <w:r>
        <w:rPr>
          <w:rFonts w:ascii="Times New Roman" w:hAnsi="Times New Roman"/>
          <w:color w:val="000000"/>
          <w:sz w:val="20"/>
        </w:rPr>
        <w:t xml:space="preserve"> While AT&amp;T repeatedly claims revenues suffered because of “nationwide unlimited plans,”</w:t>
      </w:r>
      <w:bookmarkStart w:id="61" w:name="co_tablefootnote_57_1"/>
      <w:hyperlink w:anchor="co_tablefootnoteblock_57_1">
        <w:r>
          <w:rPr>
            <w:rFonts w:ascii="Times New Roman" w:hAnsi="Times New Roman"/>
            <w:color w:val="000000"/>
            <w:sz w:val="16"/>
            <w:vertAlign w:val="superscript"/>
          </w:rPr>
          <w:t>57</w:t>
        </w:r>
      </w:hyperlink>
      <w:bookmarkEnd w:id="61"/>
      <w:r>
        <w:rPr>
          <w:rFonts w:ascii="Times New Roman" w:hAnsi="Times New Roman"/>
          <w:color w:val="000000"/>
          <w:sz w:val="20"/>
        </w:rPr>
        <w:t xml:space="preserve"> in reality, AT&amp;T delayed the release of these heavy traffic apps until it “stopped offering iPhones with those unlimited data plans in June [2010].”</w:t>
      </w:r>
      <w:bookmarkStart w:id="62" w:name="co_tablefootnote_58_1"/>
      <w:hyperlink w:anchor="co_tablefootnoteblock_58_1">
        <w:r>
          <w:rPr>
            <w:rFonts w:ascii="Times New Roman" w:hAnsi="Times New Roman"/>
            <w:color w:val="000000"/>
            <w:sz w:val="16"/>
            <w:vertAlign w:val="superscript"/>
          </w:rPr>
          <w:t>58</w:t>
        </w:r>
      </w:hyperlink>
      <w:bookmarkEnd w:id="62"/>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By the end of 2009, consistent with its EDO initiatives, AT&amp;T released its AT&amp;T Network Services API Overview</w:t>
      </w:r>
      <w:bookmarkStart w:id="63" w:name="co_tablefootnote_59_1"/>
      <w:hyperlink w:anchor="co_tablefootnoteblock_59_1">
        <w:r>
          <w:rPr>
            <w:rFonts w:ascii="Times New Roman" w:hAnsi="Times New Roman"/>
            <w:color w:val="000000"/>
            <w:sz w:val="16"/>
            <w:vertAlign w:val="superscript"/>
          </w:rPr>
          <w:t>59</w:t>
        </w:r>
      </w:hyperlink>
      <w:bookmarkEnd w:id="63"/>
      <w:r>
        <w:rPr>
          <w:rFonts w:ascii="Times New Roman" w:hAnsi="Times New Roman"/>
          <w:color w:val="000000"/>
          <w:sz w:val="20"/>
        </w:rPr>
        <w:t xml:space="preserve"> to encourage “application development on the AT&amp;T network and device platforms.”</w:t>
      </w:r>
      <w:bookmarkStart w:id="64" w:name="co_tablefootnote_60_1"/>
      <w:hyperlink w:anchor="co_tablefootnoteblock_60_1">
        <w:r>
          <w:rPr>
            <w:rFonts w:ascii="Times New Roman" w:hAnsi="Times New Roman"/>
            <w:color w:val="000000"/>
            <w:sz w:val="16"/>
            <w:vertAlign w:val="superscript"/>
          </w:rPr>
          <w:t>60</w:t>
        </w:r>
      </w:hyperlink>
      <w:bookmarkEnd w:id="64"/>
      <w:r>
        <w:rPr>
          <w:rFonts w:ascii="Times New Roman" w:hAnsi="Times New Roman"/>
          <w:color w:val="000000"/>
          <w:sz w:val="20"/>
        </w:rPr>
        <w:t xml:space="preserve"> Showing what was possible, AT&amp;T partnered with companies such as Ericsson to demonstrate how news organizations could livestream feeds directly over the Network.</w:t>
      </w:r>
      <w:bookmarkStart w:id="65" w:name="co_tablefootnote_61_1"/>
      <w:hyperlink w:anchor="co_tablefootnoteblock_61_1">
        <w:r>
          <w:rPr>
            <w:rFonts w:ascii="Times New Roman" w:hAnsi="Times New Roman"/>
            <w:color w:val="000000"/>
            <w:sz w:val="16"/>
            <w:vertAlign w:val="superscript"/>
          </w:rPr>
          <w:t>61</w:t>
        </w:r>
      </w:hyperlink>
      <w:bookmarkEnd w:id="65"/>
      <w:r>
        <w:rPr>
          <w:rFonts w:ascii="Times New Roman" w:hAnsi="Times New Roman"/>
          <w:color w:val="000000"/>
          <w:sz w:val="20"/>
        </w:rPr>
        <w:t xml:space="preserve"> In 2010, AT&amp;T took steps to launch its cloud-based location information services platform.</w:t>
      </w:r>
      <w:bookmarkStart w:id="66" w:name="co_tablefootnote_62_1"/>
      <w:hyperlink w:anchor="co_tablefootnoteblock_62_1">
        <w:r>
          <w:rPr>
            <w:rFonts w:ascii="Times New Roman" w:hAnsi="Times New Roman"/>
            <w:color w:val="000000"/>
            <w:sz w:val="16"/>
            <w:vertAlign w:val="superscript"/>
          </w:rPr>
          <w:t>62</w:t>
        </w:r>
      </w:hyperlink>
      <w:bookmarkEnd w:id="66"/>
      <w:r>
        <w:rPr>
          <w:rFonts w:ascii="Times New Roman" w:hAnsi="Times New Roman"/>
          <w:color w:val="000000"/>
          <w:sz w:val="20"/>
        </w:rPr>
        <w:t xml:space="preserve"> AT&amp;T partnered with LOC-AID Technologies Inc. to provide domestic tracking abilities to its enterprise customer base.</w:t>
      </w:r>
      <w:bookmarkStart w:id="67" w:name="co_tablefootnote_63_1"/>
      <w:hyperlink w:anchor="co_tablefootnoteblock_63_1">
        <w:r>
          <w:rPr>
            <w:rFonts w:ascii="Times New Roman" w:hAnsi="Times New Roman"/>
            <w:color w:val="000000"/>
            <w:sz w:val="16"/>
            <w:vertAlign w:val="superscript"/>
          </w:rPr>
          <w:t>63</w:t>
        </w:r>
      </w:hyperlink>
      <w:bookmarkEnd w:id="67"/>
      <w:r>
        <w:rPr>
          <w:rFonts w:ascii="Times New Roman" w:hAnsi="Times New Roman"/>
          <w:color w:val="000000"/>
          <w:sz w:val="20"/>
        </w:rPr>
        <w:t xml:space="preserve"> EDO allocated approximately 36% of its budget to develop these types of cloud based services.</w:t>
      </w:r>
      <w:bookmarkStart w:id="68" w:name="co_tablefootnote_64_1"/>
      <w:hyperlink w:anchor="co_tablefootnoteblock_64_1">
        <w:r>
          <w:rPr>
            <w:rFonts w:ascii="Times New Roman" w:hAnsi="Times New Roman"/>
            <w:color w:val="000000"/>
            <w:sz w:val="16"/>
            <w:vertAlign w:val="superscript"/>
          </w:rPr>
          <w:t>64</w:t>
        </w:r>
      </w:hyperlink>
      <w:bookmarkEnd w:id="68"/>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AT&amp;T's wireless operating profit margin improved from 5.3% in 2005, to 27% in 2010.</w:t>
      </w:r>
      <w:bookmarkStart w:id="69" w:name="co_tablefootnote_65_1"/>
      <w:hyperlink w:anchor="co_tablefootnoteblock_65_1">
        <w:r>
          <w:rPr>
            <w:rFonts w:ascii="Times New Roman" w:hAnsi="Times New Roman"/>
            <w:color w:val="000000"/>
            <w:sz w:val="16"/>
            <w:vertAlign w:val="superscript"/>
          </w:rPr>
          <w:t>65</w:t>
        </w:r>
      </w:hyperlink>
      <w:bookmarkEnd w:id="69"/>
      <w:r>
        <w:rPr>
          <w:rFonts w:ascii="Times New Roman" w:hAnsi="Times New Roman"/>
          <w:color w:val="000000"/>
          <w:sz w:val="20"/>
        </w:rPr>
        <w:t xml:space="preserve"> Apple had introduced the iPhone, iPod, and iPad, sales of which approached 100 million units and were still climbing.</w:t>
      </w:r>
      <w:bookmarkStart w:id="70" w:name="co_tablefootnote_66_1"/>
      <w:hyperlink w:anchor="co_tablefootnoteblock_66_1">
        <w:r>
          <w:rPr>
            <w:rFonts w:ascii="Times New Roman" w:hAnsi="Times New Roman"/>
            <w:color w:val="000000"/>
            <w:sz w:val="16"/>
            <w:vertAlign w:val="superscript"/>
          </w:rPr>
          <w:t>66</w:t>
        </w:r>
      </w:hyperlink>
      <w:bookmarkEnd w:id="70"/>
      <w:r>
        <w:rPr>
          <w:rFonts w:ascii="Times New Roman" w:hAnsi="Times New Roman"/>
          <w:color w:val="000000"/>
          <w:sz w:val="20"/>
        </w:rPr>
        <w:t xml:space="preserve"> By January 2010, AT&amp;T reported 46.4% of its 65.1 million postpaid subscribers had network-integrated devices,</w:t>
      </w:r>
      <w:bookmarkStart w:id="71" w:name="co_tablefootnote_67_1"/>
      <w:hyperlink w:anchor="co_tablefootnoteblock_67_1">
        <w:r>
          <w:rPr>
            <w:rFonts w:ascii="Times New Roman" w:hAnsi="Times New Roman"/>
            <w:color w:val="000000"/>
            <w:sz w:val="16"/>
            <w:vertAlign w:val="superscript"/>
          </w:rPr>
          <w:t>67</w:t>
        </w:r>
      </w:hyperlink>
      <w:bookmarkEnd w:id="71"/>
      <w:r>
        <w:rPr>
          <w:rFonts w:ascii="Times New Roman" w:hAnsi="Times New Roman"/>
          <w:color w:val="000000"/>
          <w:sz w:val="20"/>
        </w:rPr>
        <w:t xml:space="preserve"> and, for the second quarter of 2010, AT&amp;T experienced record iPhone activations, 27% of which were new AT&amp;T customers.</w:t>
      </w:r>
      <w:bookmarkStart w:id="72" w:name="co_tablefootnote_68_1"/>
      <w:hyperlink w:anchor="co_tablefootnoteblock_68_1">
        <w:r>
          <w:rPr>
            <w:rFonts w:ascii="Times New Roman" w:hAnsi="Times New Roman"/>
            <w:color w:val="000000"/>
            <w:sz w:val="16"/>
            <w:vertAlign w:val="superscript"/>
          </w:rPr>
          <w:t>68</w:t>
        </w:r>
      </w:hyperlink>
      <w:bookmarkEnd w:id="72"/>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b. AT&amp;T Did Not Want to Share Profits with Partners.</w:t>
      </w:r>
    </w:p>
    <w:p>
      <w:pPr>
        <w:spacing w:before="200" w:after="0" w:line="275" w:lineRule="atLeast"/>
        <w:jc w:val="both"/>
      </w:pPr>
      <w:r>
        <w:rPr>
          <w:rFonts w:ascii="Times New Roman" w:hAnsi="Times New Roman"/>
          <w:color w:val="000000"/>
          <w:sz w:val="20"/>
        </w:rPr>
        <w:t>The Transactions were not about “administrative cost-savings,” they were about not sharing profits with partners. AT&amp;T accounted for its partners' profit distributions, including Plaintiffs' profit distributions, as minority interest expense, which affected AT&amp;T's earnings per share.</w:t>
      </w:r>
      <w:bookmarkStart w:id="73" w:name="co_tablefootnote_69_1"/>
      <w:hyperlink w:anchor="co_tablefootnoteblock_69_1">
        <w:r>
          <w:rPr>
            <w:rFonts w:ascii="Times New Roman" w:hAnsi="Times New Roman"/>
            <w:color w:val="000000"/>
            <w:sz w:val="16"/>
            <w:vertAlign w:val="superscript"/>
          </w:rPr>
          <w:t>69</w:t>
        </w:r>
      </w:hyperlink>
      <w:bookmarkEnd w:id="73"/>
      <w:r>
        <w:rPr>
          <w:rFonts w:ascii="Times New Roman" w:hAnsi="Times New Roman"/>
          <w:color w:val="000000"/>
          <w:sz w:val="20"/>
        </w:rPr>
        <w:t xml:space="preserve"> After the introduction of the iPhone in the second half of 2007, AT&amp;T's minority interest expense increased 82% from the year prior.</w:t>
      </w:r>
      <w:bookmarkStart w:id="74" w:name="co_tablefootnote_70_1"/>
      <w:hyperlink w:anchor="co_tablefootnoteblock_70_1">
        <w:r>
          <w:rPr>
            <w:rFonts w:ascii="Times New Roman" w:hAnsi="Times New Roman"/>
            <w:color w:val="000000"/>
            <w:sz w:val="16"/>
            <w:vertAlign w:val="superscript"/>
          </w:rPr>
          <w:t>70</w:t>
        </w:r>
      </w:hyperlink>
      <w:bookmarkEnd w:id="74"/>
      <w:r>
        <w:rPr>
          <w:rFonts w:ascii="Times New Roman" w:hAnsi="Times New Roman"/>
          <w:color w:val="000000"/>
          <w:sz w:val="20"/>
        </w:rPr>
        <w:t xml:space="preserve"> Immediately after the close of the 4</w:t>
      </w:r>
      <w:r>
        <w:rPr>
          <w:rFonts w:ascii="Times New Roman" w:hAnsi="Times New Roman"/>
          <w:color w:val="000000"/>
          <w:sz w:val="16"/>
          <w:vertAlign w:val="superscript"/>
        </w:rPr>
        <w:t>th</w:t>
      </w:r>
      <w:r>
        <w:rPr>
          <w:rFonts w:ascii="Times New Roman" w:hAnsi="Times New Roman"/>
          <w:color w:val="000000"/>
          <w:sz w:val="20"/>
        </w:rPr>
        <w:t xml:space="preserve"> quarter of 2007, AT&amp;T's Corporate Development department prepared an analysis for reducing the minority interest expense (the “Acquisition Summary”).</w:t>
      </w:r>
      <w:bookmarkStart w:id="75" w:name="co_tablefootnote_71_1"/>
      <w:hyperlink w:anchor="co_tablefootnoteblock_71_1">
        <w:r>
          <w:rPr>
            <w:rFonts w:ascii="Times New Roman" w:hAnsi="Times New Roman"/>
            <w:color w:val="000000"/>
            <w:sz w:val="16"/>
            <w:vertAlign w:val="superscript"/>
          </w:rPr>
          <w:t>71</w:t>
        </w:r>
      </w:hyperlink>
      <w:bookmarkEnd w:id="75"/>
      <w:r>
        <w:rPr>
          <w:rFonts w:ascii="Times New Roman" w:hAnsi="Times New Roman"/>
          <w:color w:val="000000"/>
          <w:sz w:val="20"/>
        </w:rPr>
        <w:t xml:space="preserve"> AT&amp;T saw low-hanging fruit in eighteen entities, including the Partnerships, where the minority interest expense could be eliminated “without partner consent.”</w:t>
      </w:r>
      <w:bookmarkStart w:id="76" w:name="co_tablefootnote_72_1"/>
      <w:hyperlink w:anchor="co_tablefootnoteblock_72_1">
        <w:r>
          <w:rPr>
            <w:rFonts w:ascii="Times New Roman" w:hAnsi="Times New Roman"/>
            <w:color w:val="000000"/>
            <w:sz w:val="16"/>
            <w:vertAlign w:val="superscript"/>
          </w:rPr>
          <w:t>72</w:t>
        </w:r>
      </w:hyperlink>
      <w:bookmarkEnd w:id="76"/>
      <w:r>
        <w:rPr>
          <w:rFonts w:ascii="Times New Roman" w:hAnsi="Times New Roman"/>
          <w:color w:val="000000"/>
          <w:sz w:val="20"/>
        </w:rPr>
        <w:t xml:space="preserve"> AT&amp;T recognized the accelerating values of the Partnerships and eliminating minority interests would allow AT&amp;T to retain the “lift in value driven by projected growth of the business.”</w:t>
      </w:r>
      <w:bookmarkStart w:id="77" w:name="co_tablefootnote_73_1"/>
      <w:hyperlink w:anchor="co_tablefootnoteblock_73_1">
        <w:r>
          <w:rPr>
            <w:rFonts w:ascii="Times New Roman" w:hAnsi="Times New Roman"/>
            <w:color w:val="000000"/>
            <w:sz w:val="16"/>
            <w:vertAlign w:val="superscript"/>
          </w:rPr>
          <w:t>73</w:t>
        </w:r>
      </w:hyperlink>
      <w:bookmarkEnd w:id="77"/>
      <w:r>
        <w:rPr>
          <w:rFonts w:ascii="Times New Roman" w:hAnsi="Times New Roman"/>
          <w:color w:val="000000"/>
          <w:sz w:val="20"/>
        </w:rPr>
        <w:t xml:space="preserve"> The trial evidence showed the whole point of the Transactions was to acquire the Partnerships at “a discount to future growth.”</w:t>
      </w:r>
      <w:bookmarkStart w:id="78" w:name="co_tablefootnote_74_1"/>
      <w:hyperlink w:anchor="co_tablefootnoteblock_74_1">
        <w:r>
          <w:rPr>
            <w:rFonts w:ascii="Times New Roman" w:hAnsi="Times New Roman"/>
            <w:color w:val="000000"/>
            <w:sz w:val="16"/>
            <w:vertAlign w:val="superscript"/>
          </w:rPr>
          <w:t>74</w:t>
        </w:r>
      </w:hyperlink>
      <w:bookmarkEnd w:id="78"/>
      <w:r>
        <w:rPr>
          <w:rFonts w:ascii="Times New Roman" w:hAnsi="Times New Roman"/>
          <w:color w:val="000000"/>
          <w:sz w:val="20"/>
        </w:rPr>
        <w:t xml:space="preserve"> AT&amp;T understood “[a] buyout [of the minority] today will be much less expensive than a buyout tomorrow.”</w:t>
      </w:r>
      <w:bookmarkStart w:id="79" w:name="co_tablefootnote_75_1"/>
      <w:hyperlink w:anchor="co_tablefootnoteblock_75_1">
        <w:r>
          <w:rPr>
            <w:rFonts w:ascii="Times New Roman" w:hAnsi="Times New Roman"/>
            <w:color w:val="000000"/>
            <w:sz w:val="16"/>
            <w:vertAlign w:val="superscript"/>
          </w:rPr>
          <w:t>75</w:t>
        </w:r>
      </w:hyperlink>
      <w:bookmarkEnd w:id="79"/>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However, while AT&amp;T projected its minority interest expense would continue to increase, AT&amp;T understood the technological cycles of the industry and only expected an increase of 14% in 2009,</w:t>
      </w:r>
      <w:bookmarkStart w:id="80" w:name="co_tablefootnote_76_1"/>
      <w:hyperlink w:anchor="co_tablefootnoteblock_76_1">
        <w:r>
          <w:rPr>
            <w:rFonts w:ascii="Times New Roman" w:hAnsi="Times New Roman"/>
            <w:color w:val="000000"/>
            <w:sz w:val="16"/>
            <w:vertAlign w:val="superscript"/>
          </w:rPr>
          <w:t>76</w:t>
        </w:r>
      </w:hyperlink>
      <w:bookmarkEnd w:id="80"/>
      <w:r>
        <w:rPr>
          <w:rFonts w:ascii="Times New Roman" w:hAnsi="Times New Roman"/>
          <w:color w:val="000000"/>
          <w:sz w:val="20"/>
        </w:rPr>
        <w:t xml:space="preserve"> as compared to an 82% and 31% increase in 2007 and 2008, respectively. In other words, AT&amp;T believed it had absorbed the peak growth of the minority interest expense associated with the iPhone and 3G. But AT&amp;T would not make the same mistake as it planned its 4G rollout.</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2. AT&amp;T Initiated the Transactions for Its Own Benefit.</w:t>
      </w:r>
    </w:p>
    <w:p>
      <w:pPr>
        <w:spacing w:before="200" w:after="0" w:line="275" w:lineRule="atLeast"/>
        <w:jc w:val="both"/>
      </w:pPr>
      <w:r>
        <w:rPr>
          <w:rFonts w:ascii="Times New Roman" w:hAnsi="Times New Roman"/>
          <w:color w:val="000000"/>
          <w:sz w:val="20"/>
        </w:rPr>
        <w:t>In October 2009, at approximately the same time AT&amp;T kicked off its next-generation business plan</w:t>
      </w:r>
      <w:bookmarkStart w:id="81" w:name="co_tablefootnote_77_1"/>
      <w:hyperlink w:anchor="co_tablefootnoteblock_77_1">
        <w:r>
          <w:rPr>
            <w:rFonts w:ascii="Times New Roman" w:hAnsi="Times New Roman"/>
            <w:color w:val="000000"/>
            <w:sz w:val="16"/>
            <w:vertAlign w:val="superscript"/>
          </w:rPr>
          <w:t>77</w:t>
        </w:r>
      </w:hyperlink>
      <w:bookmarkEnd w:id="81"/>
      <w:r>
        <w:rPr>
          <w:rFonts w:ascii="Times New Roman" w:hAnsi="Times New Roman"/>
          <w:color w:val="000000"/>
          <w:sz w:val="20"/>
        </w:rPr>
        <w:t xml:space="preserve"> and EDO was getting up and running,</w:t>
      </w:r>
      <w:bookmarkStart w:id="82" w:name="co_tablefootnote_78_1"/>
      <w:hyperlink w:anchor="co_tablefootnoteblock_78_1">
        <w:r>
          <w:rPr>
            <w:rFonts w:ascii="Times New Roman" w:hAnsi="Times New Roman"/>
            <w:color w:val="000000"/>
            <w:sz w:val="16"/>
            <w:vertAlign w:val="superscript"/>
          </w:rPr>
          <w:t>78</w:t>
        </w:r>
      </w:hyperlink>
      <w:bookmarkEnd w:id="82"/>
      <w:r>
        <w:rPr>
          <w:rFonts w:ascii="Times New Roman" w:hAnsi="Times New Roman"/>
          <w:color w:val="000000"/>
          <w:sz w:val="20"/>
        </w:rPr>
        <w:t xml:space="preserve"> AT&amp;T reinitiated its minority buyout plan. Eric Wages began working with Phil Teske</w:t>
      </w:r>
      <w:bookmarkStart w:id="83" w:name="co_tablefootnote_79_1"/>
      <w:hyperlink w:anchor="co_tablefootnoteblock_79_1">
        <w:r>
          <w:rPr>
            <w:rFonts w:ascii="Times New Roman" w:hAnsi="Times New Roman"/>
            <w:color w:val="000000"/>
            <w:sz w:val="16"/>
            <w:vertAlign w:val="superscript"/>
          </w:rPr>
          <w:t>79</w:t>
        </w:r>
      </w:hyperlink>
      <w:bookmarkEnd w:id="83"/>
      <w:r>
        <w:rPr>
          <w:rFonts w:ascii="Times New Roman" w:hAnsi="Times New Roman"/>
          <w:color w:val="000000"/>
          <w:sz w:val="20"/>
        </w:rPr>
        <w:t xml:space="preserve"> and Debbie Dial's project team to update the Acquisition Summary for executive review. AT&amp;T's litigation counsel was part of this team.</w:t>
      </w:r>
      <w:bookmarkStart w:id="84" w:name="co_tablefootnote_80_1"/>
      <w:hyperlink w:anchor="co_tablefootnoteblock_80_1">
        <w:r>
          <w:rPr>
            <w:rFonts w:ascii="Times New Roman" w:hAnsi="Times New Roman"/>
            <w:color w:val="000000"/>
            <w:sz w:val="16"/>
            <w:vertAlign w:val="superscript"/>
          </w:rPr>
          <w:t>80</w:t>
        </w:r>
      </w:hyperlink>
      <w:bookmarkEnd w:id="84"/>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Acquisition Summary was retitled as “Project Smoothie,” and revised to provide “National Roll-up,” “Regional Roll-up,” or buy-out of the minority scenarios.</w:t>
      </w:r>
      <w:bookmarkStart w:id="85" w:name="co_tablefootnote_81_1"/>
      <w:hyperlink w:anchor="co_tablefootnoteblock_81_1">
        <w:r>
          <w:rPr>
            <w:rFonts w:ascii="Times New Roman" w:hAnsi="Times New Roman"/>
            <w:color w:val="000000"/>
            <w:sz w:val="16"/>
            <w:vertAlign w:val="superscript"/>
          </w:rPr>
          <w:t>81</w:t>
        </w:r>
      </w:hyperlink>
      <w:bookmarkEnd w:id="85"/>
      <w:r>
        <w:rPr>
          <w:rFonts w:ascii="Times New Roman" w:hAnsi="Times New Roman"/>
          <w:color w:val="000000"/>
          <w:sz w:val="20"/>
        </w:rPr>
        <w:t xml:space="preserve"> The options addressed “operational processes” that were “inconsistent with the manner in which management [was running] the business.”</w:t>
      </w:r>
      <w:bookmarkStart w:id="86" w:name="co_tablefootnote_82_1"/>
      <w:hyperlink w:anchor="co_tablefootnoteblock_82_1">
        <w:r>
          <w:rPr>
            <w:rFonts w:ascii="Times New Roman" w:hAnsi="Times New Roman"/>
            <w:color w:val="000000"/>
            <w:sz w:val="16"/>
            <w:vertAlign w:val="superscript"/>
          </w:rPr>
          <w:t>82</w:t>
        </w:r>
      </w:hyperlink>
      <w:bookmarkEnd w:id="86"/>
      <w:r>
        <w:rPr>
          <w:rFonts w:ascii="Times New Roman" w:hAnsi="Times New Roman"/>
          <w:color w:val="000000"/>
          <w:sz w:val="20"/>
        </w:rPr>
        <w:t xml:space="preserve"> For example, AT&amp;T was only accounting for intra-carrier roaming because of minority interests (such as the Plaintiffs' Partnership interests), and it was unable to track data roaming.</w:t>
      </w:r>
      <w:bookmarkStart w:id="87" w:name="co_tablefootnote_83_1"/>
      <w:hyperlink w:anchor="co_tablefootnoteblock_83_1">
        <w:r>
          <w:rPr>
            <w:rFonts w:ascii="Times New Roman" w:hAnsi="Times New Roman"/>
            <w:color w:val="000000"/>
            <w:sz w:val="16"/>
            <w:vertAlign w:val="superscript"/>
          </w:rPr>
          <w:t>83</w:t>
        </w:r>
      </w:hyperlink>
      <w:bookmarkEnd w:id="87"/>
      <w:r>
        <w:rPr>
          <w:rFonts w:ascii="Times New Roman" w:hAnsi="Times New Roman"/>
          <w:color w:val="000000"/>
          <w:sz w:val="20"/>
        </w:rPr>
        <w:t xml:space="preserve"> While the roll-up scenarios would help, they did not eliminate or reduce the minority interest expense, would expand rather than limit fiduciary duties owed to partners, and required, in most cases, partner consent.</w:t>
      </w:r>
      <w:bookmarkStart w:id="88" w:name="co_tablefootnote_84_1"/>
      <w:hyperlink w:anchor="co_tablefootnoteblock_84_1">
        <w:r>
          <w:rPr>
            <w:rFonts w:ascii="Times New Roman" w:hAnsi="Times New Roman"/>
            <w:color w:val="000000"/>
            <w:sz w:val="16"/>
            <w:vertAlign w:val="superscript"/>
          </w:rPr>
          <w:t>84</w:t>
        </w:r>
      </w:hyperlink>
      <w:bookmarkEnd w:id="88"/>
      <w:r>
        <w:rPr>
          <w:rFonts w:ascii="Times New Roman" w:hAnsi="Times New Roman"/>
          <w:color w:val="000000"/>
          <w:sz w:val="20"/>
        </w:rPr>
        <w:t xml:space="preserve"> Like the Acquisition Summary, Project Smoothie identified the low-hanging fruit: a “[c]lear legal path forward on buyout of 17 former AWE partnerships and corporations.”</w:t>
      </w:r>
      <w:bookmarkStart w:id="89" w:name="co_tablefootnote_85_1"/>
      <w:hyperlink w:anchor="co_tablefootnoteblock_85_1">
        <w:r>
          <w:rPr>
            <w:rFonts w:ascii="Times New Roman" w:hAnsi="Times New Roman"/>
            <w:color w:val="000000"/>
            <w:sz w:val="16"/>
            <w:vertAlign w:val="superscript"/>
          </w:rPr>
          <w:t>85</w:t>
        </w:r>
      </w:hyperlink>
      <w:bookmarkEnd w:id="89"/>
      <w:r>
        <w:rPr>
          <w:rFonts w:ascii="Times New Roman" w:hAnsi="Times New Roman"/>
          <w:color w:val="000000"/>
          <w:sz w:val="20"/>
        </w:rPr>
        <w:t xml:space="preserve"> Project Smoothie also updated AT&amp;T's target price: to entirely eliminate the minority interest expense would cost $2.4 billion; however, the low-hanging fruit required only a “[l]imited use of capital” - $200 million at 8x EBITDA.</w:t>
      </w:r>
      <w:bookmarkStart w:id="90" w:name="co_tablefootnote_86_1"/>
      <w:hyperlink w:anchor="co_tablefootnoteblock_86_1">
        <w:r>
          <w:rPr>
            <w:rFonts w:ascii="Times New Roman" w:hAnsi="Times New Roman"/>
            <w:color w:val="000000"/>
            <w:sz w:val="16"/>
            <w:vertAlign w:val="superscript"/>
          </w:rPr>
          <w:t>86</w:t>
        </w:r>
      </w:hyperlink>
      <w:bookmarkEnd w:id="90"/>
      <w:r>
        <w:rPr>
          <w:rFonts w:ascii="Times New Roman" w:hAnsi="Times New Roman"/>
          <w:color w:val="000000"/>
          <w:sz w:val="20"/>
        </w:rPr>
        <w:t xml:space="preserve"> Like the Acquisition Summary, Project Smoothie included detail on minority distributions and valuation backup based on an EBITDA multiple.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Project Smootie was greenlit in December 2009 John Stephens renamed the initiative under “Project LESS,” an acronym AT&amp;T had used fortwo decades and continues to use today.</w:t>
      </w:r>
      <w:bookmarkStart w:id="91" w:name="co_tablefootnote_87_1"/>
      <w:hyperlink w:anchor="co_tablefootnoteblock_87_1">
        <w:r>
          <w:rPr>
            <w:rFonts w:ascii="Times New Roman" w:hAnsi="Times New Roman"/>
            <w:color w:val="000000"/>
            <w:sz w:val="16"/>
            <w:vertAlign w:val="superscript"/>
          </w:rPr>
          <w:t>87</w:t>
        </w:r>
      </w:hyperlink>
      <w:bookmarkEnd w:id="91"/>
      <w:r>
        <w:rPr>
          <w:rFonts w:ascii="Times New Roman" w:hAnsi="Times New Roman"/>
          <w:color w:val="000000"/>
          <w:sz w:val="20"/>
        </w:rPr>
        <w:t xml:space="preserve"> The cost-benefit analysis, however, remained project specific</w:t>
      </w:r>
      <w:bookmarkStart w:id="92" w:name="co_tablefootnote_88_1"/>
      <w:hyperlink w:anchor="co_tablefootnoteblock_88_1">
        <w:r>
          <w:rPr>
            <w:rFonts w:ascii="Times New Roman" w:hAnsi="Times New Roman"/>
            <w:color w:val="000000"/>
            <w:sz w:val="16"/>
            <w:vertAlign w:val="superscript"/>
          </w:rPr>
          <w:t>88</w:t>
        </w:r>
      </w:hyperlink>
      <w:bookmarkEnd w:id="92"/>
      <w:r>
        <w:rPr>
          <w:rFonts w:ascii="Times New Roman" w:hAnsi="Times New Roman"/>
          <w:color w:val="000000"/>
          <w:sz w:val="20"/>
        </w:rPr>
        <w:t xml:space="preserve"> and was presented to AT&amp;T's CEO for his signature. Mr. Stephens' team and Corporate Development, with the aid of litigation counsel, idenfied three benefits to justify a budgeted 140 million cost</w:t>
      </w:r>
      <w:bookmarkStart w:id="93" w:name="co_tablefootnote_89_1"/>
      <w:hyperlink w:anchor="co_tablefootnoteblock_89_1">
        <w:r>
          <w:rPr>
            <w:rFonts w:ascii="Times New Roman" w:hAnsi="Times New Roman"/>
            <w:color w:val="000000"/>
            <w:sz w:val="16"/>
            <w:vertAlign w:val="superscript"/>
          </w:rPr>
          <w:t>89</w:t>
        </w:r>
      </w:hyperlink>
      <w:bookmarkEnd w:id="93"/>
      <w:r>
        <w:rPr>
          <w:rFonts w:ascii="Times New Roman" w:hAnsi="Times New Roman"/>
          <w:color w:val="000000"/>
          <w:sz w:val="20"/>
        </w:rPr>
        <w:t xml:space="preserve"> for the Transactions:</w:t>
      </w:r>
    </w:p>
    <w:p>
      <w:pPr>
        <w:spacing w:before="0" w:after="0" w:line="275" w:lineRule="atLeast"/>
        <w:jc w:val="both"/>
      </w:pPr>
      <w:r>
        <w:rPr>
          <w:rFonts w:ascii="Times New Roman" w:hAnsi="Times New Roman"/>
          <w:color w:val="000000"/>
          <w:sz w:val="20"/>
        </w:rPr>
        <w:t> </w:t>
      </w:r>
    </w:p>
    <w:bookmarkStart w:id="94" w:name="co_anchor_I705a08f0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94"/>
    <w:p>
      <w:pPr>
        <w:spacing w:before="0" w:after="0" w:line="275" w:lineRule="atLeast"/>
        <w:jc w:val="both"/>
      </w:pPr>
      <w:r>
        <w:rPr>
          <w:rFonts w:ascii="Times New Roman" w:hAnsi="Times New Roman"/>
          <w:color w:val="000000"/>
          <w:sz w:val="20"/>
        </w:rPr>
        <w:t>The only benefit not valued was the “decreased distribution payment stream (which was valued into perpetuity in the Acquisition Summary).</w:t>
      </w:r>
      <w:bookmarkStart w:id="95" w:name="co_tablefootnote_90_1"/>
      <w:hyperlink w:anchor="co_tablefootnoteblock_90_1">
        <w:r>
          <w:rPr>
            <w:rFonts w:ascii="Times New Roman" w:hAnsi="Times New Roman"/>
            <w:color w:val="000000"/>
            <w:sz w:val="16"/>
            <w:vertAlign w:val="superscript"/>
          </w:rPr>
          <w:t>90</w:t>
        </w:r>
      </w:hyperlink>
      <w:bookmarkEnd w:id="95"/>
      <w:r>
        <w:rPr>
          <w:rFonts w:ascii="Times New Roman" w:hAnsi="Times New Roman"/>
          <w:color w:val="000000"/>
          <w:sz w:val="20"/>
        </w:rPr>
        <w:t xml:space="preserve"> The difference between this memo for the CEO and the Acquisition Summary is litigation counsel did not help prepare the Acquisition Summary.</w:t>
      </w:r>
      <w:bookmarkStart w:id="96" w:name="co_tablefootnote_91_1"/>
      <w:hyperlink w:anchor="co_tablefootnoteblock_91_1">
        <w:r>
          <w:rPr>
            <w:rFonts w:ascii="Times New Roman" w:hAnsi="Times New Roman"/>
            <w:color w:val="000000"/>
            <w:sz w:val="16"/>
            <w:vertAlign w:val="superscript"/>
          </w:rPr>
          <w:t>91</w:t>
        </w:r>
      </w:hyperlink>
      <w:bookmarkEnd w:id="96"/>
      <w:r>
        <w:rPr>
          <w:rFonts w:ascii="Times New Roman" w:hAnsi="Times New Roman"/>
          <w:color w:val="000000"/>
          <w:sz w:val="20"/>
        </w:rPr>
        <w:t xml:space="preserve"> Regardless, the underlying analysis prepared by Austin Summerford, then AT&amp;T's Director of Corporate Development,</w:t>
      </w:r>
      <w:bookmarkStart w:id="97" w:name="co_tablefootnote_92_1"/>
      <w:hyperlink w:anchor="co_tablefootnoteblock_92_1">
        <w:r>
          <w:rPr>
            <w:rFonts w:ascii="Times New Roman" w:hAnsi="Times New Roman"/>
            <w:color w:val="000000"/>
            <w:sz w:val="16"/>
            <w:vertAlign w:val="superscript"/>
          </w:rPr>
          <w:t>92</w:t>
        </w:r>
      </w:hyperlink>
      <w:bookmarkEnd w:id="97"/>
      <w:r>
        <w:rPr>
          <w:rFonts w:ascii="Times New Roman" w:hAnsi="Times New Roman"/>
          <w:color w:val="000000"/>
          <w:sz w:val="20"/>
        </w:rPr>
        <w:t xml:space="preserve"> show the substantial benefit AT&amp;T expected to gain from the Transactions. Through 2014 AT&amp;T expected to save at least $43.1 million (net of additional tax expenses) by “avoid[ing] partnership distributions”</w:t>
      </w:r>
      <w:bookmarkStart w:id="98" w:name="co_tablefootnote_93_1"/>
      <w:hyperlink w:anchor="co_tablefootnoteblock_93_1">
        <w:r>
          <w:rPr>
            <w:rFonts w:ascii="Times New Roman" w:hAnsi="Times New Roman"/>
            <w:color w:val="000000"/>
            <w:sz w:val="16"/>
            <w:vertAlign w:val="superscript"/>
          </w:rPr>
          <w:t>93</w:t>
        </w:r>
      </w:hyperlink>
      <w:bookmarkEnd w:id="98"/>
    </w:p>
    <w:p>
      <w:pPr>
        <w:spacing w:before="0" w:after="0" w:line="275" w:lineRule="atLeast"/>
        <w:jc w:val="both"/>
      </w:pPr>
      <w:r>
        <w:rPr>
          <w:rFonts w:ascii="Times New Roman" w:hAnsi="Times New Roman"/>
          <w:color w:val="000000"/>
          <w:sz w:val="20"/>
        </w:rPr>
        <w:t> </w:t>
      </w:r>
    </w:p>
    <w:bookmarkStart w:id="99" w:name="co_anchor_I705a08f2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99"/>
    <w:p>
      <w:pPr>
        <w:spacing w:before="0" w:after="0" w:line="275" w:lineRule="atLeast"/>
        <w:jc w:val="both"/>
      </w:pPr>
      <w:r>
        <w:rPr>
          <w:rFonts w:ascii="Times New Roman" w:hAnsi="Times New Roman"/>
          <w:color w:val="000000"/>
          <w:sz w:val="20"/>
        </w:rPr>
        <w:t>Over the same period, AT&amp;T estimated it would save approximately $1.9 million in administrative costs</w:t>
      </w:r>
      <w:bookmarkStart w:id="100" w:name="co_tablefootnote_94_1"/>
      <w:hyperlink w:anchor="co_tablefootnoteblock_94_1">
        <w:r>
          <w:rPr>
            <w:rFonts w:ascii="Times New Roman" w:hAnsi="Times New Roman"/>
            <w:color w:val="000000"/>
            <w:sz w:val="16"/>
            <w:vertAlign w:val="superscript"/>
          </w:rPr>
          <w:t>94</w:t>
        </w:r>
      </w:hyperlink>
      <w:bookmarkEnd w:id="100"/>
      <w:r>
        <w:rPr>
          <w:rFonts w:ascii="Times New Roman" w:hAnsi="Times New Roman"/>
          <w:color w:val="000000"/>
          <w:sz w:val="20"/>
        </w:rPr>
        <w:t xml:space="preserve"> Both savings continue in perpetuity: the savings of the avoided distributions were projected to grow at 3% and the administrative savings were projected to grow at 2%.</w:t>
      </w:r>
      <w:bookmarkStart w:id="101" w:name="co_tablefootnote_95_1"/>
      <w:hyperlink w:anchor="co_tablefootnoteblock_95_1">
        <w:r>
          <w:rPr>
            <w:rFonts w:ascii="Times New Roman" w:hAnsi="Times New Roman"/>
            <w:color w:val="000000"/>
            <w:sz w:val="16"/>
            <w:vertAlign w:val="superscript"/>
          </w:rPr>
          <w:t>95</w:t>
        </w:r>
      </w:hyperlink>
      <w:bookmarkEnd w:id="101"/>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3. Transaction Terms Were Dictated, Not Negotiated.</w:t>
      </w:r>
    </w:p>
    <w:p>
      <w:pPr>
        <w:spacing w:before="200" w:after="0" w:line="275" w:lineRule="atLeast"/>
        <w:jc w:val="both"/>
      </w:pPr>
      <w:r>
        <w:rPr>
          <w:rFonts w:ascii="Times New Roman" w:hAnsi="Times New Roman"/>
          <w:color w:val="000000"/>
          <w:sz w:val="20"/>
        </w:rPr>
        <w:t xml:space="preserve">AT&amp;T dealt unfairly with the Minorty Partners by dictating the terms of the Transactions rather than negotiating with them. To defend this, AT&amp;T relies on </w:t>
      </w:r>
      <w:r>
        <w:rPr>
          <w:rFonts w:ascii="Times New Roman" w:hAnsi="Times New Roman"/>
          <w:i/>
          <w:color w:val="000000"/>
          <w:sz w:val="20"/>
        </w:rPr>
        <w:t>Delaware Open MRI</w:t>
      </w:r>
      <w:bookmarkStart w:id="102" w:name="co_tablefootnote_96_1"/>
      <w:hyperlink w:anchor="co_tablefootnoteblock_96_1">
        <w:r>
          <w:rPr>
            <w:rFonts w:ascii="Times New Roman" w:hAnsi="Times New Roman"/>
            <w:color w:val="000000"/>
            <w:sz w:val="16"/>
            <w:vertAlign w:val="superscript"/>
          </w:rPr>
          <w:t>96</w:t>
        </w:r>
      </w:hyperlink>
      <w:bookmarkEnd w:id="102"/>
      <w:r>
        <w:rPr>
          <w:rFonts w:ascii="Times New Roman" w:hAnsi="Times New Roman"/>
          <w:color w:val="000000"/>
          <w:sz w:val="20"/>
        </w:rPr>
        <w:t xml:space="preserve"> to argue fair dealing does not require “a controller to bargain with the minority.”</w:t>
      </w:r>
      <w:bookmarkStart w:id="103" w:name="co_tablefootnote_97_1"/>
      <w:hyperlink w:anchor="co_tablefootnoteblock_97_1">
        <w:r>
          <w:rPr>
            <w:rFonts w:ascii="Times New Roman" w:hAnsi="Times New Roman"/>
            <w:color w:val="000000"/>
            <w:sz w:val="16"/>
            <w:vertAlign w:val="superscript"/>
          </w:rPr>
          <w:t>97</w:t>
        </w:r>
      </w:hyperlink>
      <w:bookmarkEnd w:id="103"/>
      <w:r>
        <w:rPr>
          <w:rFonts w:ascii="Times New Roman" w:hAnsi="Times New Roman"/>
          <w:color w:val="000000"/>
          <w:sz w:val="20"/>
        </w:rPr>
        <w:t xml:space="preserve"> The reliance is misplaced and teeming with irony: AT&amp;T ignored </w:t>
      </w:r>
      <w:r>
        <w:rPr>
          <w:rFonts w:ascii="Times New Roman" w:hAnsi="Times New Roman"/>
          <w:i/>
          <w:color w:val="000000"/>
          <w:sz w:val="20"/>
        </w:rPr>
        <w:t>Delaware Open MRI</w:t>
      </w:r>
      <w:r>
        <w:rPr>
          <w:rFonts w:ascii="Times New Roman" w:hAnsi="Times New Roman"/>
          <w:color w:val="000000"/>
          <w:sz w:val="20"/>
        </w:rPr>
        <w:t xml:space="preserve"> in setting a “fair price” for the pass-through Partnerships,</w:t>
      </w:r>
      <w:bookmarkStart w:id="104" w:name="co_tablefootnote_98_1"/>
      <w:hyperlink w:anchor="co_tablefootnoteblock_98_1">
        <w:r>
          <w:rPr>
            <w:rFonts w:ascii="Times New Roman" w:hAnsi="Times New Roman"/>
            <w:color w:val="000000"/>
            <w:sz w:val="16"/>
            <w:vertAlign w:val="superscript"/>
          </w:rPr>
          <w:t>98</w:t>
        </w:r>
      </w:hyperlink>
      <w:bookmarkEnd w:id="104"/>
      <w:r>
        <w:rPr>
          <w:rFonts w:ascii="Times New Roman" w:hAnsi="Times New Roman"/>
          <w:color w:val="000000"/>
          <w:sz w:val="20"/>
        </w:rPr>
        <w:t xml:space="preserve"> but relies on it for “fair dealing.” In any event, unlike AT&amp;T here, in </w:t>
      </w:r>
      <w:r>
        <w:rPr>
          <w:rFonts w:ascii="Times New Roman" w:hAnsi="Times New Roman"/>
          <w:i/>
          <w:color w:val="000000"/>
          <w:sz w:val="20"/>
        </w:rPr>
        <w:t>Delaware Open MRI</w:t>
      </w:r>
      <w:r>
        <w:rPr>
          <w:rFonts w:ascii="Times New Roman" w:hAnsi="Times New Roman"/>
          <w:color w:val="000000"/>
          <w:sz w:val="20"/>
        </w:rPr>
        <w:t xml:space="preserve"> the majority partners tried to negotiate with the minority partners and invited them to participate with and submit information to the independent valuator.</w:t>
      </w:r>
      <w:bookmarkStart w:id="105" w:name="co_tablefootnote_99_1"/>
      <w:hyperlink w:anchor="co_tablefootnoteblock_99_1">
        <w:r>
          <w:rPr>
            <w:rFonts w:ascii="Times New Roman" w:hAnsi="Times New Roman"/>
            <w:color w:val="000000"/>
            <w:sz w:val="16"/>
            <w:vertAlign w:val="superscript"/>
          </w:rPr>
          <w:t>99</w:t>
        </w:r>
      </w:hyperlink>
      <w:bookmarkEnd w:id="105"/>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While </w:t>
      </w:r>
      <w:r>
        <w:rPr>
          <w:rFonts w:ascii="Times New Roman" w:hAnsi="Times New Roman"/>
          <w:i/>
          <w:color w:val="000000"/>
          <w:sz w:val="20"/>
        </w:rPr>
        <w:t>Delaware Open MRI</w:t>
      </w:r>
      <w:r>
        <w:rPr>
          <w:rFonts w:ascii="Times New Roman" w:hAnsi="Times New Roman"/>
          <w:color w:val="000000"/>
          <w:sz w:val="20"/>
        </w:rPr>
        <w:t xml:space="preserve"> acknowledges a direct negotiation with the minority is not always required to prove entire fairness, it does not sanction unilateral conduct. Rather, it supports the use of an independent and well advised</w:t>
      </w:r>
      <w:bookmarkStart w:id="106" w:name="co_tablefootnote_100_1"/>
      <w:hyperlink w:anchor="co_tablefootnoteblock_100_1">
        <w:r>
          <w:rPr>
            <w:rFonts w:ascii="Times New Roman" w:hAnsi="Times New Roman"/>
            <w:color w:val="000000"/>
            <w:sz w:val="16"/>
            <w:vertAlign w:val="superscript"/>
          </w:rPr>
          <w:t>100</w:t>
        </w:r>
      </w:hyperlink>
      <w:bookmarkEnd w:id="106"/>
      <w:r>
        <w:rPr>
          <w:rFonts w:ascii="Times New Roman" w:hAnsi="Times New Roman"/>
          <w:color w:val="000000"/>
          <w:sz w:val="20"/>
        </w:rPr>
        <w:t xml:space="preserve"> negotiating agent like a special committee to “bargain for the best price and ... say no if the agents believe the deal is not advisable” for the minority.</w:t>
      </w:r>
      <w:bookmarkStart w:id="107" w:name="co_tablefootnote_101_1"/>
      <w:hyperlink w:anchor="co_tablefootnoteblock_101_1">
        <w:r>
          <w:rPr>
            <w:rFonts w:ascii="Times New Roman" w:hAnsi="Times New Roman"/>
            <w:color w:val="000000"/>
            <w:sz w:val="16"/>
            <w:vertAlign w:val="superscript"/>
          </w:rPr>
          <w:t>101</w:t>
        </w:r>
      </w:hyperlink>
      <w:bookmarkEnd w:id="107"/>
      <w:r>
        <w:rPr>
          <w:rFonts w:ascii="Times New Roman" w:hAnsi="Times New Roman"/>
          <w:color w:val="000000"/>
          <w:sz w:val="20"/>
        </w:rPr>
        <w:t xml:space="preserve"> This is uncontroversial: “fair dealing” under Delaware law is grounded in the idea of replicating arm's-length negotiations.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Nothing here replicated arm's-length negotiations. Mr. Wages, a member of the Partnership Executive Committees, was a career employee of AT&amp;T who acted in AT&amp;T's interests with regard to the Partnerships. This was “the guy”</w:t>
      </w:r>
      <w:bookmarkStart w:id="108" w:name="co_tablefootnote_102_1"/>
      <w:hyperlink w:anchor="co_tablefootnoteblock_102_1">
        <w:r>
          <w:rPr>
            <w:rFonts w:ascii="Times New Roman" w:hAnsi="Times New Roman"/>
            <w:color w:val="000000"/>
            <w:sz w:val="16"/>
            <w:vertAlign w:val="superscript"/>
          </w:rPr>
          <w:t>102</w:t>
        </w:r>
      </w:hyperlink>
      <w:bookmarkEnd w:id="108"/>
      <w:r>
        <w:rPr>
          <w:rFonts w:ascii="Times New Roman" w:hAnsi="Times New Roman"/>
          <w:color w:val="000000"/>
          <w:sz w:val="20"/>
        </w:rPr>
        <w:t xml:space="preserve"> who did not bother understanding the MNSAs “literally.”</w:t>
      </w:r>
      <w:bookmarkStart w:id="109" w:name="co_tablefootnote_103_1"/>
      <w:hyperlink w:anchor="co_tablefootnoteblock_103_1">
        <w:r>
          <w:rPr>
            <w:rFonts w:ascii="Times New Roman" w:hAnsi="Times New Roman"/>
            <w:color w:val="000000"/>
            <w:sz w:val="16"/>
            <w:vertAlign w:val="superscript"/>
          </w:rPr>
          <w:t>103</w:t>
        </w:r>
      </w:hyperlink>
      <w:bookmarkEnd w:id="109"/>
      <w:r>
        <w:rPr>
          <w:rFonts w:ascii="Times New Roman" w:hAnsi="Times New Roman"/>
          <w:color w:val="000000"/>
          <w:sz w:val="20"/>
        </w:rPr>
        <w:t xml:space="preserve"> Instead, he subjectively limited the scope of the Partnerships' business and interests in subscribers to AT&amp;T's favor.</w:t>
      </w:r>
      <w:bookmarkStart w:id="110" w:name="co_tablefootnote_104_1"/>
      <w:hyperlink w:anchor="co_tablefootnoteblock_104_1">
        <w:r>
          <w:rPr>
            <w:rFonts w:ascii="Times New Roman" w:hAnsi="Times New Roman"/>
            <w:color w:val="000000"/>
            <w:sz w:val="16"/>
            <w:vertAlign w:val="superscript"/>
          </w:rPr>
          <w:t>104</w:t>
        </w:r>
      </w:hyperlink>
      <w:bookmarkEnd w:id="110"/>
      <w:r>
        <w:rPr>
          <w:rFonts w:ascii="Times New Roman" w:hAnsi="Times New Roman"/>
          <w:color w:val="000000"/>
          <w:sz w:val="20"/>
        </w:rPr>
        <w:t xml:space="preserve"> This is “the guy” who simultaneously reviewed and participated in the preparation of minority buyout analyses projecting perpetuity growth of 3%</w:t>
      </w:r>
      <w:bookmarkStart w:id="111" w:name="co_tablefootnote_105_1"/>
      <w:hyperlink w:anchor="co_tablefootnoteblock_105_1">
        <w:r>
          <w:rPr>
            <w:rFonts w:ascii="Times New Roman" w:hAnsi="Times New Roman"/>
            <w:color w:val="000000"/>
            <w:sz w:val="16"/>
            <w:vertAlign w:val="superscript"/>
          </w:rPr>
          <w:t>105</w:t>
        </w:r>
      </w:hyperlink>
      <w:bookmarkEnd w:id="111"/>
      <w:r>
        <w:rPr>
          <w:rFonts w:ascii="Times New Roman" w:hAnsi="Times New Roman"/>
          <w:color w:val="000000"/>
          <w:sz w:val="20"/>
        </w:rPr>
        <w:t xml:space="preserve"> while reviewing and participating in the preparation of the PwC Valuations that only assumed perpetuity growth of 1% to 1.5%.</w:t>
      </w:r>
      <w:bookmarkStart w:id="112" w:name="co_tablefootnote_106_1"/>
      <w:hyperlink w:anchor="co_tablefootnoteblock_106_1">
        <w:r>
          <w:rPr>
            <w:rFonts w:ascii="Times New Roman" w:hAnsi="Times New Roman"/>
            <w:color w:val="000000"/>
            <w:sz w:val="16"/>
            <w:vertAlign w:val="superscript"/>
          </w:rPr>
          <w:t>106</w:t>
        </w:r>
      </w:hyperlink>
      <w:bookmarkEnd w:id="112"/>
      <w:r>
        <w:rPr>
          <w:rFonts w:ascii="Times New Roman" w:hAnsi="Times New Roman"/>
          <w:color w:val="000000"/>
          <w:sz w:val="20"/>
        </w:rPr>
        <w:t xml:space="preserve"> This is “the guy” who secretly shared confidential partnership information with PwC</w:t>
      </w:r>
      <w:bookmarkStart w:id="113" w:name="co_tablefootnote_107_1"/>
      <w:hyperlink w:anchor="co_tablefootnoteblock_107_1">
        <w:r>
          <w:rPr>
            <w:rFonts w:ascii="Times New Roman" w:hAnsi="Times New Roman"/>
            <w:color w:val="000000"/>
            <w:sz w:val="16"/>
            <w:vertAlign w:val="superscript"/>
          </w:rPr>
          <w:t>107</w:t>
        </w:r>
      </w:hyperlink>
      <w:bookmarkEnd w:id="113"/>
      <w:r>
        <w:rPr>
          <w:rFonts w:ascii="Times New Roman" w:hAnsi="Times New Roman"/>
          <w:color w:val="000000"/>
          <w:sz w:val="20"/>
        </w:rPr>
        <w:t xml:space="preserve"> while holding Executive Committee meetings and telling Minority Partner representatives there was “no further business” to discuss.</w:t>
      </w:r>
      <w:bookmarkStart w:id="114" w:name="co_tablefootnote_108_1"/>
      <w:hyperlink w:anchor="co_tablefootnoteblock_108_1">
        <w:r>
          <w:rPr>
            <w:rFonts w:ascii="Times New Roman" w:hAnsi="Times New Roman"/>
            <w:color w:val="000000"/>
            <w:sz w:val="16"/>
            <w:vertAlign w:val="superscript"/>
          </w:rPr>
          <w:t>108</w:t>
        </w:r>
      </w:hyperlink>
      <w:bookmarkEnd w:id="114"/>
      <w:r>
        <w:rPr>
          <w:rFonts w:ascii="Times New Roman" w:hAnsi="Times New Roman"/>
          <w:color w:val="000000"/>
          <w:sz w:val="20"/>
        </w:rPr>
        <w:t xml:space="preserve"> This is “the guy” double checking to make sure the PwC Valuations fell within AT&amp;T's target</w:t>
      </w:r>
      <w:bookmarkStart w:id="115" w:name="co_tablefootnote_109_1"/>
      <w:hyperlink w:anchor="co_tablefootnoteblock_109_1">
        <w:r>
          <w:rPr>
            <w:rFonts w:ascii="Times New Roman" w:hAnsi="Times New Roman"/>
            <w:color w:val="000000"/>
            <w:sz w:val="16"/>
            <w:vertAlign w:val="superscript"/>
          </w:rPr>
          <w:t>109</w:t>
        </w:r>
      </w:hyperlink>
      <w:bookmarkEnd w:id="115"/>
      <w:r>
        <w:rPr>
          <w:rFonts w:ascii="Times New Roman" w:hAnsi="Times New Roman"/>
          <w:color w:val="000000"/>
          <w:sz w:val="20"/>
        </w:rPr>
        <w:t xml:space="preserve"> - a target based on “this guy's” work.</w:t>
      </w:r>
      <w:bookmarkStart w:id="116" w:name="co_tablefootnote_110_1"/>
      <w:hyperlink w:anchor="co_tablefootnoteblock_110_1">
        <w:r>
          <w:rPr>
            <w:rFonts w:ascii="Times New Roman" w:hAnsi="Times New Roman"/>
            <w:color w:val="000000"/>
            <w:sz w:val="16"/>
            <w:vertAlign w:val="superscript"/>
          </w:rPr>
          <w:t>110</w:t>
        </w:r>
      </w:hyperlink>
      <w:bookmarkEnd w:id="116"/>
      <w:r>
        <w:rPr>
          <w:rFonts w:ascii="Times New Roman" w:hAnsi="Times New Roman"/>
          <w:color w:val="000000"/>
          <w:sz w:val="20"/>
        </w:rPr>
        <w:t xml:space="preserve"> This is “the guy” who failed to tell the Minority Partners the PwC team engaged to prepare the valuations had also performed most of AT&amp;T's wireless valuations for the last six years,</w:t>
      </w:r>
      <w:bookmarkStart w:id="117" w:name="co_tablefootnote_111_1"/>
      <w:hyperlink w:anchor="co_tablefootnoteblock_111_1">
        <w:r>
          <w:rPr>
            <w:rFonts w:ascii="Times New Roman" w:hAnsi="Times New Roman"/>
            <w:color w:val="000000"/>
            <w:sz w:val="16"/>
            <w:vertAlign w:val="superscript"/>
          </w:rPr>
          <w:t>111</w:t>
        </w:r>
      </w:hyperlink>
      <w:bookmarkEnd w:id="117"/>
      <w:r>
        <w:rPr>
          <w:rFonts w:ascii="Times New Roman" w:hAnsi="Times New Roman"/>
          <w:color w:val="000000"/>
          <w:sz w:val="20"/>
        </w:rPr>
        <w:t xml:space="preserve"> generally did not understand he had a duty to communicate honestly with AT&amp;T's partners,</w:t>
      </w:r>
      <w:bookmarkStart w:id="118" w:name="co_tablefootnote_112_1"/>
      <w:hyperlink w:anchor="co_tablefootnoteblock_112_1">
        <w:r>
          <w:rPr>
            <w:rFonts w:ascii="Times New Roman" w:hAnsi="Times New Roman"/>
            <w:color w:val="000000"/>
            <w:sz w:val="16"/>
            <w:vertAlign w:val="superscript"/>
          </w:rPr>
          <w:t>112</w:t>
        </w:r>
      </w:hyperlink>
      <w:bookmarkEnd w:id="118"/>
      <w:r>
        <w:rPr>
          <w:rFonts w:ascii="Times New Roman" w:hAnsi="Times New Roman"/>
          <w:color w:val="000000"/>
          <w:sz w:val="20"/>
        </w:rPr>
        <w:t xml:space="preserve"> and would not stray from the company-line as to the Transactions' purpose even when asked by this Court.</w:t>
      </w:r>
      <w:bookmarkStart w:id="119" w:name="co_tablefootnote_113_1"/>
      <w:hyperlink w:anchor="co_tablefootnoteblock_113_1">
        <w:r>
          <w:rPr>
            <w:rFonts w:ascii="Times New Roman" w:hAnsi="Times New Roman"/>
            <w:color w:val="000000"/>
            <w:sz w:val="16"/>
            <w:vertAlign w:val="superscript"/>
          </w:rPr>
          <w:t>113</w:t>
        </w:r>
      </w:hyperlink>
      <w:bookmarkEnd w:id="119"/>
      <w:r>
        <w:rPr>
          <w:rFonts w:ascii="Times New Roman" w:hAnsi="Times New Roman"/>
          <w:color w:val="000000"/>
          <w:sz w:val="20"/>
        </w:rPr>
        <w:t xml:space="preserve"> Mr. Wages was not the “Warren Buffett” imagined in </w:t>
      </w:r>
      <w:r>
        <w:rPr>
          <w:rFonts w:ascii="Times New Roman" w:hAnsi="Times New Roman"/>
          <w:i/>
          <w:color w:val="000000"/>
          <w:sz w:val="20"/>
        </w:rPr>
        <w:t>Delaware Open MRI</w:t>
      </w:r>
      <w:bookmarkStart w:id="120" w:name="co_tablefootnote_114_1"/>
      <w:hyperlink w:anchor="co_tablefootnoteblock_114_1">
        <w:r>
          <w:rPr>
            <w:rFonts w:ascii="Times New Roman" w:hAnsi="Times New Roman"/>
            <w:color w:val="000000"/>
            <w:sz w:val="16"/>
            <w:vertAlign w:val="superscript"/>
          </w:rPr>
          <w:t>114</w:t>
        </w:r>
      </w:hyperlink>
      <w:bookmarkEnd w:id="120"/>
      <w:r>
        <w:rPr>
          <w:rFonts w:ascii="Times New Roman" w:hAnsi="Times New Roman"/>
          <w:color w:val="000000"/>
          <w:sz w:val="20"/>
        </w:rPr>
        <w:t xml:space="preserve"> as negotiating on the minority partners' behalf.</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also relies on </w:t>
      </w:r>
      <w:r>
        <w:rPr>
          <w:rFonts w:ascii="Times New Roman" w:hAnsi="Times New Roman"/>
          <w:i/>
          <w:color w:val="000000"/>
          <w:sz w:val="20"/>
        </w:rPr>
        <w:t>ACP Master, Ltd. v. Sprint Corp.</w:t>
      </w:r>
      <w:bookmarkStart w:id="121" w:name="co_tablefootnote_115_1"/>
      <w:hyperlink w:anchor="co_tablefootnoteblock_115_1">
        <w:r>
          <w:rPr>
            <w:rFonts w:ascii="Times New Roman" w:hAnsi="Times New Roman"/>
            <w:color w:val="000000"/>
            <w:sz w:val="16"/>
            <w:vertAlign w:val="superscript"/>
          </w:rPr>
          <w:t>115</w:t>
        </w:r>
      </w:hyperlink>
      <w:bookmarkEnd w:id="121"/>
      <w:r>
        <w:rPr>
          <w:rFonts w:ascii="Times New Roman" w:hAnsi="Times New Roman"/>
          <w:color w:val="000000"/>
          <w:sz w:val="20"/>
        </w:rPr>
        <w:t xml:space="preserve"> to suggest events after its preparation of the Acquisition Summary “freshened the atmosphere.”</w:t>
      </w:r>
      <w:bookmarkStart w:id="122" w:name="co_tablefootnote_116_1"/>
      <w:hyperlink w:anchor="co_tablefootnoteblock_116_1">
        <w:r>
          <w:rPr>
            <w:rFonts w:ascii="Times New Roman" w:hAnsi="Times New Roman"/>
            <w:color w:val="000000"/>
            <w:sz w:val="16"/>
            <w:vertAlign w:val="superscript"/>
          </w:rPr>
          <w:t>116</w:t>
        </w:r>
      </w:hyperlink>
      <w:bookmarkEnd w:id="122"/>
      <w:r>
        <w:rPr>
          <w:rFonts w:ascii="Times New Roman" w:hAnsi="Times New Roman"/>
          <w:color w:val="000000"/>
          <w:sz w:val="20"/>
        </w:rPr>
        <w:t xml:space="preserve"> AT&amp;T's reliance again is misplaced. There, a third-party bidder made a topping-bid to the price at which Sprint had negotiated with a special committee to acquire Clearwire. The bid “freshened the atmosphere </w:t>
      </w:r>
      <w:r>
        <w:rPr>
          <w:rFonts w:ascii="Times New Roman" w:hAnsi="Times New Roman"/>
          <w:i/>
          <w:color w:val="000000"/>
          <w:sz w:val="20"/>
          <w:u w:val="single" w:color="000000"/>
        </w:rPr>
        <w:t>and created a competitive dynamic.”</w:t>
      </w:r>
      <w:bookmarkStart w:id="123" w:name="co_tablefootnote_117_1"/>
      <w:hyperlink w:anchor="co_tablefootnoteblock_117_1">
        <w:r>
          <w:rPr>
            <w:rFonts w:ascii="Times New Roman" w:hAnsi="Times New Roman"/>
            <w:color w:val="000000"/>
            <w:sz w:val="16"/>
            <w:vertAlign w:val="superscript"/>
          </w:rPr>
          <w:t>117</w:t>
        </w:r>
      </w:hyperlink>
      <w:bookmarkEnd w:id="123"/>
      <w:r>
        <w:rPr>
          <w:rFonts w:ascii="Times New Roman" w:hAnsi="Times New Roman"/>
          <w:color w:val="000000"/>
          <w:sz w:val="20"/>
        </w:rPr>
        <w:t xml:space="preserve"> No comparable event occurred here. The only thing between the Acquisition Summary and the Transactions is time, and everything in the record suggests the Transactions are the culmination of the planning set forth in the Acquisition Summary.</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4. AT&amp;T's Coercive Offer.</w:t>
      </w:r>
    </w:p>
    <w:p>
      <w:pPr>
        <w:spacing w:before="200" w:after="0" w:line="275" w:lineRule="atLeast"/>
        <w:jc w:val="both"/>
      </w:pPr>
      <w:r>
        <w:rPr>
          <w:rFonts w:ascii="Times New Roman" w:hAnsi="Times New Roman"/>
          <w:color w:val="000000"/>
          <w:sz w:val="20"/>
        </w:rPr>
        <w:t>AT&amp;T offered to buy its partners' interest in the Partnerships at a 5% premium to the PwC Valuations.</w:t>
      </w:r>
      <w:bookmarkStart w:id="124" w:name="co_tablefootnote_118_1"/>
      <w:hyperlink w:anchor="co_tablefootnoteblock_118_1">
        <w:r>
          <w:rPr>
            <w:rFonts w:ascii="Times New Roman" w:hAnsi="Times New Roman"/>
            <w:color w:val="000000"/>
            <w:sz w:val="16"/>
            <w:vertAlign w:val="superscript"/>
          </w:rPr>
          <w:t>118</w:t>
        </w:r>
      </w:hyperlink>
      <w:bookmarkEnd w:id="124"/>
      <w:r>
        <w:rPr>
          <w:rFonts w:ascii="Times New Roman" w:hAnsi="Times New Roman"/>
          <w:color w:val="000000"/>
          <w:sz w:val="20"/>
        </w:rPr>
        <w:t xml:space="preserve"> In making that offer, AT&amp;T did not disclose it had used the PwC team “in valuing wireless assets in most of [its] wireless acquisitions over the last 6 years.”</w:t>
      </w:r>
      <w:bookmarkStart w:id="125" w:name="co_tablefootnote_119_1"/>
      <w:hyperlink w:anchor="co_tablefootnoteblock_119_1">
        <w:r>
          <w:rPr>
            <w:rFonts w:ascii="Times New Roman" w:hAnsi="Times New Roman"/>
            <w:color w:val="000000"/>
            <w:sz w:val="16"/>
            <w:vertAlign w:val="superscript"/>
          </w:rPr>
          <w:t>119</w:t>
        </w:r>
      </w:hyperlink>
      <w:bookmarkEnd w:id="125"/>
      <w:r>
        <w:rPr>
          <w:rFonts w:ascii="Times New Roman" w:hAnsi="Times New Roman"/>
          <w:color w:val="000000"/>
          <w:sz w:val="20"/>
        </w:rPr>
        <w:t xml:space="preserve"> Instead, AT&amp;T described PwC's valuation as “independent.”</w:t>
      </w:r>
      <w:bookmarkStart w:id="126" w:name="co_tablefootnote_120_1"/>
      <w:hyperlink w:anchor="co_tablefootnoteblock_120_1">
        <w:r>
          <w:rPr>
            <w:rFonts w:ascii="Times New Roman" w:hAnsi="Times New Roman"/>
            <w:color w:val="000000"/>
            <w:sz w:val="16"/>
            <w:vertAlign w:val="superscript"/>
          </w:rPr>
          <w:t>120</w:t>
        </w:r>
      </w:hyperlink>
      <w:bookmarkEnd w:id="126"/>
      <w:r>
        <w:rPr>
          <w:rFonts w:ascii="Times New Roman" w:hAnsi="Times New Roman"/>
          <w:color w:val="000000"/>
          <w:sz w:val="20"/>
        </w:rPr>
        <w:t xml:space="preserve"> In its offer, AT&amp;T stated if the offer was not accepted, AT&amp;T would cash-out its partners at the lower PwC Valuation.</w:t>
      </w:r>
      <w:bookmarkStart w:id="127" w:name="co_tablefootnote_121_1"/>
      <w:hyperlink w:anchor="co_tablefootnoteblock_121_1">
        <w:r>
          <w:rPr>
            <w:rFonts w:ascii="Times New Roman" w:hAnsi="Times New Roman"/>
            <w:color w:val="000000"/>
            <w:sz w:val="16"/>
            <w:vertAlign w:val="superscript"/>
          </w:rPr>
          <w:t>121</w:t>
        </w:r>
      </w:hyperlink>
      <w:bookmarkEnd w:id="127"/>
      <w:r>
        <w:rPr>
          <w:rFonts w:ascii="Times New Roman" w:hAnsi="Times New Roman"/>
          <w:color w:val="000000"/>
          <w:sz w:val="20"/>
        </w:rPr>
        <w:t xml:space="preserve"> AT&amp;T's threat coerced some (not “many”) partners to sell their interests to AT&amp;T. At the special meetings called by AT&amp;T to vote on the Transactions, Minority Partners asked whether other valuations were prepared and were falsely told no.</w:t>
      </w:r>
      <w:bookmarkStart w:id="128" w:name="co_tablefootnote_122_1"/>
      <w:hyperlink w:anchor="co_tablefootnoteblock_122_1">
        <w:r>
          <w:rPr>
            <w:rFonts w:ascii="Times New Roman" w:hAnsi="Times New Roman"/>
            <w:color w:val="000000"/>
            <w:sz w:val="16"/>
            <w:vertAlign w:val="superscript"/>
          </w:rPr>
          <w:t>122</w:t>
        </w:r>
      </w:hyperlink>
      <w:bookmarkEnd w:id="128"/>
      <w:r>
        <w:rPr>
          <w:rFonts w:ascii="Times New Roman" w:hAnsi="Times New Roman"/>
          <w:color w:val="000000"/>
          <w:sz w:val="20"/>
        </w:rPr>
        <w:t xml:space="preserve"> They asked whether PwC had other business with AT&amp;T and instead were told the “procedure for selecting PwC.”</w:t>
      </w:r>
      <w:bookmarkStart w:id="129" w:name="co_tablefootnote_123_1"/>
      <w:hyperlink w:anchor="co_tablefootnoteblock_123_1">
        <w:r>
          <w:rPr>
            <w:rFonts w:ascii="Times New Roman" w:hAnsi="Times New Roman"/>
            <w:color w:val="000000"/>
            <w:sz w:val="16"/>
            <w:vertAlign w:val="superscript"/>
          </w:rPr>
          <w:t>123</w:t>
        </w:r>
      </w:hyperlink>
      <w:bookmarkEnd w:id="129"/>
      <w:r>
        <w:rPr>
          <w:rFonts w:ascii="Times New Roman" w:hAnsi="Times New Roman"/>
          <w:color w:val="000000"/>
          <w:sz w:val="20"/>
        </w:rPr>
        <w:t xml:space="preserve"> Minority Partners proposed adjourning meetings to provide more time to consider the Transactions and were voted down by AT&amp;T.</w:t>
      </w:r>
      <w:bookmarkStart w:id="130" w:name="co_tablefootnote_124_1"/>
      <w:hyperlink w:anchor="co_tablefootnoteblock_124_1">
        <w:r>
          <w:rPr>
            <w:rFonts w:ascii="Times New Roman" w:hAnsi="Times New Roman"/>
            <w:color w:val="000000"/>
            <w:sz w:val="16"/>
            <w:vertAlign w:val="superscript"/>
          </w:rPr>
          <w:t>124</w:t>
        </w:r>
      </w:hyperlink>
      <w:bookmarkEnd w:id="130"/>
      <w:r>
        <w:rPr>
          <w:rFonts w:ascii="Times New Roman" w:hAnsi="Times New Roman"/>
          <w:color w:val="000000"/>
          <w:sz w:val="20"/>
        </w:rPr>
        <w:t xml:space="preserve"> They proposed setting up a committee to discuss the Transactions or receiving AT&amp;T stock instead of cash, both of which AT&amp;T rejected.</w:t>
      </w:r>
      <w:bookmarkStart w:id="131" w:name="co_tablefootnote_125_1"/>
      <w:hyperlink w:anchor="co_tablefootnoteblock_125_1">
        <w:r>
          <w:rPr>
            <w:rFonts w:ascii="Times New Roman" w:hAnsi="Times New Roman"/>
            <w:color w:val="000000"/>
            <w:sz w:val="16"/>
            <w:vertAlign w:val="superscript"/>
          </w:rPr>
          <w:t>125</w:t>
        </w:r>
      </w:hyperlink>
      <w:bookmarkEnd w:id="131"/>
      <w:r>
        <w:rPr>
          <w:rFonts w:ascii="Times New Roman" w:hAnsi="Times New Roman"/>
          <w:color w:val="000000"/>
          <w:sz w:val="20"/>
        </w:rPr>
        <w:t xml:space="preserve"> Minority Partners even offered to buy AT&amp;T's interests at the PwC Valuation price which AT&amp;T rejected.</w:t>
      </w:r>
      <w:bookmarkStart w:id="132" w:name="co_tablefootnote_126_1"/>
      <w:hyperlink w:anchor="co_tablefootnoteblock_126_1">
        <w:r>
          <w:rPr>
            <w:rFonts w:ascii="Times New Roman" w:hAnsi="Times New Roman"/>
            <w:color w:val="000000"/>
            <w:sz w:val="16"/>
            <w:vertAlign w:val="superscript"/>
          </w:rPr>
          <w:t>126</w:t>
        </w:r>
      </w:hyperlink>
      <w:bookmarkEnd w:id="132"/>
      <w:r>
        <w:rPr>
          <w:rFonts w:ascii="Times New Roman" w:hAnsi="Times New Roman"/>
          <w:color w:val="000000"/>
          <w:sz w:val="20"/>
        </w:rPr>
        <w:t xml:space="preserve"> None of AT&amp;T's partners voted in favor of the Transactions.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 sum, AT&amp;T failed to proffer any evidence at trial to show it dealt fairly with the Minority Partners in timing, initiating, structuring, negotiating, disclosing or approving the Transactions.</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B. AT&amp;T Did Not Pay a Fair Price.</w:t>
      </w:r>
    </w:p>
    <w:p>
      <w:pPr>
        <w:spacing w:before="200" w:after="0" w:line="275" w:lineRule="atLeast"/>
        <w:jc w:val="both"/>
      </w:pPr>
      <w:r>
        <w:rPr>
          <w:rFonts w:ascii="Times New Roman" w:hAnsi="Times New Roman"/>
          <w:color w:val="000000"/>
          <w:sz w:val="20"/>
        </w:rPr>
        <w:t>AT&amp;T has failed to prove the Transaction prices were fair. The only evidence on price AT&amp;T presented at trial were the opinions of Carlyn Taylor. Those opinions cannot withstand entire fairness scrutiny. Ms. Taylor did not use a “fair value” definition of a willing-buyer and willing-seller. Instead, she assumed the seller had no choice.</w:t>
      </w:r>
      <w:bookmarkStart w:id="133" w:name="co_tablefootnote_127_1"/>
      <w:hyperlink w:anchor="co_tablefootnoteblock_127_1">
        <w:r>
          <w:rPr>
            <w:rFonts w:ascii="Times New Roman" w:hAnsi="Times New Roman"/>
            <w:color w:val="000000"/>
            <w:sz w:val="16"/>
            <w:vertAlign w:val="superscript"/>
          </w:rPr>
          <w:t>127</w:t>
        </w:r>
      </w:hyperlink>
      <w:bookmarkEnd w:id="133"/>
      <w:r>
        <w:rPr>
          <w:rFonts w:ascii="Times New Roman" w:hAnsi="Times New Roman"/>
          <w:color w:val="000000"/>
          <w:sz w:val="20"/>
        </w:rPr>
        <w:t xml:space="preserve"> She even acknowledges a seller theoretically would not agree to sell under the assumptions she modeled.</w:t>
      </w:r>
      <w:bookmarkStart w:id="134" w:name="co_tablefootnote_128_1"/>
      <w:hyperlink w:anchor="co_tablefootnoteblock_128_1">
        <w:r>
          <w:rPr>
            <w:rFonts w:ascii="Times New Roman" w:hAnsi="Times New Roman"/>
            <w:color w:val="000000"/>
            <w:sz w:val="16"/>
            <w:vertAlign w:val="superscript"/>
          </w:rPr>
          <w:t>128</w:t>
        </w:r>
      </w:hyperlink>
      <w:bookmarkEnd w:id="134"/>
      <w:r>
        <w:rPr>
          <w:rFonts w:ascii="Times New Roman" w:hAnsi="Times New Roman"/>
          <w:color w:val="000000"/>
          <w:sz w:val="20"/>
        </w:rPr>
        <w:t xml:space="preserve"> But if nothing else, trial showed the great wisdom in this Court's oft-observed truism that an unfair process infects the price.</w:t>
      </w:r>
      <w:bookmarkStart w:id="135" w:name="co_tablefootnote_129_1"/>
      <w:hyperlink w:anchor="co_tablefootnoteblock_129_1">
        <w:r>
          <w:rPr>
            <w:rFonts w:ascii="Times New Roman" w:hAnsi="Times New Roman"/>
            <w:color w:val="000000"/>
            <w:sz w:val="16"/>
            <w:vertAlign w:val="superscript"/>
          </w:rPr>
          <w:t>129</w:t>
        </w:r>
      </w:hyperlink>
      <w:bookmarkEnd w:id="135"/>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1. PwC's Valuations Are Unreliable.</w:t>
      </w:r>
    </w:p>
    <w:p>
      <w:pPr>
        <w:spacing w:before="200" w:after="0" w:line="275" w:lineRule="atLeast"/>
        <w:jc w:val="both"/>
      </w:pPr>
      <w:r>
        <w:rPr>
          <w:rFonts w:ascii="Times New Roman" w:hAnsi="Times New Roman"/>
          <w:color w:val="000000"/>
          <w:sz w:val="20"/>
        </w:rPr>
        <w:t>The trial evidence shows AT&amp;T itself essentially prepared the PwC Valuations. AT&amp;T used the purportedly “independent” PwC team AT&amp;T used “in valuing wireless assets in most of [AT&amp;T's] wireless acquisitions over the last 6 years.”</w:t>
      </w:r>
      <w:bookmarkStart w:id="136" w:name="co_tablefootnote_130_1"/>
      <w:hyperlink w:anchor="co_tablefootnoteblock_130_1">
        <w:r>
          <w:rPr>
            <w:rFonts w:ascii="Times New Roman" w:hAnsi="Times New Roman"/>
            <w:color w:val="000000"/>
            <w:sz w:val="16"/>
            <w:vertAlign w:val="superscript"/>
          </w:rPr>
          <w:t>130</w:t>
        </w:r>
      </w:hyperlink>
      <w:bookmarkEnd w:id="136"/>
      <w:r>
        <w:rPr>
          <w:rFonts w:ascii="Times New Roman" w:hAnsi="Times New Roman"/>
          <w:color w:val="000000"/>
          <w:sz w:val="20"/>
        </w:rPr>
        <w:t xml:space="preserve"> AT&amp;T told PwC where the PwC Valuations should end-up,</w:t>
      </w:r>
      <w:bookmarkStart w:id="137" w:name="co_tablefootnote_131_1"/>
      <w:hyperlink w:anchor="co_tablefootnoteblock_131_1">
        <w:r>
          <w:rPr>
            <w:rFonts w:ascii="Times New Roman" w:hAnsi="Times New Roman"/>
            <w:color w:val="000000"/>
            <w:sz w:val="16"/>
            <w:vertAlign w:val="superscript"/>
          </w:rPr>
          <w:t>131</w:t>
        </w:r>
      </w:hyperlink>
      <w:bookmarkEnd w:id="137"/>
      <w:r>
        <w:rPr>
          <w:rFonts w:ascii="Times New Roman" w:hAnsi="Times New Roman"/>
          <w:color w:val="000000"/>
          <w:sz w:val="20"/>
        </w:rPr>
        <w:t xml:space="preserve"> gave PwC the model to use,</w:t>
      </w:r>
      <w:bookmarkStart w:id="138" w:name="co_tablefootnote_132_1"/>
      <w:hyperlink w:anchor="co_tablefootnoteblock_132_1">
        <w:r>
          <w:rPr>
            <w:rFonts w:ascii="Times New Roman" w:hAnsi="Times New Roman"/>
            <w:color w:val="000000"/>
            <w:sz w:val="16"/>
            <w:vertAlign w:val="superscript"/>
          </w:rPr>
          <w:t>132</w:t>
        </w:r>
      </w:hyperlink>
      <w:bookmarkEnd w:id="138"/>
      <w:r>
        <w:rPr>
          <w:rFonts w:ascii="Times New Roman" w:hAnsi="Times New Roman"/>
          <w:color w:val="000000"/>
          <w:sz w:val="20"/>
        </w:rPr>
        <w:t xml:space="preserve"> and directed how key inputs should apply.</w:t>
      </w:r>
      <w:bookmarkStart w:id="139" w:name="co_tablefootnote_133_1"/>
      <w:hyperlink w:anchor="co_tablefootnoteblock_133_1">
        <w:r>
          <w:rPr>
            <w:rFonts w:ascii="Times New Roman" w:hAnsi="Times New Roman"/>
            <w:color w:val="000000"/>
            <w:sz w:val="16"/>
            <w:vertAlign w:val="superscript"/>
          </w:rPr>
          <w:t>133</w:t>
        </w:r>
      </w:hyperlink>
      <w:bookmarkEnd w:id="139"/>
      <w:r>
        <w:rPr>
          <w:rFonts w:ascii="Times New Roman" w:hAnsi="Times New Roman"/>
          <w:color w:val="000000"/>
          <w:sz w:val="20"/>
        </w:rPr>
        <w:t xml:space="preserve"> PwC and AT&amp;T's Corporate Development team then met in-person, leaving Mr. Teske “optimistic that the [valuation] model portion of [PwC's] report won't elicit much comment” from the team during their “review session” of the draft report.</w:t>
      </w:r>
      <w:bookmarkStart w:id="140" w:name="co_tablefootnote_134_1"/>
      <w:hyperlink w:anchor="co_tablefootnoteblock_134_1">
        <w:r>
          <w:rPr>
            <w:rFonts w:ascii="Times New Roman" w:hAnsi="Times New Roman"/>
            <w:color w:val="000000"/>
            <w:sz w:val="16"/>
            <w:vertAlign w:val="superscript"/>
          </w:rPr>
          <w:t>134</w:t>
        </w:r>
      </w:hyperlink>
      <w:bookmarkEnd w:id="140"/>
      <w:r>
        <w:rPr>
          <w:rFonts w:ascii="Times New Roman" w:hAnsi="Times New Roman"/>
          <w:color w:val="000000"/>
          <w:sz w:val="20"/>
        </w:rPr>
        <w:t xml:space="preserve"> The team “review session” was held via WebConnect “based upon input from” litigation counsel.</w:t>
      </w:r>
      <w:bookmarkStart w:id="141" w:name="co_tablefootnote_135_1"/>
      <w:hyperlink w:anchor="co_tablefootnoteblock_135_1">
        <w:r>
          <w:rPr>
            <w:rFonts w:ascii="Times New Roman" w:hAnsi="Times New Roman"/>
            <w:color w:val="000000"/>
            <w:sz w:val="16"/>
            <w:vertAlign w:val="superscript"/>
          </w:rPr>
          <w:t>135</w:t>
        </w:r>
      </w:hyperlink>
      <w:bookmarkEnd w:id="141"/>
      <w:r>
        <w:rPr>
          <w:rFonts w:ascii="Times New Roman" w:hAnsi="Times New Roman"/>
          <w:color w:val="000000"/>
          <w:sz w:val="20"/>
        </w:rPr>
        <w:t xml:space="preserve"> The conflicted and self-serving process alone renders the PwC Valuations unreliable. And for a second-time AT&amp;T decided not to call PwC to testify in support of its valuations. AT&amp;T has never explained its failure to do that. “[T]he only logical inference-and the inference this Court [should draw] is that [PwC's] testimony would have been unfavorable to [AT&amp;T's] position.”</w:t>
      </w:r>
      <w:bookmarkStart w:id="142" w:name="co_tablefootnote_136_1"/>
      <w:hyperlink w:anchor="co_tablefootnoteblock_136_1">
        <w:r>
          <w:rPr>
            <w:rFonts w:ascii="Times New Roman" w:hAnsi="Times New Roman"/>
            <w:color w:val="000000"/>
            <w:sz w:val="16"/>
            <w:vertAlign w:val="superscript"/>
          </w:rPr>
          <w:t>136</w:t>
        </w:r>
      </w:hyperlink>
      <w:bookmarkEnd w:id="142"/>
      <w:r>
        <w:rPr>
          <w:rFonts w:ascii="Times New Roman" w:hAnsi="Times New Roman"/>
          <w:color w:val="000000"/>
          <w:sz w:val="20"/>
        </w:rPr>
        <w:t xml:space="preserve"> Inference or not, the PwC Valuations are unreliable and even Ms. Taylor's opinions prove that they substantially understate the value of the Partnerships.</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2. Ms. Taylor's Opinions Are Neither Reliable nor Credible.</w:t>
      </w:r>
    </w:p>
    <w:p>
      <w:pPr>
        <w:spacing w:before="200" w:after="0" w:line="275" w:lineRule="atLeast"/>
        <w:jc w:val="both"/>
      </w:pPr>
      <w:r>
        <w:rPr>
          <w:rFonts w:ascii="Times New Roman" w:hAnsi="Times New Roman"/>
          <w:color w:val="000000"/>
          <w:sz w:val="20"/>
        </w:rPr>
        <w:t>Ms. Taylor's opinions are not reliable, or even credible. Ms. Taylor recreated the PwC Valuations and opined that they fall within a “range of reasonableness.”</w:t>
      </w:r>
      <w:bookmarkStart w:id="143" w:name="co_tablefootnote_137_1"/>
      <w:hyperlink w:anchor="co_tablefootnoteblock_137_1">
        <w:r>
          <w:rPr>
            <w:rFonts w:ascii="Times New Roman" w:hAnsi="Times New Roman"/>
            <w:color w:val="000000"/>
            <w:sz w:val="16"/>
            <w:vertAlign w:val="superscript"/>
          </w:rPr>
          <w:t>137</w:t>
        </w:r>
      </w:hyperlink>
      <w:bookmarkEnd w:id="143"/>
      <w:r>
        <w:rPr>
          <w:rFonts w:ascii="Times New Roman" w:hAnsi="Times New Roman"/>
          <w:color w:val="000000"/>
          <w:sz w:val="20"/>
        </w:rPr>
        <w:t xml:space="preserve"> The fact that her value range midpoint “serendipitously turned out to be” within 95% of the PwC Valuations “cannot help but render [her] valuation position highly suspect and meriting the most careful judicial scrutiny.”</w:t>
      </w:r>
      <w:bookmarkStart w:id="144" w:name="co_tablefootnote_138_1"/>
      <w:hyperlink w:anchor="co_tablefootnoteblock_138_1">
        <w:r>
          <w:rPr>
            <w:rFonts w:ascii="Times New Roman" w:hAnsi="Times New Roman"/>
            <w:color w:val="000000"/>
            <w:sz w:val="16"/>
            <w:vertAlign w:val="superscript"/>
          </w:rPr>
          <w:t>138</w:t>
        </w:r>
      </w:hyperlink>
      <w:bookmarkEnd w:id="144"/>
      <w:r>
        <w:rPr>
          <w:rFonts w:ascii="Times New Roman" w:hAnsi="Times New Roman"/>
          <w:color w:val="000000"/>
          <w:sz w:val="20"/>
        </w:rPr>
        <w:t xml:space="preserve"> Highly suspect indeed: trial showed Ms. Taylor pulled levers to create “serendipity,” carefully offsetting her higher discount rates with lower projected cashflows and weighted methodologies. Pre-trial, Plaintiffs noted Ms. Taylor paints an even bleaker future for Partnership EBITDA margins than PwC:</w:t>
      </w:r>
      <w:bookmarkStart w:id="145" w:name="co_tablefootnote_139_1"/>
      <w:hyperlink w:anchor="co_tablefootnoteblock_139_1">
        <w:r>
          <w:rPr>
            <w:rFonts w:ascii="Times New Roman" w:hAnsi="Times New Roman"/>
            <w:color w:val="000000"/>
            <w:sz w:val="16"/>
            <w:vertAlign w:val="superscript"/>
          </w:rPr>
          <w:t>139</w:t>
        </w:r>
      </w:hyperlink>
      <w:bookmarkEnd w:id="145"/>
    </w:p>
    <w:p>
      <w:pPr>
        <w:spacing w:before="0" w:after="0" w:line="275" w:lineRule="atLeast"/>
        <w:jc w:val="both"/>
      </w:pPr>
      <w:r>
        <w:rPr>
          <w:rFonts w:ascii="Times New Roman" w:hAnsi="Times New Roman"/>
          <w:color w:val="000000"/>
          <w:sz w:val="20"/>
        </w:rPr>
        <w:t> </w:t>
      </w:r>
    </w:p>
    <w:bookmarkStart w:id="146" w:name="co_anchor_I705a3000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146"/>
    <w:p>
      <w:pPr>
        <w:spacing w:before="0" w:after="0" w:line="275" w:lineRule="atLeast"/>
        <w:jc w:val="both"/>
      </w:pPr>
      <w:r>
        <w:rPr>
          <w:rFonts w:ascii="Times New Roman" w:hAnsi="Times New Roman"/>
          <w:color w:val="000000"/>
          <w:sz w:val="20"/>
        </w:rPr>
        <w:t>Rather than explaining why in Ms. Taylor's world the Partnerships face an even more dire fate, AT&amp;T mischaracterizes the argument, responding with irrelevant differences in accounting for Mobility's EBITDA margin.</w:t>
      </w:r>
      <w:bookmarkStart w:id="147" w:name="co_tablefootnote_140_1"/>
      <w:hyperlink w:anchor="co_tablefootnoteblock_140_1">
        <w:r>
          <w:rPr>
            <w:rFonts w:ascii="Times New Roman" w:hAnsi="Times New Roman"/>
            <w:color w:val="000000"/>
            <w:sz w:val="16"/>
            <w:vertAlign w:val="superscript"/>
          </w:rPr>
          <w:t>140</w:t>
        </w:r>
      </w:hyperlink>
      <w:bookmarkEnd w:id="147"/>
      <w:r>
        <w:rPr>
          <w:rFonts w:ascii="Times New Roman" w:hAnsi="Times New Roman"/>
          <w:color w:val="000000"/>
          <w:sz w:val="20"/>
        </w:rPr>
        <w:t xml:space="preserve"> Mobility's EBITDA margin has nothing to do with the fact that in every year Ms. Taylor projects, the Partnerships have lower profit margins than PwC assumed.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This is just the tip of the iceberg. There are many other aspects of Ms. Taylor's analyses that are neither credible nor reliable:</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 Weighting of Methodologies Is Contrived.</w:t>
      </w:r>
    </w:p>
    <w:p>
      <w:pPr>
        <w:spacing w:before="200" w:after="0" w:line="275" w:lineRule="atLeast"/>
        <w:jc w:val="both"/>
      </w:pPr>
      <w:r>
        <w:rPr>
          <w:rFonts w:ascii="Times New Roman" w:hAnsi="Times New Roman"/>
          <w:color w:val="000000"/>
          <w:sz w:val="20"/>
        </w:rPr>
        <w:t>In three different cases, Ms. Taylor has advocated for three different weightings of her valuation methodologies. Here, she placed 50% weight on her DCF, 25% weight on her guideline public company analysis and 25% weight on her guideline transaction analysis.</w:t>
      </w:r>
      <w:bookmarkStart w:id="148" w:name="co_tablefootnote_141_1"/>
      <w:hyperlink w:anchor="co_tablefootnoteblock_141_1">
        <w:r>
          <w:rPr>
            <w:rFonts w:ascii="Times New Roman" w:hAnsi="Times New Roman"/>
            <w:color w:val="000000"/>
            <w:sz w:val="16"/>
            <w:vertAlign w:val="superscript"/>
          </w:rPr>
          <w:t>141</w:t>
        </w:r>
      </w:hyperlink>
      <w:bookmarkEnd w:id="148"/>
      <w:r>
        <w:rPr>
          <w:rFonts w:ascii="Times New Roman" w:hAnsi="Times New Roman"/>
          <w:color w:val="000000"/>
          <w:sz w:val="20"/>
        </w:rPr>
        <w:t xml:space="preserve"> In the Appraisal Action - which concerned minority stockholders in corporations whose holdings were also eliminated by AT&amp;T as part of “Project LESS”</w:t>
      </w:r>
      <w:bookmarkStart w:id="149" w:name="co_tablefootnote_142_1"/>
      <w:hyperlink w:anchor="co_tablefootnoteblock_142_1">
        <w:r>
          <w:rPr>
            <w:rFonts w:ascii="Times New Roman" w:hAnsi="Times New Roman"/>
            <w:color w:val="000000"/>
            <w:sz w:val="16"/>
            <w:vertAlign w:val="superscript"/>
          </w:rPr>
          <w:t>142</w:t>
        </w:r>
      </w:hyperlink>
      <w:bookmarkEnd w:id="149"/>
      <w:r>
        <w:rPr>
          <w:rFonts w:ascii="Times New Roman" w:hAnsi="Times New Roman"/>
          <w:color w:val="000000"/>
          <w:sz w:val="20"/>
        </w:rPr>
        <w:t xml:space="preserve"> - Ms. Taylor placed 50% weight on her DCF, 30% weight on her guideline public company analysis, and 20% weight on her guideline transaction analysis:</w:t>
      </w:r>
      <w:bookmarkStart w:id="150" w:name="co_tablefootnote_143_1"/>
      <w:hyperlink w:anchor="co_tablefootnoteblock_143_1">
        <w:r>
          <w:rPr>
            <w:rFonts w:ascii="Times New Roman" w:hAnsi="Times New Roman"/>
            <w:color w:val="000000"/>
            <w:sz w:val="16"/>
            <w:vertAlign w:val="superscript"/>
          </w:rPr>
          <w:t>143</w:t>
        </w:r>
      </w:hyperlink>
      <w:bookmarkEnd w:id="150"/>
    </w:p>
    <w:p>
      <w:pPr>
        <w:spacing w:before="0" w:after="0" w:line="275" w:lineRule="atLeast"/>
        <w:jc w:val="both"/>
      </w:pPr>
      <w:r>
        <w:rPr>
          <w:rFonts w:ascii="Times New Roman" w:hAnsi="Times New Roman"/>
          <w:color w:val="000000"/>
          <w:sz w:val="20"/>
        </w:rPr>
        <w:t> </w:t>
      </w:r>
    </w:p>
    <w:bookmarkStart w:id="151" w:name="co_anchor_I705a3002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151"/>
    <w:p>
      <w:pPr>
        <w:spacing w:before="0" w:after="0" w:line="275" w:lineRule="atLeast"/>
        <w:jc w:val="both"/>
      </w:pPr>
      <w:r>
        <w:rPr>
          <w:rFonts w:ascii="Times New Roman" w:hAnsi="Times New Roman"/>
          <w:color w:val="000000"/>
          <w:sz w:val="20"/>
        </w:rPr>
        <w:t>If Ms. Taylor applied the same weighting here, PwC's Valuation of Melbourne would have fallen below her value-range for Melbourne.</w:t>
      </w:r>
      <w:bookmarkStart w:id="152" w:name="co_tablefootnote_144_1"/>
      <w:hyperlink w:anchor="co_tablefootnoteblock_144_1">
        <w:r>
          <w:rPr>
            <w:rFonts w:ascii="Times New Roman" w:hAnsi="Times New Roman"/>
            <w:color w:val="000000"/>
            <w:sz w:val="16"/>
            <w:vertAlign w:val="superscript"/>
          </w:rPr>
          <w:t>144</w:t>
        </w:r>
      </w:hyperlink>
      <w:bookmarkEnd w:id="152"/>
      <w:r>
        <w:rPr>
          <w:rFonts w:ascii="Times New Roman" w:hAnsi="Times New Roman"/>
          <w:color w:val="000000"/>
          <w:sz w:val="20"/>
        </w:rPr>
        <w:t xml:space="preserve"> The Appraisal Action was tried and on June 24, 2013 the Court issued its post-trial order finding Ms. Taylor's guideline transaction analysis unreliable.</w:t>
      </w:r>
      <w:bookmarkStart w:id="153" w:name="co_tablefootnote_145_1"/>
      <w:hyperlink w:anchor="co_tablefootnoteblock_145_1">
        <w:r>
          <w:rPr>
            <w:rFonts w:ascii="Times New Roman" w:hAnsi="Times New Roman"/>
            <w:color w:val="000000"/>
            <w:sz w:val="16"/>
            <w:vertAlign w:val="superscript"/>
          </w:rPr>
          <w:t>145</w:t>
        </w:r>
      </w:hyperlink>
      <w:bookmarkEnd w:id="153"/>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After the Appraisal Action, Ms. Taylor issued her opening report in the </w:t>
      </w:r>
      <w:r>
        <w:rPr>
          <w:rFonts w:ascii="Times New Roman" w:hAnsi="Times New Roman"/>
          <w:i/>
          <w:color w:val="000000"/>
          <w:sz w:val="20"/>
        </w:rPr>
        <w:t>B&amp;I Cellular</w:t>
      </w:r>
      <w:r>
        <w:rPr>
          <w:rFonts w:ascii="Times New Roman" w:hAnsi="Times New Roman"/>
          <w:color w:val="000000"/>
          <w:sz w:val="20"/>
        </w:rPr>
        <w:t xml:space="preserve"> litigation in which she placed 50% weight on her DCF analysis and 50% weight on her guideline public company analysis:</w:t>
      </w:r>
      <w:bookmarkStart w:id="154" w:name="co_tablefootnote_146_1"/>
      <w:hyperlink w:anchor="co_tablefootnoteblock_146_1">
        <w:r>
          <w:rPr>
            <w:rFonts w:ascii="Times New Roman" w:hAnsi="Times New Roman"/>
            <w:color w:val="000000"/>
            <w:sz w:val="16"/>
            <w:vertAlign w:val="superscript"/>
          </w:rPr>
          <w:t>146</w:t>
        </w:r>
      </w:hyperlink>
      <w:bookmarkEnd w:id="154"/>
    </w:p>
    <w:p>
      <w:pPr>
        <w:spacing w:before="0" w:after="0" w:line="275" w:lineRule="atLeast"/>
        <w:jc w:val="both"/>
      </w:pPr>
      <w:r>
        <w:rPr>
          <w:rFonts w:ascii="Times New Roman" w:hAnsi="Times New Roman"/>
          <w:color w:val="000000"/>
          <w:sz w:val="20"/>
        </w:rPr>
        <w:t> </w:t>
      </w:r>
    </w:p>
    <w:bookmarkStart w:id="155" w:name="co_anchor_I705a3004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155"/>
    <w:p>
      <w:pPr>
        <w:spacing w:before="0" w:after="0" w:line="275" w:lineRule="atLeast"/>
        <w:jc w:val="both"/>
      </w:pPr>
      <w:r>
        <w:rPr>
          <w:rFonts w:ascii="Times New Roman" w:hAnsi="Times New Roman"/>
          <w:color w:val="000000"/>
          <w:sz w:val="20"/>
        </w:rPr>
        <w:t xml:space="preserve">Ms. Taylor prepared a guideline public transaction analysis in </w:t>
      </w:r>
      <w:r>
        <w:rPr>
          <w:rFonts w:ascii="Times New Roman" w:hAnsi="Times New Roman"/>
          <w:i/>
          <w:color w:val="000000"/>
          <w:sz w:val="20"/>
        </w:rPr>
        <w:t>B&amp;L Cellular,</w:t>
      </w:r>
      <w:r>
        <w:rPr>
          <w:rFonts w:ascii="Times New Roman" w:hAnsi="Times New Roman"/>
          <w:color w:val="000000"/>
          <w:sz w:val="20"/>
        </w:rPr>
        <w:t xml:space="preserve"> but placed no weight on it because of “the lack of transactions that occurred in the recent period” and “the material adjustments required to strip out the significant strategic premium that were included in these deals.”</w:t>
      </w:r>
      <w:bookmarkStart w:id="156" w:name="co_tablefootnote_147_1"/>
      <w:hyperlink w:anchor="co_tablefootnoteblock_147_1">
        <w:r>
          <w:rPr>
            <w:rFonts w:ascii="Times New Roman" w:hAnsi="Times New Roman"/>
            <w:color w:val="000000"/>
            <w:sz w:val="16"/>
            <w:vertAlign w:val="superscript"/>
          </w:rPr>
          <w:t>147</w:t>
        </w:r>
      </w:hyperlink>
      <w:bookmarkEnd w:id="156"/>
      <w:r>
        <w:rPr>
          <w:rFonts w:ascii="Times New Roman" w:hAnsi="Times New Roman"/>
          <w:color w:val="000000"/>
          <w:sz w:val="20"/>
        </w:rPr>
        <w:t xml:space="preserve"> If Ms. Taylor applied the same weighting here as she did in the </w:t>
      </w:r>
      <w:r>
        <w:rPr>
          <w:rFonts w:ascii="Times New Roman" w:hAnsi="Times New Roman"/>
          <w:i/>
          <w:color w:val="000000"/>
          <w:sz w:val="20"/>
        </w:rPr>
        <w:t>B&amp;L Cellular</w:t>
      </w:r>
      <w:r>
        <w:rPr>
          <w:rFonts w:ascii="Times New Roman" w:hAnsi="Times New Roman"/>
          <w:color w:val="000000"/>
          <w:sz w:val="20"/>
        </w:rPr>
        <w:t xml:space="preserve"> litigation, the PwC Valuations of Bloomington, Bradenton Galveston and Melbourne would have fallen below her value-range for those Partnerships.</w:t>
      </w:r>
      <w:bookmarkStart w:id="157" w:name="co_tablefootnote_148_1"/>
      <w:hyperlink w:anchor="co_tablefootnoteblock_148_1">
        <w:r>
          <w:rPr>
            <w:rFonts w:ascii="Times New Roman" w:hAnsi="Times New Roman"/>
            <w:color w:val="000000"/>
            <w:sz w:val="16"/>
            <w:vertAlign w:val="superscript"/>
          </w:rPr>
          <w:t>148</w:t>
        </w:r>
      </w:hyperlink>
      <w:bookmarkEnd w:id="157"/>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Ms. Taylor even admitted at trial that she performed this calculation.</w:t>
      </w:r>
      <w:bookmarkStart w:id="158" w:name="co_tablefootnote_149_1"/>
      <w:hyperlink w:anchor="co_tablefootnoteblock_149_1">
        <w:r>
          <w:rPr>
            <w:rFonts w:ascii="Times New Roman" w:hAnsi="Times New Roman"/>
            <w:color w:val="000000"/>
            <w:sz w:val="16"/>
            <w:vertAlign w:val="superscript"/>
          </w:rPr>
          <w:t>149</w:t>
        </w:r>
      </w:hyperlink>
      <w:bookmarkEnd w:id="158"/>
      <w:r>
        <w:rPr>
          <w:rFonts w:ascii="Times New Roman" w:hAnsi="Times New Roman"/>
          <w:color w:val="000000"/>
          <w:sz w:val="20"/>
        </w:rPr>
        <w:t xml:space="preserve"> It is therefore no accident her weighting here is different than </w:t>
      </w:r>
      <w:r>
        <w:rPr>
          <w:rFonts w:ascii="Times New Roman" w:hAnsi="Times New Roman"/>
          <w:i/>
          <w:color w:val="000000"/>
          <w:sz w:val="20"/>
        </w:rPr>
        <w:t>B&amp;L Cellular</w:t>
      </w:r>
      <w:r>
        <w:rPr>
          <w:rFonts w:ascii="Times New Roman" w:hAnsi="Times New Roman"/>
          <w:color w:val="000000"/>
          <w:sz w:val="20"/>
        </w:rPr>
        <w:t xml:space="preserve"> and the Appraisal Action. The nature of the businesses is the same and the public companies and transactions she considered are all the same in all three cases, except for her addition in this case of the busted AT&amp;T/T-Mobile deal. Ms. Taylor does not explain why she changes her weightings,</w:t>
      </w:r>
      <w:bookmarkStart w:id="159" w:name="co_tablefootnote_150_1"/>
      <w:hyperlink w:anchor="co_tablefootnoteblock_150_1">
        <w:r>
          <w:rPr>
            <w:rFonts w:ascii="Times New Roman" w:hAnsi="Times New Roman"/>
            <w:color w:val="000000"/>
            <w:sz w:val="16"/>
            <w:vertAlign w:val="superscript"/>
          </w:rPr>
          <w:t>150</w:t>
        </w:r>
      </w:hyperlink>
      <w:bookmarkEnd w:id="159"/>
      <w:r>
        <w:rPr>
          <w:rFonts w:ascii="Times New Roman" w:hAnsi="Times New Roman"/>
          <w:color w:val="000000"/>
          <w:sz w:val="20"/>
        </w:rPr>
        <w:t xml:space="preserve"> and admitted that she played with the weightings,</w:t>
      </w:r>
      <w:bookmarkStart w:id="160" w:name="co_tablefootnote_151_1"/>
      <w:hyperlink w:anchor="co_tablefootnoteblock_151_1">
        <w:r>
          <w:rPr>
            <w:rFonts w:ascii="Times New Roman" w:hAnsi="Times New Roman"/>
            <w:color w:val="000000"/>
            <w:sz w:val="16"/>
            <w:vertAlign w:val="superscript"/>
          </w:rPr>
          <w:t>151</w:t>
        </w:r>
      </w:hyperlink>
      <w:bookmarkEnd w:id="160"/>
      <w:r>
        <w:rPr>
          <w:rFonts w:ascii="Times New Roman" w:hAnsi="Times New Roman"/>
          <w:color w:val="000000"/>
          <w:sz w:val="20"/>
        </w:rPr>
        <w:t xml:space="preserve"> apparently using trial and error until all 14 of the PwC Valuations fell within her value-range for each Partnership.</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b. Contradictory Prior Opinion on Tax Benefits Realized by Corporate Buyers of Pass-Though Entity Assets.</w:t>
      </w:r>
    </w:p>
    <w:p>
      <w:pPr>
        <w:spacing w:before="200" w:after="0" w:line="275" w:lineRule="atLeast"/>
        <w:jc w:val="both"/>
      </w:pPr>
      <w:r>
        <w:rPr>
          <w:rFonts w:ascii="Times New Roman" w:hAnsi="Times New Roman"/>
          <w:color w:val="000000"/>
          <w:sz w:val="20"/>
        </w:rPr>
        <w:t xml:space="preserve">Pretrial, Plaintiffs argued the Court could set aside the entire trial record and focus on a single issue to determine AT&amp;T breached its duty of loyalty: Ms. Taylor's contradictory opinion in </w:t>
      </w:r>
      <w:r>
        <w:rPr>
          <w:rFonts w:ascii="Times New Roman" w:hAnsi="Times New Roman"/>
          <w:i/>
          <w:color w:val="000000"/>
          <w:sz w:val="20"/>
        </w:rPr>
        <w:t>B&amp;L Cellular</w:t>
      </w:r>
      <w:r>
        <w:rPr>
          <w:rFonts w:ascii="Times New Roman" w:hAnsi="Times New Roman"/>
          <w:color w:val="000000"/>
          <w:sz w:val="20"/>
        </w:rPr>
        <w:t xml:space="preserve"> on the valuable tax benefit a corporate buyer would realize from the acquiring a pass-through entity.</w:t>
      </w:r>
      <w:bookmarkStart w:id="161" w:name="co_tablefootnote_152_1"/>
      <w:hyperlink w:anchor="co_tablefootnoteblock_152_1">
        <w:r>
          <w:rPr>
            <w:rFonts w:ascii="Times New Roman" w:hAnsi="Times New Roman"/>
            <w:color w:val="000000"/>
            <w:sz w:val="16"/>
            <w:vertAlign w:val="superscript"/>
          </w:rPr>
          <w:t>152</w:t>
        </w:r>
      </w:hyperlink>
      <w:bookmarkEnd w:id="161"/>
      <w:r>
        <w:rPr>
          <w:rFonts w:ascii="Times New Roman" w:hAnsi="Times New Roman"/>
          <w:color w:val="000000"/>
          <w:sz w:val="20"/>
        </w:rPr>
        <w:t xml:space="preserve"> Trial proved this point. Had Ms. Taylor used the same methodology here to value the tax benefit as she did in </w:t>
      </w:r>
      <w:r>
        <w:rPr>
          <w:rFonts w:ascii="Times New Roman" w:hAnsi="Times New Roman"/>
          <w:i/>
          <w:color w:val="000000"/>
          <w:sz w:val="20"/>
        </w:rPr>
        <w:t>B&amp;L Cellular,</w:t>
      </w:r>
      <w:r>
        <w:rPr>
          <w:rFonts w:ascii="Times New Roman" w:hAnsi="Times New Roman"/>
          <w:color w:val="000000"/>
          <w:sz w:val="20"/>
        </w:rPr>
        <w:t xml:space="preserve"> her value-ranges would have significantly exceeded the PwC Valuations for each Partnership. Notwithstanding her written opinions in this matter, Ms. Taylor still believes the Court could rely on her </w:t>
      </w:r>
      <w:r>
        <w:rPr>
          <w:rFonts w:ascii="Times New Roman" w:hAnsi="Times New Roman"/>
          <w:i/>
          <w:color w:val="000000"/>
          <w:sz w:val="20"/>
        </w:rPr>
        <w:t>B&amp;L Cellular</w:t>
      </w:r>
      <w:r>
        <w:rPr>
          <w:rFonts w:ascii="Times New Roman" w:hAnsi="Times New Roman"/>
          <w:color w:val="000000"/>
          <w:sz w:val="20"/>
        </w:rPr>
        <w:t xml:space="preserve"> methodology:</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Q. So the approach you took in B&amp;L Cellular, using a step-up analysis to determine the value of the tax benefit that the corporate buyer would receive, are you telling the Court today that it can't rely on that, that would be wrong, in your professional opinion?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 No, I don't think it would be wrong.</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Ms. Taylor claims she did not follow the same methodology here because what she has “done this time fits the fact and circumstances better.”</w:t>
      </w:r>
      <w:bookmarkStart w:id="162" w:name="co_tablefootnote_153_1"/>
      <w:hyperlink w:anchor="co_tablefootnoteblock_153_1">
        <w:r>
          <w:rPr>
            <w:rFonts w:ascii="Times New Roman" w:hAnsi="Times New Roman"/>
            <w:color w:val="000000"/>
            <w:sz w:val="16"/>
            <w:vertAlign w:val="superscript"/>
          </w:rPr>
          <w:t>153</w:t>
        </w:r>
      </w:hyperlink>
      <w:bookmarkEnd w:id="162"/>
      <w:r>
        <w:rPr>
          <w:rFonts w:ascii="Times New Roman" w:hAnsi="Times New Roman"/>
          <w:color w:val="000000"/>
          <w:sz w:val="20"/>
        </w:rPr>
        <w:t xml:space="preserve"> The explanation is absurd. Here, AT&amp;T actually prepared and applied the very same step-up tax benefit value analysis Ms. Taylor used in </w:t>
      </w:r>
      <w:r>
        <w:rPr>
          <w:rFonts w:ascii="Times New Roman" w:hAnsi="Times New Roman"/>
          <w:i/>
          <w:color w:val="000000"/>
          <w:sz w:val="20"/>
        </w:rPr>
        <w:t>B&amp;L Cellular</w:t>
      </w:r>
      <w:r>
        <w:rPr>
          <w:rFonts w:ascii="Times New Roman" w:hAnsi="Times New Roman"/>
          <w:color w:val="000000"/>
          <w:sz w:val="20"/>
        </w:rPr>
        <w:t xml:space="preserve"> to support the business case presented to AT&amp;T's CEO:</w:t>
      </w:r>
      <w:bookmarkStart w:id="163" w:name="co_tablefootnote_154_1"/>
      <w:hyperlink w:anchor="co_tablefootnoteblock_154_1">
        <w:r>
          <w:rPr>
            <w:rFonts w:ascii="Times New Roman" w:hAnsi="Times New Roman"/>
            <w:color w:val="000000"/>
            <w:sz w:val="16"/>
            <w:vertAlign w:val="superscript"/>
          </w:rPr>
          <w:t>154</w:t>
        </w:r>
      </w:hyperlink>
      <w:bookmarkEnd w:id="163"/>
    </w:p>
    <w:p>
      <w:pPr>
        <w:spacing w:before="0" w:after="0" w:line="275" w:lineRule="atLeast"/>
        <w:jc w:val="both"/>
      </w:pPr>
      <w:r>
        <w:rPr>
          <w:rFonts w:ascii="Times New Roman" w:hAnsi="Times New Roman"/>
          <w:color w:val="000000"/>
          <w:sz w:val="20"/>
        </w:rPr>
        <w:t> </w:t>
      </w:r>
    </w:p>
    <w:bookmarkStart w:id="164" w:name="co_anchor_I705a3006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164"/>
    <w:p>
      <w:pPr>
        <w:spacing w:before="0" w:after="0" w:line="275" w:lineRule="atLeast"/>
        <w:jc w:val="both"/>
      </w:pPr>
      <w:r>
        <w:rPr>
          <w:rFonts w:ascii="Times New Roman" w:hAnsi="Times New Roman"/>
          <w:color w:val="000000"/>
          <w:sz w:val="20"/>
        </w:rPr>
        <w:t>AT&amp;T's tax step-up analysis also disproves AT&amp;T's contention that “the only potential buyers of the Partnerships are C-corporations, which would not get any benefit from their pass-through status.”</w:t>
      </w:r>
      <w:bookmarkStart w:id="165" w:name="co_tablefootnote_155_1"/>
      <w:hyperlink w:anchor="co_tablefootnoteblock_155_1">
        <w:r>
          <w:rPr>
            <w:rFonts w:ascii="Times New Roman" w:hAnsi="Times New Roman"/>
            <w:color w:val="000000"/>
            <w:sz w:val="16"/>
            <w:vertAlign w:val="superscript"/>
          </w:rPr>
          <w:t>155</w:t>
        </w:r>
      </w:hyperlink>
      <w:bookmarkEnd w:id="165"/>
      <w:r>
        <w:rPr>
          <w:rFonts w:ascii="Times New Roman" w:hAnsi="Times New Roman"/>
          <w:color w:val="000000"/>
          <w:sz w:val="20"/>
        </w:rPr>
        <w:t xml:space="preserve"> To the contrary, as AT&amp;T's own analysis shows, a corporate buyer with a similar WACC and marginal tax rate as AT&amp;T would obtain a tax shield benefit with a present value of approximately 25%</w:t>
      </w:r>
      <w:bookmarkStart w:id="166" w:name="co_tablefootnote_156_1"/>
      <w:hyperlink w:anchor="co_tablefootnoteblock_156_1">
        <w:r>
          <w:rPr>
            <w:rFonts w:ascii="Times New Roman" w:hAnsi="Times New Roman"/>
            <w:color w:val="000000"/>
            <w:sz w:val="16"/>
            <w:vertAlign w:val="superscript"/>
          </w:rPr>
          <w:t>156</w:t>
        </w:r>
      </w:hyperlink>
      <w:bookmarkEnd w:id="166"/>
      <w:r>
        <w:rPr>
          <w:rFonts w:ascii="Times New Roman" w:hAnsi="Times New Roman"/>
          <w:color w:val="000000"/>
          <w:sz w:val="20"/>
        </w:rPr>
        <w:t xml:space="preserve"> of the purchase price.</w:t>
      </w:r>
      <w:bookmarkStart w:id="167" w:name="co_tablefootnote_157_1"/>
      <w:hyperlink w:anchor="co_tablefootnoteblock_157_1">
        <w:r>
          <w:rPr>
            <w:rFonts w:ascii="Times New Roman" w:hAnsi="Times New Roman"/>
            <w:color w:val="000000"/>
            <w:sz w:val="16"/>
            <w:vertAlign w:val="superscript"/>
          </w:rPr>
          <w:t>157</w:t>
        </w:r>
      </w:hyperlink>
      <w:bookmarkEnd w:id="167"/>
      <w:r>
        <w:rPr>
          <w:rFonts w:ascii="Times New Roman" w:hAnsi="Times New Roman"/>
          <w:color w:val="000000"/>
          <w:sz w:val="20"/>
        </w:rPr>
        <w:t xml:space="preserve"> AT&amp;T could not get this tax benefit by acquiring corporate minority interests (</w:t>
      </w:r>
      <w:r>
        <w:rPr>
          <w:rFonts w:ascii="Times New Roman" w:hAnsi="Times New Roman"/>
          <w:i/>
          <w:color w:val="000000"/>
          <w:sz w:val="20"/>
        </w:rPr>
        <w:t>i.e.,</w:t>
      </w:r>
      <w:r>
        <w:rPr>
          <w:rFonts w:ascii="Times New Roman" w:hAnsi="Times New Roman"/>
          <w:color w:val="000000"/>
          <w:sz w:val="20"/>
        </w:rPr>
        <w:t xml:space="preserve"> Hood River, Ocala, Pine Bluff and St. Cloud), so it should have paid up to 33% more</w:t>
      </w:r>
      <w:bookmarkStart w:id="168" w:name="co_tablefootnote_158_1"/>
      <w:hyperlink w:anchor="co_tablefootnoteblock_158_1">
        <w:r>
          <w:rPr>
            <w:rFonts w:ascii="Times New Roman" w:hAnsi="Times New Roman"/>
            <w:color w:val="000000"/>
            <w:sz w:val="16"/>
            <w:vertAlign w:val="superscript"/>
          </w:rPr>
          <w:t>158</w:t>
        </w:r>
      </w:hyperlink>
      <w:bookmarkEnd w:id="168"/>
      <w:r>
        <w:rPr>
          <w:rFonts w:ascii="Times New Roman" w:hAnsi="Times New Roman"/>
          <w:color w:val="000000"/>
          <w:sz w:val="20"/>
        </w:rPr>
        <w:t xml:space="preserve"> to acquire a partnership interest, but no one negotiated on the Minority Partners' behalf so AT&amp;T kept the entire benefit.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 trial, Ms. Taylor attempted to minimize this issue by claiming that adjusting her models to account for the tax benefit using the </w:t>
      </w:r>
      <w:r>
        <w:rPr>
          <w:rFonts w:ascii="Times New Roman" w:hAnsi="Times New Roman"/>
          <w:i/>
          <w:color w:val="000000"/>
          <w:sz w:val="20"/>
        </w:rPr>
        <w:t>Delaware Open MRI</w:t>
      </w:r>
      <w:r>
        <w:rPr>
          <w:rFonts w:ascii="Times New Roman" w:hAnsi="Times New Roman"/>
          <w:color w:val="000000"/>
          <w:sz w:val="20"/>
        </w:rPr>
        <w:t xml:space="preserve"> (as opposed to her </w:t>
      </w:r>
      <w:r>
        <w:rPr>
          <w:rFonts w:ascii="Times New Roman" w:hAnsi="Times New Roman"/>
          <w:i/>
          <w:color w:val="000000"/>
          <w:sz w:val="20"/>
        </w:rPr>
        <w:t>B&amp;L Cellular</w:t>
      </w:r>
      <w:r>
        <w:rPr>
          <w:rFonts w:ascii="Times New Roman" w:hAnsi="Times New Roman"/>
          <w:color w:val="000000"/>
          <w:sz w:val="20"/>
        </w:rPr>
        <w:t>) methodology “only changes the aggregate results by less than $80 million.”</w:t>
      </w:r>
      <w:bookmarkStart w:id="169" w:name="co_tablefootnote_159_1"/>
      <w:hyperlink w:anchor="co_tablefootnoteblock_159_1">
        <w:r>
          <w:rPr>
            <w:rFonts w:ascii="Times New Roman" w:hAnsi="Times New Roman"/>
            <w:color w:val="000000"/>
            <w:sz w:val="16"/>
            <w:vertAlign w:val="superscript"/>
          </w:rPr>
          <w:t>159</w:t>
        </w:r>
      </w:hyperlink>
      <w:bookmarkEnd w:id="169"/>
      <w:r>
        <w:rPr>
          <w:rFonts w:ascii="Times New Roman" w:hAnsi="Times New Roman"/>
          <w:color w:val="000000"/>
          <w:sz w:val="20"/>
        </w:rPr>
        <w:t xml:space="preserve"> Ms. Taylor's unsupported </w:t>
      </w:r>
      <w:r>
        <w:rPr>
          <w:rFonts w:ascii="Times New Roman" w:hAnsi="Times New Roman"/>
          <w:i/>
          <w:color w:val="000000"/>
          <w:sz w:val="20"/>
        </w:rPr>
        <w:t>ad-hoc</w:t>
      </w:r>
      <w:r>
        <w:rPr>
          <w:rFonts w:ascii="Times New Roman" w:hAnsi="Times New Roman"/>
          <w:color w:val="000000"/>
          <w:sz w:val="20"/>
        </w:rPr>
        <w:t xml:space="preserve"> testimony is wrong and misleading. Ms. Barrick testified, and her rebuttal report shows, that applying </w:t>
      </w:r>
      <w:r>
        <w:rPr>
          <w:rFonts w:ascii="Times New Roman" w:hAnsi="Times New Roman"/>
          <w:i/>
          <w:color w:val="000000"/>
          <w:sz w:val="20"/>
        </w:rPr>
        <w:t>Delaware Open MRI</w:t>
      </w:r>
      <w:r>
        <w:rPr>
          <w:rFonts w:ascii="Times New Roman" w:hAnsi="Times New Roman"/>
          <w:color w:val="000000"/>
          <w:sz w:val="20"/>
        </w:rPr>
        <w:t xml:space="preserve"> increases Ms. Taylor's DCF values by $400 million,</w:t>
      </w:r>
      <w:bookmarkStart w:id="170" w:name="co_tablefootnote_160_1"/>
      <w:hyperlink w:anchor="co_tablefootnoteblock_160_1">
        <w:r>
          <w:rPr>
            <w:rFonts w:ascii="Times New Roman" w:hAnsi="Times New Roman"/>
            <w:color w:val="000000"/>
            <w:sz w:val="16"/>
            <w:vertAlign w:val="superscript"/>
          </w:rPr>
          <w:t>160</w:t>
        </w:r>
      </w:hyperlink>
      <w:bookmarkEnd w:id="170"/>
      <w:r>
        <w:rPr>
          <w:rFonts w:ascii="Times New Roman" w:hAnsi="Times New Roman"/>
          <w:color w:val="000000"/>
          <w:sz w:val="20"/>
        </w:rPr>
        <w:t xml:space="preserve"> not $80 million.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Ms. Taylor's testimony is misleading because, as Ms. Barrick explained, Ms. Taylor likely only adjusted her DCF analyses.</w:t>
      </w:r>
      <w:bookmarkStart w:id="171" w:name="co_tablefootnote_161_1"/>
      <w:hyperlink w:anchor="co_tablefootnoteblock_161_1">
        <w:r>
          <w:rPr>
            <w:rFonts w:ascii="Times New Roman" w:hAnsi="Times New Roman"/>
            <w:color w:val="000000"/>
            <w:sz w:val="16"/>
            <w:vertAlign w:val="superscript"/>
          </w:rPr>
          <w:t>161</w:t>
        </w:r>
      </w:hyperlink>
      <w:bookmarkEnd w:id="171"/>
      <w:r>
        <w:rPr>
          <w:rFonts w:ascii="Times New Roman" w:hAnsi="Times New Roman"/>
          <w:color w:val="000000"/>
          <w:sz w:val="20"/>
        </w:rPr>
        <w:t xml:space="preserve"> We know this is misleading because she told the Court previously all her valuation methodologies required an adjustment. Ms. Taylor opined in </w:t>
      </w:r>
      <w:r>
        <w:rPr>
          <w:rFonts w:ascii="Times New Roman" w:hAnsi="Times New Roman"/>
          <w:i/>
          <w:color w:val="000000"/>
          <w:sz w:val="20"/>
        </w:rPr>
        <w:t>B&amp;L Cellular</w:t>
      </w:r>
      <w:r>
        <w:rPr>
          <w:rFonts w:ascii="Times New Roman" w:hAnsi="Times New Roman"/>
          <w:color w:val="000000"/>
          <w:sz w:val="20"/>
        </w:rPr>
        <w:t xml:space="preserve"> that the tax shield “value is additive to the valuation indications of both the DCF and the guideline public company analyses”:</w:t>
      </w:r>
      <w:bookmarkStart w:id="172" w:name="co_tablefootnote_162_1"/>
      <w:hyperlink w:anchor="co_tablefootnoteblock_162_1">
        <w:r>
          <w:rPr>
            <w:rFonts w:ascii="Times New Roman" w:hAnsi="Times New Roman"/>
            <w:color w:val="000000"/>
            <w:sz w:val="16"/>
            <w:vertAlign w:val="superscript"/>
          </w:rPr>
          <w:t>162</w:t>
        </w:r>
      </w:hyperlink>
      <w:bookmarkEnd w:id="172"/>
    </w:p>
    <w:p>
      <w:pPr>
        <w:spacing w:before="0" w:after="0" w:line="275" w:lineRule="atLeast"/>
        <w:jc w:val="both"/>
      </w:pPr>
      <w:r>
        <w:rPr>
          <w:rFonts w:ascii="Times New Roman" w:hAnsi="Times New Roman"/>
          <w:color w:val="000000"/>
          <w:sz w:val="20"/>
        </w:rPr>
        <w:t> </w:t>
      </w:r>
    </w:p>
    <w:bookmarkStart w:id="173" w:name="co_anchor_I705a3008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173"/>
    <w:p>
      <w:pPr>
        <w:spacing w:before="0" w:after="0" w:line="275" w:lineRule="atLeast"/>
        <w:jc w:val="both"/>
      </w:pPr>
      <w:r>
        <w:rPr>
          <w:rFonts w:ascii="Times New Roman" w:hAnsi="Times New Roman"/>
          <w:color w:val="000000"/>
          <w:sz w:val="20"/>
        </w:rPr>
        <w:t xml:space="preserve">Moreover, on a percentage basis, Ms. Taylor's </w:t>
      </w:r>
      <w:r>
        <w:rPr>
          <w:rFonts w:ascii="Times New Roman" w:hAnsi="Times New Roman"/>
          <w:i/>
          <w:color w:val="000000"/>
          <w:sz w:val="20"/>
        </w:rPr>
        <w:t>B&amp;L Cellular</w:t>
      </w:r>
      <w:r>
        <w:rPr>
          <w:rFonts w:ascii="Times New Roman" w:hAnsi="Times New Roman"/>
          <w:color w:val="000000"/>
          <w:sz w:val="20"/>
        </w:rPr>
        <w:t xml:space="preserve"> methodology applied here would be significantly more valuable because the partnership in </w:t>
      </w:r>
      <w:r>
        <w:rPr>
          <w:rFonts w:ascii="Times New Roman" w:hAnsi="Times New Roman"/>
          <w:i/>
          <w:color w:val="000000"/>
          <w:sz w:val="20"/>
        </w:rPr>
        <w:t>B&amp;L Cellular</w:t>
      </w:r>
      <w:r>
        <w:rPr>
          <w:rFonts w:ascii="Times New Roman" w:hAnsi="Times New Roman"/>
          <w:color w:val="000000"/>
          <w:sz w:val="20"/>
        </w:rPr>
        <w:t xml:space="preserve"> had substantial tangible assets on its balance sheet, which are subtracted from the purchase price in calculating the tax shield.</w:t>
      </w:r>
      <w:bookmarkStart w:id="174" w:name="co_tablefootnote_163_1"/>
      <w:hyperlink w:anchor="co_tablefootnoteblock_163_1">
        <w:r>
          <w:rPr>
            <w:rFonts w:ascii="Times New Roman" w:hAnsi="Times New Roman"/>
            <w:color w:val="000000"/>
            <w:sz w:val="16"/>
            <w:vertAlign w:val="superscript"/>
          </w:rPr>
          <w:t>163</w:t>
        </w:r>
      </w:hyperlink>
      <w:bookmarkEnd w:id="174"/>
      <w:r>
        <w:rPr>
          <w:rFonts w:ascii="Times New Roman" w:hAnsi="Times New Roman"/>
          <w:color w:val="000000"/>
          <w:sz w:val="20"/>
        </w:rPr>
        <w:t xml:space="preserve"> In contrast, here, AT&amp;T was realizing a tax shield on its entire purchase price.</w:t>
      </w:r>
      <w:bookmarkStart w:id="175" w:name="co_tablefootnote_164_1"/>
      <w:hyperlink w:anchor="co_tablefootnoteblock_164_1">
        <w:r>
          <w:rPr>
            <w:rFonts w:ascii="Times New Roman" w:hAnsi="Times New Roman"/>
            <w:color w:val="000000"/>
            <w:sz w:val="16"/>
            <w:vertAlign w:val="superscript"/>
          </w:rPr>
          <w:t>164</w:t>
        </w:r>
      </w:hyperlink>
      <w:bookmarkEnd w:id="175"/>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Plaintiffs are entitled to an adverse inference on this issue.</w:t>
      </w:r>
      <w:bookmarkStart w:id="176" w:name="co_tablefootnote_165_1"/>
      <w:hyperlink w:anchor="co_tablefootnoteblock_165_1">
        <w:r>
          <w:rPr>
            <w:rFonts w:ascii="Times New Roman" w:hAnsi="Times New Roman"/>
            <w:color w:val="000000"/>
            <w:sz w:val="16"/>
            <w:vertAlign w:val="superscript"/>
          </w:rPr>
          <w:t>165</w:t>
        </w:r>
      </w:hyperlink>
      <w:bookmarkEnd w:id="176"/>
      <w:r>
        <w:rPr>
          <w:rFonts w:ascii="Times New Roman" w:hAnsi="Times New Roman"/>
          <w:color w:val="000000"/>
          <w:sz w:val="20"/>
        </w:rPr>
        <w:t xml:space="preserve"> Applied here, Ms. Taylor's </w:t>
      </w:r>
      <w:r>
        <w:rPr>
          <w:rFonts w:ascii="Times New Roman" w:hAnsi="Times New Roman"/>
          <w:i/>
          <w:color w:val="000000"/>
          <w:sz w:val="20"/>
        </w:rPr>
        <w:t>B&amp;L Cellular</w:t>
      </w:r>
      <w:r>
        <w:rPr>
          <w:rFonts w:ascii="Times New Roman" w:hAnsi="Times New Roman"/>
          <w:color w:val="000000"/>
          <w:sz w:val="20"/>
        </w:rPr>
        <w:t xml:space="preserve"> methodology would have proven that (i) the prices AT&amp;T paid in the Transactions were grossly unfair, and (ii) AT&amp;T's step-up tax benefit would not have indicated “a very similar” result as applying </w:t>
      </w:r>
      <w:r>
        <w:rPr>
          <w:rFonts w:ascii="Times New Roman" w:hAnsi="Times New Roman"/>
          <w:i/>
          <w:color w:val="000000"/>
          <w:sz w:val="20"/>
        </w:rPr>
        <w:t>Delaware Open MRI</w:t>
      </w:r>
      <w:bookmarkStart w:id="177" w:name="co_tablefootnote_166_1"/>
      <w:hyperlink w:anchor="co_tablefootnoteblock_166_1">
        <w:r>
          <w:rPr>
            <w:rFonts w:ascii="Times New Roman" w:hAnsi="Times New Roman"/>
            <w:color w:val="000000"/>
            <w:sz w:val="16"/>
            <w:vertAlign w:val="superscript"/>
          </w:rPr>
          <w:t>166</w:t>
        </w:r>
      </w:hyperlink>
      <w:bookmarkEnd w:id="177"/>
      <w:r>
        <w:rPr>
          <w:rFonts w:ascii="Times New Roman" w:hAnsi="Times New Roman"/>
          <w:color w:val="000000"/>
          <w:sz w:val="20"/>
        </w:rPr>
        <w:t xml:space="preserve"> but a substantially higher value. Regardless, on this one aspect alone, AT&amp;T fails to meet its burden of proving the Transactions were entirely fair.</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c. The So-Called “Size Premium.”</w:t>
      </w:r>
    </w:p>
    <w:p>
      <w:pPr>
        <w:spacing w:before="200" w:after="0" w:line="275" w:lineRule="atLeast"/>
        <w:jc w:val="both"/>
      </w:pPr>
      <w:r>
        <w:rPr>
          <w:rFonts w:ascii="Times New Roman" w:hAnsi="Times New Roman"/>
          <w:color w:val="000000"/>
          <w:sz w:val="20"/>
        </w:rPr>
        <w:t>Ms. Taylor's supposed “size premium” is really “a means to smuggle improper risk assumptions into the discount rate so as to affect dramatically [her] opinion on value.”</w:t>
      </w:r>
      <w:bookmarkStart w:id="178" w:name="co_tablefootnote_167_1"/>
      <w:hyperlink w:anchor="co_tablefootnoteblock_167_1">
        <w:r>
          <w:rPr>
            <w:rFonts w:ascii="Times New Roman" w:hAnsi="Times New Roman"/>
            <w:color w:val="000000"/>
            <w:sz w:val="16"/>
            <w:vertAlign w:val="superscript"/>
          </w:rPr>
          <w:t>167</w:t>
        </w:r>
      </w:hyperlink>
      <w:bookmarkEnd w:id="178"/>
      <w:r>
        <w:rPr>
          <w:rFonts w:ascii="Times New Roman" w:hAnsi="Times New Roman"/>
          <w:color w:val="000000"/>
          <w:sz w:val="20"/>
        </w:rPr>
        <w:t xml:space="preserve"> Her opinion should be stricken under </w:t>
      </w:r>
      <w:hyperlink r:id="r62">
        <w:r>
          <w:rPr>
            <w:rFonts w:ascii="Times New Roman" w:hAnsi="Times New Roman"/>
            <w:color w:val="000000"/>
            <w:sz w:val="20"/>
          </w:rPr>
          <w:t>Delaware Rule of Evidence 702</w:t>
        </w:r>
      </w:hyperlink>
      <w:r>
        <w:rPr>
          <w:rFonts w:ascii="Times New Roman" w:hAnsi="Times New Roman"/>
          <w:color w:val="000000"/>
          <w:sz w:val="20"/>
        </w:rPr>
        <w:t xml:space="preserve"> because it is not supported by facts or data, is not the product of any reliable principle and method, and there is no evidence that her technique or method is generally acceptable in the financial community.</w:t>
      </w:r>
      <w:bookmarkStart w:id="179" w:name="co_tablefootnote_168_1"/>
      <w:hyperlink w:anchor="co_tablefootnoteblock_168_1">
        <w:r>
          <w:rPr>
            <w:rFonts w:ascii="Times New Roman" w:hAnsi="Times New Roman"/>
            <w:color w:val="000000"/>
            <w:sz w:val="16"/>
            <w:vertAlign w:val="superscript"/>
          </w:rPr>
          <w:t>168</w:t>
        </w:r>
      </w:hyperlink>
      <w:bookmarkEnd w:id="179"/>
      <w:r>
        <w:rPr>
          <w:rFonts w:ascii="Times New Roman" w:hAnsi="Times New Roman"/>
          <w:color w:val="000000"/>
          <w:sz w:val="20"/>
        </w:rPr>
        <w:t xml:space="preserve"> Plaintiffs' motion is timely because “the importance of addressing issues raised under </w:t>
      </w:r>
      <w:r>
        <w:rPr>
          <w:rFonts w:ascii="Times New Roman" w:hAnsi="Times New Roman"/>
          <w:i/>
          <w:color w:val="000000"/>
          <w:sz w:val="20"/>
        </w:rPr>
        <w:t>Daubert</w:t>
      </w:r>
      <w:r>
        <w:rPr>
          <w:rFonts w:ascii="Times New Roman" w:hAnsi="Times New Roman"/>
          <w:color w:val="000000"/>
          <w:sz w:val="20"/>
        </w:rPr>
        <w:t xml:space="preserve"> and </w:t>
      </w:r>
      <w:hyperlink r:id="r63">
        <w:r>
          <w:rPr>
            <w:rFonts w:ascii="Times New Roman" w:hAnsi="Times New Roman"/>
            <w:color w:val="000000"/>
            <w:sz w:val="20"/>
          </w:rPr>
          <w:t>Rule 702</w:t>
        </w:r>
      </w:hyperlink>
      <w:r>
        <w:rPr>
          <w:rFonts w:ascii="Times New Roman" w:hAnsi="Times New Roman"/>
          <w:color w:val="000000"/>
          <w:sz w:val="20"/>
        </w:rPr>
        <w:t xml:space="preserve"> before an expert testifies is more attenuated in a bench trial.”</w:t>
      </w:r>
      <w:bookmarkStart w:id="180" w:name="co_tablefootnote_169_1"/>
      <w:hyperlink w:anchor="co_tablefootnoteblock_169_1">
        <w:r>
          <w:rPr>
            <w:rFonts w:ascii="Times New Roman" w:hAnsi="Times New Roman"/>
            <w:color w:val="000000"/>
            <w:sz w:val="16"/>
            <w:vertAlign w:val="superscript"/>
          </w:rPr>
          <w:t>169</w:t>
        </w:r>
      </w:hyperlink>
      <w:bookmarkEnd w:id="180"/>
      <w:r>
        <w:rPr>
          <w:rFonts w:ascii="Times New Roman" w:hAnsi="Times New Roman"/>
          <w:color w:val="000000"/>
          <w:sz w:val="20"/>
        </w:rPr>
        <w:t xml:space="preserve"> The Rules of Evidence, however, still apply.</w:t>
      </w:r>
      <w:bookmarkStart w:id="181" w:name="co_tablefootnote_170_1"/>
      <w:hyperlink w:anchor="co_tablefootnoteblock_170_1">
        <w:r>
          <w:rPr>
            <w:rFonts w:ascii="Times New Roman" w:hAnsi="Times New Roman"/>
            <w:color w:val="000000"/>
            <w:sz w:val="16"/>
            <w:vertAlign w:val="superscript"/>
          </w:rPr>
          <w:t>170</w:t>
        </w:r>
      </w:hyperlink>
      <w:bookmarkEnd w:id="181"/>
      <w:r>
        <w:rPr>
          <w:rFonts w:ascii="Times New Roman" w:hAnsi="Times New Roman"/>
          <w:color w:val="000000"/>
          <w:sz w:val="20"/>
        </w:rPr>
        <w:t xml:space="preserve"> If her opinion is not stricken, it should be given no weight.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Ms. Taylor claims her size premium accounts for nonsystematic risk,</w:t>
      </w:r>
      <w:bookmarkStart w:id="182" w:name="co_tablefootnote_171_1"/>
      <w:hyperlink w:anchor="co_tablefootnoteblock_171_1">
        <w:r>
          <w:rPr>
            <w:rFonts w:ascii="Times New Roman" w:hAnsi="Times New Roman"/>
            <w:color w:val="000000"/>
            <w:sz w:val="16"/>
            <w:vertAlign w:val="superscript"/>
          </w:rPr>
          <w:t>171</w:t>
        </w:r>
      </w:hyperlink>
      <w:bookmarkEnd w:id="182"/>
      <w:r>
        <w:rPr>
          <w:rFonts w:ascii="Times New Roman" w:hAnsi="Times New Roman"/>
          <w:color w:val="000000"/>
          <w:sz w:val="20"/>
        </w:rPr>
        <w:t xml:space="preserve"> but however one defines it, her risk factors and methodology are nowhere to be found in Ibbotson, the sole source on which she relies.</w:t>
      </w:r>
      <w:bookmarkStart w:id="183" w:name="co_tablefootnote_172_1"/>
      <w:hyperlink w:anchor="co_tablefootnoteblock_172_1">
        <w:r>
          <w:rPr>
            <w:rFonts w:ascii="Times New Roman" w:hAnsi="Times New Roman"/>
            <w:color w:val="000000"/>
            <w:sz w:val="16"/>
            <w:vertAlign w:val="superscript"/>
          </w:rPr>
          <w:t>172</w:t>
        </w:r>
      </w:hyperlink>
      <w:bookmarkEnd w:id="183"/>
      <w:r>
        <w:rPr>
          <w:rFonts w:ascii="Times New Roman" w:hAnsi="Times New Roman"/>
          <w:color w:val="000000"/>
          <w:sz w:val="20"/>
        </w:rPr>
        <w:t xml:space="preserve"> Nor do her risk factors have anything to do with the measurement of market capitalization or the statistical regressions on which Ibbotson's size premium tables are based. Instead, Ms. Taylor's risk premium factors and methodologies are dependent entirely on her “valuation credentials” and “career doing valuations.”</w:t>
      </w:r>
      <w:bookmarkStart w:id="184" w:name="co_tablefootnote_173_1"/>
      <w:hyperlink w:anchor="co_tablefootnoteblock_173_1">
        <w:r>
          <w:rPr>
            <w:rFonts w:ascii="Times New Roman" w:hAnsi="Times New Roman"/>
            <w:color w:val="000000"/>
            <w:sz w:val="16"/>
            <w:vertAlign w:val="superscript"/>
          </w:rPr>
          <w:t>173</w:t>
        </w:r>
      </w:hyperlink>
      <w:bookmarkEnd w:id="184"/>
      <w:r>
        <w:rPr>
          <w:rFonts w:ascii="Times New Roman" w:hAnsi="Times New Roman"/>
          <w:color w:val="000000"/>
          <w:sz w:val="20"/>
        </w:rPr>
        <w:t xml:space="preserve"> Ms. Barrick testified at trial that there was no question Ms. Taylor's “size premium” risk factors are the “stuff of a” company specific risk premium.</w:t>
      </w:r>
      <w:bookmarkStart w:id="185" w:name="co_tablefootnote_174_1"/>
      <w:hyperlink w:anchor="co_tablefootnoteblock_174_1">
        <w:r>
          <w:rPr>
            <w:rFonts w:ascii="Times New Roman" w:hAnsi="Times New Roman"/>
            <w:color w:val="000000"/>
            <w:sz w:val="16"/>
            <w:vertAlign w:val="superscript"/>
          </w:rPr>
          <w:t>174</w:t>
        </w:r>
      </w:hyperlink>
      <w:bookmarkEnd w:id="185"/>
      <w:r>
        <w:rPr>
          <w:rFonts w:ascii="Times New Roman" w:hAnsi="Times New Roman"/>
          <w:color w:val="000000"/>
          <w:sz w:val="20"/>
        </w:rPr>
        <w:t xml:space="preserve"> Ms. Taylor understands this. </w:t>
      </w:r>
      <w:r>
        <w:rPr>
          <w:rFonts w:ascii="Times New Roman" w:hAnsi="Times New Roman"/>
          <w:i/>
          <w:color w:val="000000"/>
          <w:sz w:val="20"/>
        </w:rPr>
        <w:t>InB&amp;L Cellular,</w:t>
      </w:r>
      <w:r>
        <w:rPr>
          <w:rFonts w:ascii="Times New Roman" w:hAnsi="Times New Roman"/>
          <w:color w:val="000000"/>
          <w:sz w:val="20"/>
        </w:rPr>
        <w:t xml:space="preserve"> she included an unsupported company specific risk premium to account for what she saw as additional risk of competition not generally faced by U.S. Cellular.</w:t>
      </w:r>
      <w:bookmarkStart w:id="186" w:name="co_tablefootnote_175_1"/>
      <w:hyperlink w:anchor="co_tablefootnoteblock_175_1">
        <w:r>
          <w:rPr>
            <w:rFonts w:ascii="Times New Roman" w:hAnsi="Times New Roman"/>
            <w:color w:val="000000"/>
            <w:sz w:val="16"/>
            <w:vertAlign w:val="superscript"/>
          </w:rPr>
          <w:t>175</w:t>
        </w:r>
      </w:hyperlink>
      <w:bookmarkEnd w:id="186"/>
      <w:r>
        <w:rPr>
          <w:rFonts w:ascii="Times New Roman" w:hAnsi="Times New Roman"/>
          <w:color w:val="000000"/>
          <w:sz w:val="20"/>
        </w:rPr>
        <w:t xml:space="preserve"> The Court rejected it.</w:t>
      </w:r>
      <w:bookmarkStart w:id="187" w:name="co_tablefootnote_176_1"/>
      <w:hyperlink w:anchor="co_tablefootnoteblock_176_1">
        <w:r>
          <w:rPr>
            <w:rFonts w:ascii="Times New Roman" w:hAnsi="Times New Roman"/>
            <w:color w:val="000000"/>
            <w:sz w:val="16"/>
            <w:vertAlign w:val="superscript"/>
          </w:rPr>
          <w:t>176</w:t>
        </w:r>
      </w:hyperlink>
      <w:bookmarkEnd w:id="187"/>
      <w:r>
        <w:rPr>
          <w:rFonts w:ascii="Times New Roman" w:hAnsi="Times New Roman"/>
          <w:color w:val="000000"/>
          <w:sz w:val="20"/>
        </w:rPr>
        <w:t xml:space="preserve"> Here, Ms. Taylor seeks to apply the same competition risk but renames it “size premium.”</w:t>
      </w:r>
      <w:bookmarkStart w:id="188" w:name="co_tablefootnote_177_1"/>
      <w:hyperlink w:anchor="co_tablefootnoteblock_177_1">
        <w:r>
          <w:rPr>
            <w:rFonts w:ascii="Times New Roman" w:hAnsi="Times New Roman"/>
            <w:color w:val="000000"/>
            <w:sz w:val="16"/>
            <w:vertAlign w:val="superscript"/>
          </w:rPr>
          <w:t>177</w:t>
        </w:r>
      </w:hyperlink>
      <w:bookmarkEnd w:id="188"/>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“To judges, the company specific risk premium often seems like the device experts employ to bring their final results in line with their client' objectives, when other valuation inputs fail to do the trick.”</w:t>
      </w:r>
      <w:bookmarkStart w:id="189" w:name="co_tablefootnote_178_1"/>
      <w:hyperlink w:anchor="co_tablefootnoteblock_178_1">
        <w:r>
          <w:rPr>
            <w:rFonts w:ascii="Times New Roman" w:hAnsi="Times New Roman"/>
            <w:color w:val="000000"/>
            <w:sz w:val="16"/>
            <w:vertAlign w:val="superscript"/>
          </w:rPr>
          <w:t>178</w:t>
        </w:r>
      </w:hyperlink>
      <w:bookmarkEnd w:id="189"/>
      <w:r>
        <w:rPr>
          <w:rFonts w:ascii="Times New Roman" w:hAnsi="Times New Roman"/>
          <w:color w:val="000000"/>
          <w:sz w:val="20"/>
        </w:rPr>
        <w:t xml:space="preserve"> Fact-based evidence must be produced at trial to support the discount, including “specific financial analyses on which the court could rely to derive such a discount.”</w:t>
      </w:r>
      <w:bookmarkStart w:id="190" w:name="co_tablefootnote_179_1"/>
      <w:hyperlink w:anchor="co_tablefootnoteblock_179_1">
        <w:r>
          <w:rPr>
            <w:rFonts w:ascii="Times New Roman" w:hAnsi="Times New Roman"/>
            <w:color w:val="000000"/>
            <w:sz w:val="16"/>
            <w:vertAlign w:val="superscript"/>
          </w:rPr>
          <w:t>179</w:t>
        </w:r>
      </w:hyperlink>
      <w:bookmarkEnd w:id="190"/>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Ms. Taylor offered no objective analysis to support her company specific risk premiums. Her premium risk factors are undefined, vague, unsupported and irrationally applied to the Partnerships.</w:t>
      </w:r>
      <w:bookmarkStart w:id="191" w:name="co_tablefootnote_180_1"/>
      <w:hyperlink w:anchor="co_tablefootnoteblock_180_1">
        <w:r>
          <w:rPr>
            <w:rFonts w:ascii="Times New Roman" w:hAnsi="Times New Roman"/>
            <w:color w:val="000000"/>
            <w:sz w:val="16"/>
            <w:vertAlign w:val="superscript"/>
          </w:rPr>
          <w:t>180</w:t>
        </w:r>
      </w:hyperlink>
      <w:bookmarkEnd w:id="191"/>
      <w:r>
        <w:rPr>
          <w:rFonts w:ascii="Times New Roman" w:hAnsi="Times New Roman"/>
          <w:color w:val="000000"/>
          <w:sz w:val="20"/>
        </w:rPr>
        <w:t xml:space="preserve"> At trial, she described one risk as undefined “Weather/Acts of God.”</w:t>
      </w:r>
      <w:bookmarkStart w:id="192" w:name="co_tablefootnote_181_1"/>
      <w:hyperlink w:anchor="co_tablefootnoteblock_181_1">
        <w:r>
          <w:rPr>
            <w:rFonts w:ascii="Times New Roman" w:hAnsi="Times New Roman"/>
            <w:color w:val="000000"/>
            <w:sz w:val="16"/>
            <w:vertAlign w:val="superscript"/>
          </w:rPr>
          <w:t>181</w:t>
        </w:r>
      </w:hyperlink>
      <w:bookmarkEnd w:id="192"/>
      <w:r>
        <w:rPr>
          <w:rFonts w:ascii="Times New Roman" w:hAnsi="Times New Roman"/>
          <w:color w:val="000000"/>
          <w:sz w:val="20"/>
        </w:rPr>
        <w:t xml:space="preserve"> That is not a term used in her reports or Ibbotson.</w:t>
      </w:r>
      <w:bookmarkStart w:id="193" w:name="co_tablefootnote_182_1"/>
      <w:hyperlink w:anchor="co_tablefootnoteblock_182_1">
        <w:r>
          <w:rPr>
            <w:rFonts w:ascii="Times New Roman" w:hAnsi="Times New Roman"/>
            <w:color w:val="000000"/>
            <w:sz w:val="16"/>
            <w:vertAlign w:val="superscript"/>
          </w:rPr>
          <w:t>182</w:t>
        </w:r>
      </w:hyperlink>
      <w:bookmarkEnd w:id="193"/>
      <w:r>
        <w:rPr>
          <w:rFonts w:ascii="Times New Roman" w:hAnsi="Times New Roman"/>
          <w:color w:val="000000"/>
          <w:sz w:val="20"/>
        </w:rPr>
        <w:t xml:space="preserve"> Ms. Taylor offered no analysis on how many or how often “Acts of God” occurred in the Partnership geographic areas.</w:t>
      </w:r>
      <w:bookmarkStart w:id="194" w:name="co_tablefootnote_183_1"/>
      <w:hyperlink w:anchor="co_tablefootnoteblock_183_1">
        <w:r>
          <w:rPr>
            <w:rFonts w:ascii="Times New Roman" w:hAnsi="Times New Roman"/>
            <w:color w:val="000000"/>
            <w:sz w:val="16"/>
            <w:vertAlign w:val="superscript"/>
          </w:rPr>
          <w:t>183</w:t>
        </w:r>
      </w:hyperlink>
      <w:bookmarkEnd w:id="194"/>
      <w:r>
        <w:rPr>
          <w:rFonts w:ascii="Times New Roman" w:hAnsi="Times New Roman"/>
          <w:color w:val="000000"/>
          <w:sz w:val="20"/>
        </w:rPr>
        <w:t xml:space="preserve"> Similarly, at trial she called another risk “Dominant Employer Presence,” which is also not used in her reports or Ibbotson.</w:t>
      </w:r>
      <w:bookmarkStart w:id="195" w:name="co_tablefootnote_184_1"/>
      <w:hyperlink w:anchor="co_tablefootnoteblock_184_1">
        <w:r>
          <w:rPr>
            <w:rFonts w:ascii="Times New Roman" w:hAnsi="Times New Roman"/>
            <w:color w:val="000000"/>
            <w:sz w:val="16"/>
            <w:vertAlign w:val="superscript"/>
          </w:rPr>
          <w:t>184</w:t>
        </w:r>
      </w:hyperlink>
      <w:bookmarkEnd w:id="195"/>
      <w:r>
        <w:rPr>
          <w:rFonts w:ascii="Times New Roman" w:hAnsi="Times New Roman"/>
          <w:color w:val="000000"/>
          <w:sz w:val="20"/>
        </w:rPr>
        <w:t xml:space="preserve"> We did not even know until Ms. Taylor testified at trial that she considered “Dominant Employer Presence” to be “as a rule of thumb,” the presence of an employer that employs 10 percent of the workforce in the geographic area.</w:t>
      </w:r>
      <w:bookmarkStart w:id="196" w:name="co_tablefootnote_185_1"/>
      <w:hyperlink w:anchor="co_tablefootnoteblock_185_1">
        <w:r>
          <w:rPr>
            <w:rFonts w:ascii="Times New Roman" w:hAnsi="Times New Roman"/>
            <w:color w:val="000000"/>
            <w:sz w:val="16"/>
            <w:vertAlign w:val="superscript"/>
          </w:rPr>
          <w:t>185</w:t>
        </w:r>
      </w:hyperlink>
      <w:bookmarkEnd w:id="196"/>
      <w:r>
        <w:rPr>
          <w:rFonts w:ascii="Times New Roman" w:hAnsi="Times New Roman"/>
          <w:color w:val="000000"/>
          <w:sz w:val="20"/>
        </w:rPr>
        <w:t xml:space="preserve"> Ms. Taylor provided no analysis to support her theory.</w:t>
      </w:r>
      <w:bookmarkStart w:id="197" w:name="co_tablefootnote_186_1"/>
      <w:hyperlink w:anchor="co_tablefootnoteblock_186_1">
        <w:r>
          <w:rPr>
            <w:rFonts w:ascii="Times New Roman" w:hAnsi="Times New Roman"/>
            <w:color w:val="000000"/>
            <w:sz w:val="16"/>
            <w:vertAlign w:val="superscript"/>
          </w:rPr>
          <w:t>186</w:t>
        </w:r>
      </w:hyperlink>
      <w:bookmarkEnd w:id="197"/>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Ms. Taylor increased the cost of equity for </w:t>
      </w:r>
      <w:r>
        <w:rPr>
          <w:rFonts w:ascii="Times New Roman" w:hAnsi="Times New Roman"/>
          <w:color w:val="000000"/>
          <w:sz w:val="20"/>
          <w:u w:val="single" w:color="000000"/>
        </w:rPr>
        <w:t>each</w:t>
      </w:r>
      <w:r>
        <w:rPr>
          <w:rFonts w:ascii="Times New Roman" w:hAnsi="Times New Roman"/>
          <w:color w:val="000000"/>
          <w:sz w:val="20"/>
        </w:rPr>
        <w:t xml:space="preserve"> Partnership by 3% even though not all the Partnerships faced the same supposed risks. According to Ms. Taylor, Bellingham, Bradenton, Bremerton, Las Cruces, Salem and Sarasota faced only one risk factor, while Alton, Bloomington, and Galveston faced all three.</w:t>
      </w:r>
      <w:bookmarkStart w:id="198" w:name="co_tablefootnote_187_1"/>
      <w:hyperlink w:anchor="co_tablefootnoteblock_187_1">
        <w:r>
          <w:rPr>
            <w:rFonts w:ascii="Times New Roman" w:hAnsi="Times New Roman"/>
            <w:color w:val="000000"/>
            <w:sz w:val="16"/>
            <w:vertAlign w:val="superscript"/>
          </w:rPr>
          <w:t>187</w:t>
        </w:r>
      </w:hyperlink>
      <w:bookmarkEnd w:id="198"/>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 comparison of PwC's and Ms. Taylor's risk assumptions further proves Ms. Taylor's opinions are not reliable. The only instance where Ms. Taylor ties weather risks to a Partnership is a hurricane that caused $2,362,000 damage to Galveston in 2008.</w:t>
      </w:r>
      <w:bookmarkStart w:id="199" w:name="co_tablefootnote_188_1"/>
      <w:hyperlink w:anchor="co_tablefootnoteblock_188_1">
        <w:r>
          <w:rPr>
            <w:rFonts w:ascii="Times New Roman" w:hAnsi="Times New Roman"/>
            <w:color w:val="000000"/>
            <w:sz w:val="16"/>
            <w:vertAlign w:val="superscript"/>
          </w:rPr>
          <w:t>188</w:t>
        </w:r>
      </w:hyperlink>
      <w:bookmarkEnd w:id="199"/>
      <w:r>
        <w:rPr>
          <w:rFonts w:ascii="Times New Roman" w:hAnsi="Times New Roman"/>
          <w:color w:val="000000"/>
          <w:sz w:val="20"/>
        </w:rPr>
        <w:t xml:space="preserve"> PwC - which did not apply any size premium to the Partnerships used the hurricane tojustify a 1% company specific risk premium to Galveston:</w:t>
      </w:r>
      <w:bookmarkStart w:id="200" w:name="co_tablefootnote_189_1"/>
      <w:hyperlink w:anchor="co_tablefootnoteblock_189_1">
        <w:r>
          <w:rPr>
            <w:rFonts w:ascii="Times New Roman" w:hAnsi="Times New Roman"/>
            <w:color w:val="000000"/>
            <w:sz w:val="16"/>
            <w:vertAlign w:val="superscript"/>
          </w:rPr>
          <w:t>189</w:t>
        </w:r>
      </w:hyperlink>
      <w:bookmarkEnd w:id="200"/>
    </w:p>
    <w:p>
      <w:pPr>
        <w:spacing w:before="0" w:after="0" w:line="275" w:lineRule="atLeast"/>
        <w:jc w:val="both"/>
      </w:pPr>
      <w:r>
        <w:rPr>
          <w:rFonts w:ascii="Times New Roman" w:hAnsi="Times New Roman"/>
          <w:color w:val="000000"/>
          <w:sz w:val="20"/>
        </w:rPr>
        <w:t> </w:t>
      </w:r>
    </w:p>
    <w:bookmarkStart w:id="201" w:name="co_anchor_I705a5710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201"/>
    <w:p>
      <w:pPr>
        <w:spacing w:before="0" w:after="0" w:line="275" w:lineRule="atLeast"/>
        <w:jc w:val="both"/>
      </w:pPr>
      <w:r>
        <w:rPr>
          <w:rFonts w:ascii="Times New Roman" w:hAnsi="Times New Roman"/>
          <w:color w:val="000000"/>
          <w:sz w:val="20"/>
        </w:rPr>
        <w:t>Ms. Taylor tripled PwC's risk assumption, renamed it a “size premium” and applied it to every Partnership. As to Galveston, this reduced Ms. Taylor's DCF value by approximately $107 million,</w:t>
      </w:r>
      <w:bookmarkStart w:id="202" w:name="co_tablefootnote_190_1"/>
      <w:hyperlink w:anchor="co_tablefootnoteblock_190_1">
        <w:r>
          <w:rPr>
            <w:rFonts w:ascii="Times New Roman" w:hAnsi="Times New Roman"/>
            <w:color w:val="000000"/>
            <w:sz w:val="16"/>
            <w:vertAlign w:val="superscript"/>
          </w:rPr>
          <w:t>190</w:t>
        </w:r>
      </w:hyperlink>
      <w:bookmarkEnd w:id="202"/>
      <w:r>
        <w:rPr>
          <w:rFonts w:ascii="Times New Roman" w:hAnsi="Times New Roman"/>
          <w:color w:val="000000"/>
          <w:sz w:val="20"/>
        </w:rPr>
        <w:t xml:space="preserve"> which is an irrational and unsupported reduction for a $2.4 million expense the actual hurricane caused in 2008. Ms. Taylor did not consider if or when it would happen again, or whether the risk could be mitigated altogether with insurance.</w:t>
      </w:r>
      <w:bookmarkStart w:id="203" w:name="co_tablefootnote_191_1"/>
      <w:hyperlink w:anchor="co_tablefootnoteblock_191_1">
        <w:r>
          <w:rPr>
            <w:rFonts w:ascii="Times New Roman" w:hAnsi="Times New Roman"/>
            <w:color w:val="000000"/>
            <w:sz w:val="16"/>
            <w:vertAlign w:val="superscript"/>
          </w:rPr>
          <w:t>191</w:t>
        </w:r>
      </w:hyperlink>
      <w:bookmarkEnd w:id="203"/>
      <w:r>
        <w:rPr>
          <w:rFonts w:ascii="Times New Roman" w:hAnsi="Times New Roman"/>
          <w:color w:val="000000"/>
          <w:sz w:val="20"/>
        </w:rPr>
        <w:t xml:space="preserve"> This Court rejected a similar effort to reduce a DCF value by adding a “company-specific incremental premium for hurricane risk” to the discount rate in </w:t>
      </w:r>
      <w:r>
        <w:rPr>
          <w:rFonts w:ascii="Times New Roman" w:hAnsi="Times New Roman"/>
          <w:i/>
          <w:color w:val="000000"/>
          <w:sz w:val="20"/>
        </w:rPr>
        <w:t>Emerging Communications</w:t>
      </w:r>
      <w:r>
        <w:rPr>
          <w:rFonts w:ascii="Times New Roman" w:hAnsi="Times New Roman"/>
          <w:color w:val="000000"/>
          <w:sz w:val="20"/>
        </w:rPr>
        <w:t xml:space="preserve"> because, like here, the defendants had “not supported their argument that the appropriate way” to account for risk of future storm losses was “by increasing the cost of equity.”</w:t>
      </w:r>
      <w:bookmarkStart w:id="204" w:name="co_tablefootnote_192_1"/>
      <w:hyperlink w:anchor="co_tablefootnoteblock_192_1">
        <w:r>
          <w:rPr>
            <w:rFonts w:ascii="Times New Roman" w:hAnsi="Times New Roman"/>
            <w:color w:val="000000"/>
            <w:sz w:val="16"/>
            <w:vertAlign w:val="superscript"/>
          </w:rPr>
          <w:t>192</w:t>
        </w:r>
      </w:hyperlink>
      <w:bookmarkEnd w:id="204"/>
      <w:r>
        <w:rPr>
          <w:rFonts w:ascii="Times New Roman" w:hAnsi="Times New Roman"/>
          <w:color w:val="000000"/>
          <w:sz w:val="20"/>
        </w:rPr>
        <w:t xml:space="preserve"> Like Ms. Taylor, </w:t>
      </w:r>
      <w:r>
        <w:rPr>
          <w:rFonts w:ascii="Times New Roman" w:hAnsi="Times New Roman"/>
          <w:i/>
          <w:color w:val="000000"/>
          <w:sz w:val="20"/>
        </w:rPr>
        <w:t>in Emerging Communications</w:t>
      </w:r>
      <w:r>
        <w:rPr>
          <w:rFonts w:ascii="Times New Roman" w:hAnsi="Times New Roman"/>
          <w:color w:val="000000"/>
          <w:sz w:val="20"/>
        </w:rPr>
        <w:t xml:space="preserve"> the “[d]efendants cite[d] no finance literature supporting that approach” and they did not support “their argument empirically.”</w:t>
      </w:r>
      <w:bookmarkStart w:id="205" w:name="co_tablefootnote_193_1"/>
      <w:hyperlink w:anchor="co_tablefootnoteblock_193_1">
        <w:r>
          <w:rPr>
            <w:rFonts w:ascii="Times New Roman" w:hAnsi="Times New Roman"/>
            <w:color w:val="000000"/>
            <w:sz w:val="16"/>
            <w:vertAlign w:val="superscript"/>
          </w:rPr>
          <w:t>193</w:t>
        </w:r>
      </w:hyperlink>
      <w:bookmarkEnd w:id="205"/>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Ms. Taylor's premium is not a size premium just because she uses those magic words. As the adage goes, “if it walks like a duck and quacks like a duck, it's probably a duck.”</w:t>
      </w:r>
      <w:bookmarkStart w:id="206" w:name="co_tablefootnote_194_1"/>
      <w:hyperlink w:anchor="co_tablefootnoteblock_194_1">
        <w:r>
          <w:rPr>
            <w:rFonts w:ascii="Times New Roman" w:hAnsi="Times New Roman"/>
            <w:color w:val="000000"/>
            <w:sz w:val="16"/>
            <w:vertAlign w:val="superscript"/>
          </w:rPr>
          <w:t>194</w:t>
        </w:r>
      </w:hyperlink>
      <w:bookmarkEnd w:id="206"/>
      <w:r>
        <w:rPr>
          <w:rFonts w:ascii="Times New Roman" w:hAnsi="Times New Roman"/>
          <w:color w:val="000000"/>
          <w:sz w:val="20"/>
        </w:rPr>
        <w:t xml:space="preserve"> Ms. Taylor's subjective application of an unsupported company specific risk premium under the guise of it being a “size premium” cannot survive challenge under </w:t>
      </w:r>
      <w:hyperlink r:id="r64">
        <w:r>
          <w:rPr>
            <w:rFonts w:ascii="Times New Roman" w:hAnsi="Times New Roman"/>
            <w:color w:val="000000"/>
            <w:sz w:val="20"/>
          </w:rPr>
          <w:t>Delaware Rule of Evidence 702</w:t>
        </w:r>
      </w:hyperlink>
      <w:r>
        <w:rPr>
          <w:rFonts w:ascii="Times New Roman" w:hAnsi="Times New Roman"/>
          <w:color w:val="000000"/>
          <w:sz w:val="20"/>
        </w:rPr>
        <w:t>. The opinions she offers on size premium should be stricken and deserve no evidentiary weight.</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d. Unsupported Use of a 10-Year Projection.</w:t>
      </w:r>
    </w:p>
    <w:p>
      <w:pPr>
        <w:spacing w:before="200" w:after="0" w:line="275" w:lineRule="atLeast"/>
        <w:jc w:val="both"/>
      </w:pPr>
      <w:r>
        <w:rPr>
          <w:rFonts w:ascii="Times New Roman" w:hAnsi="Times New Roman"/>
          <w:color w:val="000000"/>
          <w:sz w:val="20"/>
        </w:rPr>
        <w:t>Ms. Taylor's use of the 10-Year Plan is also unsupported. Ms. Taylor used the 10-Year Plan without understanding how and why AT&amp;T prepared it. In their pretrial briefing, Plaintiffs set out in detail the way the 3-Year Plan and 10-Year Plan were prepared and how each was used differently by AT&amp;T.</w:t>
      </w:r>
      <w:bookmarkStart w:id="207" w:name="co_tablefootnote_195_1"/>
      <w:hyperlink w:anchor="co_tablefootnoteblock_195_1">
        <w:r>
          <w:rPr>
            <w:rFonts w:ascii="Times New Roman" w:hAnsi="Times New Roman"/>
            <w:color w:val="000000"/>
            <w:sz w:val="16"/>
            <w:vertAlign w:val="superscript"/>
          </w:rPr>
          <w:t>195</w:t>
        </w:r>
      </w:hyperlink>
      <w:bookmarkEnd w:id="207"/>
      <w:r>
        <w:rPr>
          <w:rFonts w:ascii="Times New Roman" w:hAnsi="Times New Roman"/>
          <w:color w:val="000000"/>
          <w:sz w:val="20"/>
        </w:rPr>
        <w:t xml:space="preserve"> The trial evidence stands uncontested. AT&amp;T used the 3-Year Plan to set budgets and performance analyses.</w:t>
      </w:r>
      <w:bookmarkStart w:id="208" w:name="co_tablefootnote_196_1"/>
      <w:hyperlink w:anchor="co_tablefootnoteblock_196_1">
        <w:r>
          <w:rPr>
            <w:rFonts w:ascii="Times New Roman" w:hAnsi="Times New Roman"/>
            <w:color w:val="000000"/>
            <w:sz w:val="16"/>
            <w:vertAlign w:val="superscript"/>
          </w:rPr>
          <w:t>196</w:t>
        </w:r>
      </w:hyperlink>
      <w:bookmarkEnd w:id="208"/>
      <w:r>
        <w:rPr>
          <w:rFonts w:ascii="Times New Roman" w:hAnsi="Times New Roman"/>
          <w:color w:val="000000"/>
          <w:sz w:val="20"/>
        </w:rPr>
        <w:t xml:space="preserve"> The board of directors approved the 3-Year Plan, not the 10-Year Plan.</w:t>
      </w:r>
      <w:bookmarkStart w:id="209" w:name="co_tablefootnote_197_1"/>
      <w:hyperlink w:anchor="co_tablefootnoteblock_197_1">
        <w:r>
          <w:rPr>
            <w:rFonts w:ascii="Times New Roman" w:hAnsi="Times New Roman"/>
            <w:color w:val="000000"/>
            <w:sz w:val="16"/>
            <w:vertAlign w:val="superscript"/>
          </w:rPr>
          <w:t>197</w:t>
        </w:r>
      </w:hyperlink>
      <w:bookmarkEnd w:id="209"/>
      <w:r>
        <w:rPr>
          <w:rFonts w:ascii="Times New Roman" w:hAnsi="Times New Roman"/>
          <w:color w:val="000000"/>
          <w:sz w:val="20"/>
        </w:rPr>
        <w:t xml:space="preserve"> Contrary to AT&amp;T's claims, AT&amp;T used the 3-Year Plan to set management's “long-term” incentive awards,</w:t>
      </w:r>
      <w:bookmarkStart w:id="210" w:name="co_tablefootnote_198_1"/>
      <w:hyperlink w:anchor="co_tablefootnoteblock_198_1">
        <w:r>
          <w:rPr>
            <w:rFonts w:ascii="Times New Roman" w:hAnsi="Times New Roman"/>
            <w:color w:val="000000"/>
            <w:sz w:val="16"/>
            <w:vertAlign w:val="superscript"/>
          </w:rPr>
          <w:t>198</w:t>
        </w:r>
      </w:hyperlink>
      <w:bookmarkEnd w:id="210"/>
      <w:r>
        <w:rPr>
          <w:rFonts w:ascii="Times New Roman" w:hAnsi="Times New Roman"/>
          <w:color w:val="000000"/>
          <w:sz w:val="20"/>
        </w:rPr>
        <w:t xml:space="preserve"> not “short-term compensation.”</w:t>
      </w:r>
      <w:bookmarkStart w:id="211" w:name="co_tablefootnote_199_1"/>
      <w:hyperlink w:anchor="co_tablefootnoteblock_199_1">
        <w:r>
          <w:rPr>
            <w:rFonts w:ascii="Times New Roman" w:hAnsi="Times New Roman"/>
            <w:color w:val="000000"/>
            <w:sz w:val="16"/>
            <w:vertAlign w:val="superscript"/>
          </w:rPr>
          <w:t>199</w:t>
        </w:r>
      </w:hyperlink>
      <w:bookmarkEnd w:id="211"/>
      <w:r>
        <w:rPr>
          <w:rFonts w:ascii="Times New Roman" w:hAnsi="Times New Roman"/>
          <w:color w:val="000000"/>
          <w:sz w:val="20"/>
        </w:rPr>
        <w:t xml:space="preserve"> The AT&amp;T Mobility Planning Team did not use the 10-Year Plan for any purpose.</w:t>
      </w:r>
      <w:bookmarkStart w:id="212" w:name="co_tablefootnote_200_1"/>
      <w:hyperlink w:anchor="co_tablefootnoteblock_200_1">
        <w:r>
          <w:rPr>
            <w:rFonts w:ascii="Times New Roman" w:hAnsi="Times New Roman"/>
            <w:color w:val="000000"/>
            <w:sz w:val="16"/>
            <w:vertAlign w:val="superscript"/>
          </w:rPr>
          <w:t>200</w:t>
        </w:r>
      </w:hyperlink>
      <w:bookmarkEnd w:id="212"/>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Ms. Taylor understood none of this. Ms. Taylor had no idea the 3-Year Plan and 10-Year Plan were prepared by different AT&amp;T departments,</w:t>
      </w:r>
      <w:bookmarkStart w:id="213" w:name="co_tablefootnote_201_1"/>
      <w:hyperlink w:anchor="co_tablefootnoteblock_201_1">
        <w:r>
          <w:rPr>
            <w:rFonts w:ascii="Times New Roman" w:hAnsi="Times New Roman"/>
            <w:color w:val="000000"/>
            <w:sz w:val="16"/>
            <w:vertAlign w:val="superscript"/>
          </w:rPr>
          <w:t>201</w:t>
        </w:r>
      </w:hyperlink>
      <w:bookmarkEnd w:id="213"/>
      <w:r>
        <w:rPr>
          <w:rFonts w:ascii="Times New Roman" w:hAnsi="Times New Roman"/>
          <w:color w:val="000000"/>
          <w:sz w:val="20"/>
        </w:rPr>
        <w:t xml:space="preserve"> and misunderstood the order in which they were prepared.</w:t>
      </w:r>
      <w:bookmarkStart w:id="214" w:name="co_tablefootnote_202_1"/>
      <w:hyperlink w:anchor="co_tablefootnoteblock_202_1">
        <w:r>
          <w:rPr>
            <w:rFonts w:ascii="Times New Roman" w:hAnsi="Times New Roman"/>
            <w:color w:val="000000"/>
            <w:sz w:val="16"/>
            <w:vertAlign w:val="superscript"/>
          </w:rPr>
          <w:t>202</w:t>
        </w:r>
      </w:hyperlink>
      <w:bookmarkEnd w:id="214"/>
      <w:r>
        <w:rPr>
          <w:rFonts w:ascii="Times New Roman" w:hAnsi="Times New Roman"/>
          <w:color w:val="000000"/>
          <w:sz w:val="20"/>
        </w:rPr>
        <w:t xml:space="preserve"> While Ms. Taylor was quick to identify Mr. Kobos as the person who prepared the 10-Year Plan, she had no idea who was responsible for the 3-Year Plan.</w:t>
      </w:r>
      <w:bookmarkStart w:id="215" w:name="co_tablefootnote_203_1"/>
      <w:hyperlink w:anchor="co_tablefootnoteblock_203_1">
        <w:r>
          <w:rPr>
            <w:rFonts w:ascii="Times New Roman" w:hAnsi="Times New Roman"/>
            <w:color w:val="000000"/>
            <w:sz w:val="16"/>
            <w:vertAlign w:val="superscript"/>
          </w:rPr>
          <w:t>203</w:t>
        </w:r>
      </w:hyperlink>
      <w:bookmarkEnd w:id="215"/>
      <w:r>
        <w:rPr>
          <w:rFonts w:ascii="Times New Roman" w:hAnsi="Times New Roman"/>
          <w:color w:val="000000"/>
          <w:sz w:val="20"/>
        </w:rPr>
        <w:t xml:space="preserve"> Ms. Taylor did not know Mobility had no use for the 10-Year Plan, and the Mobility Planning Team did not forecast more than three years.</w:t>
      </w:r>
      <w:bookmarkStart w:id="216" w:name="co_tablefootnote_204_1"/>
      <w:hyperlink w:anchor="co_tablefootnoteblock_204_1">
        <w:r>
          <w:rPr>
            <w:rFonts w:ascii="Times New Roman" w:hAnsi="Times New Roman"/>
            <w:color w:val="000000"/>
            <w:sz w:val="16"/>
            <w:vertAlign w:val="superscript"/>
          </w:rPr>
          <w:t>204</w:t>
        </w:r>
      </w:hyperlink>
      <w:bookmarkEnd w:id="216"/>
      <w:r>
        <w:rPr>
          <w:rFonts w:ascii="Times New Roman" w:hAnsi="Times New Roman"/>
          <w:color w:val="000000"/>
          <w:sz w:val="20"/>
        </w:rPr>
        <w:t xml:space="preserve"> Nor did she know the Mobility Planning Team did not use the subscriber forecasts in the 10-Year Plan.</w:t>
      </w:r>
      <w:bookmarkStart w:id="217" w:name="co_tablefootnote_205_1"/>
      <w:hyperlink w:anchor="co_tablefootnoteblock_205_1">
        <w:r>
          <w:rPr>
            <w:rFonts w:ascii="Times New Roman" w:hAnsi="Times New Roman"/>
            <w:color w:val="000000"/>
            <w:sz w:val="16"/>
            <w:vertAlign w:val="superscript"/>
          </w:rPr>
          <w:t>205</w:t>
        </w:r>
      </w:hyperlink>
      <w:bookmarkEnd w:id="217"/>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Despite being the only instance where Ms. Taylor cites to Mr. Paoletti's deposition transcript in her opening report, Ms. Taylor did not know when “he source[d] information from subject matter experts from marketing, finance, customer care, IT and the Emerging Devices Organization,”</w:t>
      </w:r>
      <w:bookmarkStart w:id="218" w:name="co_tablefootnote_206_1"/>
      <w:hyperlink w:anchor="co_tablefootnoteblock_206_1">
        <w:r>
          <w:rPr>
            <w:rFonts w:ascii="Times New Roman" w:hAnsi="Times New Roman"/>
            <w:color w:val="000000"/>
            <w:sz w:val="16"/>
            <w:vertAlign w:val="superscript"/>
          </w:rPr>
          <w:t>206</w:t>
        </w:r>
      </w:hyperlink>
      <w:bookmarkEnd w:id="218"/>
      <w:r>
        <w:rPr>
          <w:rFonts w:ascii="Times New Roman" w:hAnsi="Times New Roman"/>
          <w:color w:val="000000"/>
          <w:sz w:val="20"/>
        </w:rPr>
        <w:t xml:space="preserve"> he only pulled three years of information.</w:t>
      </w:r>
      <w:bookmarkStart w:id="219" w:name="co_tablefootnote_207_1"/>
      <w:hyperlink w:anchor="co_tablefootnoteblock_207_1">
        <w:r>
          <w:rPr>
            <w:rFonts w:ascii="Times New Roman" w:hAnsi="Times New Roman"/>
            <w:color w:val="000000"/>
            <w:sz w:val="16"/>
            <w:vertAlign w:val="superscript"/>
          </w:rPr>
          <w:t>207</w:t>
        </w:r>
      </w:hyperlink>
      <w:bookmarkEnd w:id="219"/>
      <w:r>
        <w:rPr>
          <w:rFonts w:ascii="Times New Roman" w:hAnsi="Times New Roman"/>
          <w:color w:val="000000"/>
          <w:sz w:val="20"/>
        </w:rPr>
        <w:t xml:space="preserve"> Ms. Taylor did not know in preparing the 3-Year Plan, Mr. Paoletti started from scratch every year.</w:t>
      </w:r>
      <w:bookmarkStart w:id="220" w:name="co_tablefootnote_208_1"/>
      <w:hyperlink w:anchor="co_tablefootnoteblock_208_1">
        <w:r>
          <w:rPr>
            <w:rFonts w:ascii="Times New Roman" w:hAnsi="Times New Roman"/>
            <w:color w:val="000000"/>
            <w:sz w:val="16"/>
            <w:vertAlign w:val="superscript"/>
          </w:rPr>
          <w:t>208</w:t>
        </w:r>
      </w:hyperlink>
      <w:bookmarkEnd w:id="220"/>
      <w:r>
        <w:rPr>
          <w:rFonts w:ascii="Times New Roman" w:hAnsi="Times New Roman"/>
          <w:color w:val="000000"/>
          <w:sz w:val="20"/>
        </w:rPr>
        <w:t xml:space="preserve"> She did not know when AT&amp;T's board of directors asked for forecasts, it typically asked for three-year forecasts.</w:t>
      </w:r>
      <w:bookmarkStart w:id="221" w:name="co_tablefootnote_209_1"/>
      <w:hyperlink w:anchor="co_tablefootnoteblock_209_1">
        <w:r>
          <w:rPr>
            <w:rFonts w:ascii="Times New Roman" w:hAnsi="Times New Roman"/>
            <w:color w:val="000000"/>
            <w:sz w:val="16"/>
            <w:vertAlign w:val="superscript"/>
          </w:rPr>
          <w:t>209</w:t>
        </w:r>
      </w:hyperlink>
      <w:bookmarkEnd w:id="221"/>
      <w:r>
        <w:rPr>
          <w:rFonts w:ascii="Times New Roman" w:hAnsi="Times New Roman"/>
          <w:color w:val="000000"/>
          <w:sz w:val="20"/>
        </w:rPr>
        <w:t xml:space="preserve"> And, Ms. Taylor also did not know when AT&amp;T's board of directors wanted to pay management long-term incentive awards, it used the 3-Year Plan.</w:t>
      </w:r>
      <w:bookmarkStart w:id="222" w:name="co_tablefootnote_210_1"/>
      <w:hyperlink w:anchor="co_tablefootnoteblock_210_1">
        <w:r>
          <w:rPr>
            <w:rFonts w:ascii="Times New Roman" w:hAnsi="Times New Roman"/>
            <w:color w:val="000000"/>
            <w:sz w:val="16"/>
            <w:vertAlign w:val="superscript"/>
          </w:rPr>
          <w:t>210</w:t>
        </w:r>
      </w:hyperlink>
      <w:bookmarkEnd w:id="222"/>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Knowing little about the 10-Year Plan, Ms. Taylor nevertheless relied on it and mistakenly believed AT&amp;T management was “very specific in preparing it.”</w:t>
      </w:r>
      <w:bookmarkStart w:id="223" w:name="co_tablefootnote_211_1"/>
      <w:hyperlink w:anchor="co_tablefootnoteblock_211_1">
        <w:r>
          <w:rPr>
            <w:rFonts w:ascii="Times New Roman" w:hAnsi="Times New Roman"/>
            <w:color w:val="000000"/>
            <w:sz w:val="16"/>
            <w:vertAlign w:val="superscript"/>
          </w:rPr>
          <w:t>211</w:t>
        </w:r>
      </w:hyperlink>
      <w:bookmarkEnd w:id="223"/>
      <w:r>
        <w:rPr>
          <w:rFonts w:ascii="Times New Roman" w:hAnsi="Times New Roman"/>
          <w:color w:val="000000"/>
          <w:sz w:val="20"/>
        </w:rPr>
        <w:t xml:space="preserve"> But she did not know, for example, Mr. Kobos was simply averaging capital expenditures over the outyears of the plan.</w:t>
      </w:r>
      <w:bookmarkStart w:id="224" w:name="co_tablefootnote_212_1"/>
      <w:hyperlink w:anchor="co_tablefootnoteblock_212_1">
        <w:r>
          <w:rPr>
            <w:rFonts w:ascii="Times New Roman" w:hAnsi="Times New Roman"/>
            <w:color w:val="000000"/>
            <w:sz w:val="16"/>
            <w:vertAlign w:val="superscript"/>
          </w:rPr>
          <w:t>212</w:t>
        </w:r>
      </w:hyperlink>
      <w:bookmarkEnd w:id="224"/>
      <w:r>
        <w:rPr>
          <w:rFonts w:ascii="Times New Roman" w:hAnsi="Times New Roman"/>
          <w:color w:val="000000"/>
          <w:sz w:val="20"/>
        </w:rPr>
        <w:t xml:space="preserve"> She relied on the 10-Year Plan despite being aware of the Partnership analyses prepared by Corporate Development using higher free cashflow growth assumptions. She reviewed these documents in preparing her report but chose not to rely on them, nor even discuss them in her report.</w:t>
      </w:r>
      <w:bookmarkStart w:id="225" w:name="co_tablefootnote_213_1"/>
      <w:hyperlink w:anchor="co_tablefootnoteblock_213_1">
        <w:r>
          <w:rPr>
            <w:rFonts w:ascii="Times New Roman" w:hAnsi="Times New Roman"/>
            <w:color w:val="000000"/>
            <w:sz w:val="16"/>
            <w:vertAlign w:val="superscript"/>
          </w:rPr>
          <w:t>213</w:t>
        </w:r>
      </w:hyperlink>
      <w:bookmarkEnd w:id="225"/>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Just as troubling as her unsupported reliance on the 10-Year Plan is how she used the 10-Year Plan to project performance of the Partnerships. This is not a case where projections exist; experts prepared their own. In preparing hers, Ms. Taylor designed her outyears to offset the effect of an increase to the long-term growth rate in her valuation models.</w:t>
      </w:r>
      <w:bookmarkStart w:id="226" w:name="co_tablefootnote_214_1"/>
      <w:hyperlink w:anchor="co_tablefootnoteblock_214_1">
        <w:r>
          <w:rPr>
            <w:rFonts w:ascii="Times New Roman" w:hAnsi="Times New Roman"/>
            <w:color w:val="000000"/>
            <w:sz w:val="16"/>
            <w:vertAlign w:val="superscript"/>
          </w:rPr>
          <w:t>214</w:t>
        </w:r>
      </w:hyperlink>
      <w:bookmarkEnd w:id="226"/>
      <w:r>
        <w:rPr>
          <w:rFonts w:ascii="Times New Roman" w:hAnsi="Times New Roman"/>
          <w:color w:val="000000"/>
          <w:sz w:val="20"/>
        </w:rPr>
        <w:t xml:space="preserve"> Ms. Barrick explained Ms. Taylor's out-year assumptions make no sense:</w:t>
      </w:r>
      <w:bookmarkStart w:id="227" w:name="co_tablefootnote_215_1"/>
      <w:hyperlink w:anchor="co_tablefootnoteblock_215_1">
        <w:r>
          <w:rPr>
            <w:rFonts w:ascii="Times New Roman" w:hAnsi="Times New Roman"/>
            <w:color w:val="000000"/>
            <w:sz w:val="16"/>
            <w:vertAlign w:val="superscript"/>
          </w:rPr>
          <w:t>215</w:t>
        </w:r>
      </w:hyperlink>
      <w:bookmarkEnd w:id="227"/>
    </w:p>
    <w:p>
      <w:pPr>
        <w:spacing w:before="0" w:after="0" w:line="275" w:lineRule="atLeast"/>
        <w:jc w:val="both"/>
      </w:pPr>
      <w:r>
        <w:rPr>
          <w:rFonts w:ascii="Times New Roman" w:hAnsi="Times New Roman"/>
          <w:color w:val="000000"/>
          <w:sz w:val="20"/>
        </w:rPr>
        <w:t> </w:t>
      </w:r>
    </w:p>
    <w:bookmarkStart w:id="228" w:name="co_anchor_I705a7e20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228"/>
    <w:p>
      <w:pPr>
        <w:spacing w:before="0" w:after="0" w:line="275" w:lineRule="atLeast"/>
        <w:jc w:val="both"/>
      </w:pPr>
      <w:r>
        <w:rPr>
          <w:rFonts w:ascii="Times New Roman" w:hAnsi="Times New Roman"/>
          <w:color w:val="000000"/>
          <w:sz w:val="20"/>
        </w:rPr>
        <w:t>[W]ell, I have never seen something like that before. I mean, usually, I'm used to seeing a growth rate that may be high in the early years, especially whenyou are talking about an industry that hasn't reached maturity ... and then that declines down to a stable growth over a projection period.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But in this case, it actually declines well below what she thinks stable growth of 1.5 percent is, and then, presumably, beginning in 2020, it pops back up to 1.5 percent.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That's a pretty odd result. I can't reconcile 2019 with all the years after at 1.5 percent.</w:t>
      </w:r>
      <w:bookmarkStart w:id="229" w:name="co_tablefootnote_216_1"/>
      <w:hyperlink w:anchor="co_tablefootnoteblock_216_1">
        <w:r>
          <w:rPr>
            <w:rFonts w:ascii="Times New Roman" w:hAnsi="Times New Roman"/>
            <w:color w:val="000000"/>
            <w:sz w:val="16"/>
            <w:vertAlign w:val="superscript"/>
          </w:rPr>
          <w:t>216</w:t>
        </w:r>
      </w:hyperlink>
      <w:bookmarkEnd w:id="229"/>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same is true for nearly every Partnership:</w:t>
      </w:r>
      <w:bookmarkStart w:id="230" w:name="co_tablefootnote_217_1"/>
      <w:hyperlink w:anchor="co_tablefootnoteblock_217_1">
        <w:r>
          <w:rPr>
            <w:rFonts w:ascii="Times New Roman" w:hAnsi="Times New Roman"/>
            <w:color w:val="000000"/>
            <w:sz w:val="16"/>
            <w:vertAlign w:val="superscript"/>
          </w:rPr>
          <w:t>217</w:t>
        </w:r>
      </w:hyperlink>
      <w:bookmarkEnd w:id="230"/>
    </w:p>
    <w:p>
      <w:pPr>
        <w:spacing w:before="0" w:after="0" w:line="275" w:lineRule="atLeast"/>
        <w:jc w:val="both"/>
      </w:pPr>
      <w:r>
        <w:rPr>
          <w:rFonts w:ascii="Times New Roman" w:hAnsi="Times New Roman"/>
          <w:color w:val="000000"/>
          <w:sz w:val="20"/>
        </w:rPr>
        <w:t> </w:t>
      </w:r>
    </w:p>
    <w:bookmarkStart w:id="231" w:name="co_anchor_I705a7e22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231"/>
    <w:p>
      <w:pPr>
        <w:spacing w:before="0" w:after="0" w:line="275" w:lineRule="atLeast"/>
        <w:jc w:val="both"/>
      </w:pPr>
      <w:r>
        <w:rPr>
          <w:rFonts w:ascii="Times New Roman" w:hAnsi="Times New Roman"/>
          <w:color w:val="000000"/>
          <w:sz w:val="20"/>
        </w:rPr>
        <w:t>The weighted</w:t>
      </w:r>
      <w:bookmarkStart w:id="232" w:name="co_tablefootnote_218_1"/>
      <w:hyperlink w:anchor="co_tablefootnoteblock_218_1">
        <w:r>
          <w:rPr>
            <w:rFonts w:ascii="Times New Roman" w:hAnsi="Times New Roman"/>
            <w:color w:val="000000"/>
            <w:sz w:val="16"/>
            <w:vertAlign w:val="superscript"/>
          </w:rPr>
          <w:t>218</w:t>
        </w:r>
      </w:hyperlink>
      <w:bookmarkEnd w:id="232"/>
      <w:r>
        <w:rPr>
          <w:rFonts w:ascii="Times New Roman" w:hAnsi="Times New Roman"/>
          <w:color w:val="000000"/>
          <w:sz w:val="20"/>
        </w:rPr>
        <w:t xml:space="preserve"> average projected compound annual growth rate of Ms. Taylor's cashflows for years 7 through 10 is -0.49%. Ms. Taylor then assumes a perpetuity growth rate that is 365% higher than the CAGR reflected in the outyears of her model. Ms. Taylor admits this is because her projected outyears do not reflect a steady-state.</w:t>
      </w:r>
      <w:bookmarkStart w:id="233" w:name="co_tablefootnote_219_1"/>
      <w:hyperlink w:anchor="co_tablefootnoteblock_219_1">
        <w:r>
          <w:rPr>
            <w:rFonts w:ascii="Times New Roman" w:hAnsi="Times New Roman"/>
            <w:color w:val="000000"/>
            <w:sz w:val="16"/>
            <w:vertAlign w:val="superscript"/>
          </w:rPr>
          <w:t>219</w:t>
        </w:r>
      </w:hyperlink>
      <w:bookmarkEnd w:id="233"/>
      <w:r>
        <w:rPr>
          <w:rFonts w:ascii="Times New Roman" w:hAnsi="Times New Roman"/>
          <w:color w:val="000000"/>
          <w:sz w:val="20"/>
        </w:rPr>
        <w:t xml:space="preserve"> She also admits AT&amp;T would have just finished an upgrade within the 3-Year Plan,</w:t>
      </w:r>
      <w:bookmarkStart w:id="234" w:name="co_tablefootnote_220_1"/>
      <w:hyperlink w:anchor="co_tablefootnoteblock_220_1">
        <w:r>
          <w:rPr>
            <w:rFonts w:ascii="Times New Roman" w:hAnsi="Times New Roman"/>
            <w:color w:val="000000"/>
            <w:sz w:val="16"/>
            <w:vertAlign w:val="superscript"/>
          </w:rPr>
          <w:t>220</w:t>
        </w:r>
      </w:hyperlink>
      <w:bookmarkEnd w:id="234"/>
      <w:r>
        <w:rPr>
          <w:rFonts w:ascii="Times New Roman" w:hAnsi="Times New Roman"/>
          <w:color w:val="000000"/>
          <w:sz w:val="20"/>
        </w:rPr>
        <w:t xml:space="preserve"> but she decided to speculate about future upgrades</w:t>
      </w:r>
      <w:bookmarkStart w:id="235" w:name="co_tablefootnote_221_1"/>
      <w:hyperlink w:anchor="co_tablefootnoteblock_221_1">
        <w:r>
          <w:rPr>
            <w:rFonts w:ascii="Times New Roman" w:hAnsi="Times New Roman"/>
            <w:color w:val="000000"/>
            <w:sz w:val="16"/>
            <w:vertAlign w:val="superscript"/>
          </w:rPr>
          <w:t>221</w:t>
        </w:r>
      </w:hyperlink>
      <w:bookmarkEnd w:id="235"/>
      <w:r>
        <w:rPr>
          <w:rFonts w:ascii="Times New Roman" w:hAnsi="Times New Roman"/>
          <w:color w:val="000000"/>
          <w:sz w:val="20"/>
        </w:rPr>
        <w:t xml:space="preserve"> while not understanding AT&amp;T had no specific plans for capital expenditures in the outyears of the 10-Year Plan.</w:t>
      </w:r>
      <w:bookmarkStart w:id="236" w:name="co_tablefootnote_222_1"/>
      <w:hyperlink w:anchor="co_tablefootnoteblock_222_1">
        <w:r>
          <w:rPr>
            <w:rFonts w:ascii="Times New Roman" w:hAnsi="Times New Roman"/>
            <w:color w:val="000000"/>
            <w:sz w:val="16"/>
            <w:vertAlign w:val="superscript"/>
          </w:rPr>
          <w:t>222</w:t>
        </w:r>
      </w:hyperlink>
      <w:bookmarkEnd w:id="236"/>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e. Long-Term Demise.</w:t>
      </w:r>
    </w:p>
    <w:p>
      <w:pPr>
        <w:spacing w:before="200" w:after="0" w:line="275" w:lineRule="atLeast"/>
        <w:jc w:val="both"/>
      </w:pPr>
      <w:r>
        <w:rPr>
          <w:rFonts w:ascii="Times New Roman" w:hAnsi="Times New Roman"/>
          <w:color w:val="000000"/>
          <w:sz w:val="20"/>
        </w:rPr>
        <w:t>Ms. Taylor's perpetuity free cashflow growth rate assumptions of 1% to 1.5% are factually and theoretically unsound. The trial record does not support her rates: she ignores the 3% perpetuity free cashflow growth rate consistently used by Corporate Development to value the Partnerships from 2008 through the date of the Transactions;</w:t>
      </w:r>
      <w:bookmarkStart w:id="237" w:name="co_tablefootnote_223_1"/>
      <w:hyperlink w:anchor="co_tablefootnoteblock_223_1">
        <w:r>
          <w:rPr>
            <w:rFonts w:ascii="Times New Roman" w:hAnsi="Times New Roman"/>
            <w:color w:val="000000"/>
            <w:sz w:val="16"/>
            <w:vertAlign w:val="superscript"/>
          </w:rPr>
          <w:t>223</w:t>
        </w:r>
      </w:hyperlink>
      <w:bookmarkEnd w:id="237"/>
      <w:r>
        <w:rPr>
          <w:rFonts w:ascii="Times New Roman" w:hAnsi="Times New Roman"/>
          <w:color w:val="000000"/>
          <w:sz w:val="20"/>
        </w:rPr>
        <w:t xml:space="preserve"> she ignores above-average population growth in the Partnership geographic areas;</w:t>
      </w:r>
      <w:bookmarkStart w:id="238" w:name="co_tablefootnote_224_1"/>
      <w:hyperlink w:anchor="co_tablefootnoteblock_224_1">
        <w:r>
          <w:rPr>
            <w:rFonts w:ascii="Times New Roman" w:hAnsi="Times New Roman"/>
            <w:color w:val="000000"/>
            <w:sz w:val="16"/>
            <w:vertAlign w:val="superscript"/>
          </w:rPr>
          <w:t>224</w:t>
        </w:r>
      </w:hyperlink>
      <w:bookmarkEnd w:id="238"/>
      <w:r>
        <w:rPr>
          <w:rFonts w:ascii="Times New Roman" w:hAnsi="Times New Roman"/>
          <w:color w:val="000000"/>
          <w:sz w:val="20"/>
        </w:rPr>
        <w:t xml:space="preserve"> and, she ignores the 2% perpetuity growth rate used by AT&amp;T for its 2010 goodwill impairment testing</w:t>
      </w:r>
      <w:bookmarkStart w:id="239" w:name="co_tablefootnote_225_1"/>
      <w:hyperlink w:anchor="co_tablefootnoteblock_225_1">
        <w:r>
          <w:rPr>
            <w:rFonts w:ascii="Times New Roman" w:hAnsi="Times New Roman"/>
            <w:color w:val="000000"/>
            <w:sz w:val="16"/>
            <w:vertAlign w:val="superscript"/>
          </w:rPr>
          <w:t>225</w:t>
        </w:r>
      </w:hyperlink>
      <w:bookmarkEnd w:id="239"/>
      <w:r>
        <w:rPr>
          <w:rFonts w:ascii="Times New Roman" w:hAnsi="Times New Roman"/>
          <w:color w:val="000000"/>
          <w:sz w:val="20"/>
        </w:rPr>
        <w:t xml:space="preserve"> - even though she relies on the 10-Year Plan and the very purpose of the 10-Year Plan was to support the goodwill impairment testing. She instead assumes significantly lower growth in perpetuity despite admitting “on balance” the Partnerships “are fairly representative of AT&amp;T as a whole.”</w:t>
      </w:r>
      <w:bookmarkStart w:id="240" w:name="co_tablefootnote_226_1"/>
      <w:hyperlink w:anchor="co_tablefootnoteblock_226_1">
        <w:r>
          <w:rPr>
            <w:rFonts w:ascii="Times New Roman" w:hAnsi="Times New Roman"/>
            <w:color w:val="000000"/>
            <w:sz w:val="16"/>
            <w:vertAlign w:val="superscript"/>
          </w:rPr>
          <w:t>226</w:t>
        </w:r>
      </w:hyperlink>
      <w:bookmarkEnd w:id="240"/>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Ms. Taylor uses a growth rate below inflation - reflecting a real risk of insolvency - without performing any analysis or opining insolvency was actually a risk.</w:t>
      </w:r>
      <w:bookmarkStart w:id="241" w:name="co_tablefootnote_227_1"/>
      <w:hyperlink w:anchor="co_tablefootnoteblock_227_1">
        <w:r>
          <w:rPr>
            <w:rFonts w:ascii="Times New Roman" w:hAnsi="Times New Roman"/>
            <w:color w:val="000000"/>
            <w:sz w:val="16"/>
            <w:vertAlign w:val="superscript"/>
          </w:rPr>
          <w:t>227</w:t>
        </w:r>
      </w:hyperlink>
      <w:bookmarkEnd w:id="241"/>
      <w:r>
        <w:rPr>
          <w:rFonts w:ascii="Times New Roman" w:hAnsi="Times New Roman"/>
          <w:color w:val="000000"/>
          <w:sz w:val="20"/>
        </w:rPr>
        <w:t xml:space="preserve"> In contrast, as AT&amp;T was planning the Transactions, Ralph de la Vega, then AT&amp;T's Mobility and Consumer Markets President, was telling the world the “industry [was] growing five times as fast as the U.S. economy;”</w:t>
      </w:r>
      <w:bookmarkStart w:id="242" w:name="co_tablefootnote_228_1"/>
      <w:hyperlink w:anchor="co_tablefootnoteblock_228_1">
        <w:r>
          <w:rPr>
            <w:rFonts w:ascii="Times New Roman" w:hAnsi="Times New Roman"/>
            <w:color w:val="000000"/>
            <w:sz w:val="16"/>
            <w:vertAlign w:val="superscript"/>
          </w:rPr>
          <w:t>228</w:t>
        </w:r>
      </w:hyperlink>
      <w:bookmarkEnd w:id="242"/>
      <w:r>
        <w:rPr>
          <w:rFonts w:ascii="Times New Roman" w:hAnsi="Times New Roman"/>
          <w:color w:val="000000"/>
          <w:sz w:val="20"/>
        </w:rPr>
        <w:t xml:space="preserve"> and the Transactions' purpose was to avoid paying profit distributions to Plaintiffs because profits were growing and a buyout now would be cheaper than a buyout later.</w:t>
      </w:r>
      <w:bookmarkStart w:id="243" w:name="co_tablefootnote_229_1"/>
      <w:hyperlink w:anchor="co_tablefootnoteblock_229_1">
        <w:r>
          <w:rPr>
            <w:rFonts w:ascii="Times New Roman" w:hAnsi="Times New Roman"/>
            <w:color w:val="000000"/>
            <w:sz w:val="16"/>
            <w:vertAlign w:val="superscript"/>
          </w:rPr>
          <w:t>229</w:t>
        </w:r>
      </w:hyperlink>
      <w:bookmarkEnd w:id="243"/>
      <w:r>
        <w:rPr>
          <w:rFonts w:ascii="Times New Roman" w:hAnsi="Times New Roman"/>
          <w:color w:val="000000"/>
          <w:sz w:val="20"/>
        </w:rPr>
        <w:t xml:space="preserve"> Both Mr. Musey and Ms. Barrick opined Ms. Taylor's assumptions were unreasonably low,</w:t>
      </w:r>
      <w:bookmarkStart w:id="244" w:name="co_tablefootnote_230_1"/>
      <w:hyperlink w:anchor="co_tablefootnoteblock_230_1">
        <w:r>
          <w:rPr>
            <w:rFonts w:ascii="Times New Roman" w:hAnsi="Times New Roman"/>
            <w:color w:val="000000"/>
            <w:sz w:val="16"/>
            <w:vertAlign w:val="superscript"/>
          </w:rPr>
          <w:t>230</w:t>
        </w:r>
      </w:hyperlink>
      <w:bookmarkEnd w:id="244"/>
      <w:r>
        <w:rPr>
          <w:rFonts w:ascii="Times New Roman" w:hAnsi="Times New Roman"/>
          <w:color w:val="000000"/>
          <w:sz w:val="20"/>
        </w:rPr>
        <w:t xml:space="preserve"> and Ms. Barrick explained at trial Ms. Taylor's industry “deflationary” claims were half-truths.</w:t>
      </w:r>
      <w:bookmarkStart w:id="245" w:name="co_tablefootnote_231_1"/>
      <w:hyperlink w:anchor="co_tablefootnoteblock_231_1">
        <w:r>
          <w:rPr>
            <w:rFonts w:ascii="Times New Roman" w:hAnsi="Times New Roman"/>
            <w:color w:val="000000"/>
            <w:sz w:val="16"/>
            <w:vertAlign w:val="superscript"/>
          </w:rPr>
          <w:t>231</w:t>
        </w:r>
      </w:hyperlink>
      <w:bookmarkEnd w:id="245"/>
      <w:r>
        <w:rPr>
          <w:rFonts w:ascii="Times New Roman" w:hAnsi="Times New Roman"/>
          <w:color w:val="000000"/>
          <w:sz w:val="20"/>
        </w:rPr>
        <w:t xml:space="preserve"> Ms. Taylor claims the wireless consumer price index is evidence that both industry revenue and free cashflow have declined on real terms historically and should be expected to decline in the long-run:</w:t>
      </w:r>
      <w:bookmarkStart w:id="246" w:name="co_tablefootnote_232_1"/>
      <w:hyperlink w:anchor="co_tablefootnoteblock_232_1">
        <w:r>
          <w:rPr>
            <w:rFonts w:ascii="Times New Roman" w:hAnsi="Times New Roman"/>
            <w:color w:val="000000"/>
            <w:sz w:val="16"/>
            <w:vertAlign w:val="superscript"/>
          </w:rPr>
          <w:t>232</w:t>
        </w:r>
      </w:hyperlink>
      <w:bookmarkEnd w:id="246"/>
    </w:p>
    <w:p>
      <w:pPr>
        <w:spacing w:before="0" w:after="0" w:line="275" w:lineRule="atLeast"/>
        <w:jc w:val="both"/>
      </w:pPr>
      <w:r>
        <w:rPr>
          <w:rFonts w:ascii="Times New Roman" w:hAnsi="Times New Roman"/>
          <w:color w:val="000000"/>
          <w:sz w:val="20"/>
        </w:rPr>
        <w:t> </w:t>
      </w:r>
    </w:p>
    <w:bookmarkStart w:id="247" w:name="co_anchor_I705a7e24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247"/>
    <w:p>
      <w:pPr>
        <w:spacing w:before="0" w:after="0" w:line="275" w:lineRule="atLeast"/>
        <w:jc w:val="both"/>
      </w:pPr>
      <w:r>
        <w:rPr>
          <w:rFonts w:ascii="Times New Roman" w:hAnsi="Times New Roman"/>
          <w:color w:val="000000"/>
          <w:sz w:val="20"/>
        </w:rPr>
        <w:t>The trial evidence showed consumer prices are only one-side of the coin. Historically, AT&amp;T's profitability margins have expanded, not contracted:</w:t>
      </w:r>
      <w:bookmarkStart w:id="248" w:name="co_tablefootnote_233_1"/>
      <w:hyperlink w:anchor="co_tablefootnoteblock_233_1">
        <w:r>
          <w:rPr>
            <w:rFonts w:ascii="Times New Roman" w:hAnsi="Times New Roman"/>
            <w:color w:val="000000"/>
            <w:sz w:val="16"/>
            <w:vertAlign w:val="superscript"/>
          </w:rPr>
          <w:t>233</w:t>
        </w:r>
      </w:hyperlink>
      <w:bookmarkEnd w:id="248"/>
    </w:p>
    <w:p>
      <w:pPr>
        <w:spacing w:before="0" w:after="0" w:line="275" w:lineRule="atLeast"/>
        <w:jc w:val="both"/>
      </w:pPr>
      <w:r>
        <w:rPr>
          <w:rFonts w:ascii="Times New Roman" w:hAnsi="Times New Roman"/>
          <w:color w:val="000000"/>
          <w:sz w:val="20"/>
        </w:rPr>
        <w:t> </w:t>
      </w:r>
    </w:p>
    <w:bookmarkStart w:id="249" w:name="co_anchor_I705a7e26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249"/>
    <w:p>
      <w:pPr>
        <w:spacing w:before="0" w:after="0" w:line="275" w:lineRule="atLeast"/>
        <w:jc w:val="both"/>
      </w:pPr>
      <w:r>
        <w:rPr>
          <w:rFonts w:ascii="Times New Roman" w:hAnsi="Times New Roman"/>
          <w:color w:val="000000"/>
          <w:sz w:val="20"/>
        </w:rPr>
        <w:t>As Ms. Barrick explained, this “means that if the prices of telecommunications services are falling, that the costs of wireless must be falling even more ... [a]nd that's what's really relevant” in projecting free cashflow.</w:t>
      </w:r>
      <w:bookmarkStart w:id="250" w:name="co_tablefootnote_234_1"/>
      <w:hyperlink w:anchor="co_tablefootnoteblock_234_1">
        <w:r>
          <w:rPr>
            <w:rFonts w:ascii="Times New Roman" w:hAnsi="Times New Roman"/>
            <w:color w:val="000000"/>
            <w:sz w:val="16"/>
            <w:vertAlign w:val="superscript"/>
          </w:rPr>
          <w:t>234</w:t>
        </w:r>
      </w:hyperlink>
      <w:bookmarkEnd w:id="250"/>
      <w:r>
        <w:rPr>
          <w:rFonts w:ascii="Times New Roman" w:hAnsi="Times New Roman"/>
          <w:color w:val="000000"/>
          <w:sz w:val="20"/>
        </w:rPr>
        <w:t xml:space="preserve"> AT&amp;T's own statements even contradict Ms. Taylor's argument: “[r]evenue is expected to decline from the 2010 forecasted growth ... to an inflationary growth rate.”</w:t>
      </w:r>
      <w:bookmarkStart w:id="251" w:name="co_tablefootnote_235_1"/>
      <w:hyperlink w:anchor="co_tablefootnoteblock_235_1">
        <w:r>
          <w:rPr>
            <w:rFonts w:ascii="Times New Roman" w:hAnsi="Times New Roman"/>
            <w:color w:val="000000"/>
            <w:sz w:val="16"/>
            <w:vertAlign w:val="superscript"/>
          </w:rPr>
          <w:t>235</w:t>
        </w:r>
      </w:hyperlink>
      <w:bookmarkEnd w:id="251"/>
      <w:r>
        <w:rPr>
          <w:rFonts w:ascii="Times New Roman" w:hAnsi="Times New Roman"/>
          <w:color w:val="000000"/>
          <w:sz w:val="20"/>
        </w:rPr>
        <w:t xml:space="preserve"> In fact, the only evidence to support Ms. Taylor's dark story of long-term growth for the Partnerships are the inputs AT&amp;T directed PwC to use in its valuation models.</w:t>
      </w:r>
      <w:bookmarkStart w:id="252" w:name="co_tablefootnote_236_1"/>
      <w:hyperlink w:anchor="co_tablefootnoteblock_236_1">
        <w:r>
          <w:rPr>
            <w:rFonts w:ascii="Times New Roman" w:hAnsi="Times New Roman"/>
            <w:color w:val="000000"/>
            <w:sz w:val="16"/>
            <w:vertAlign w:val="superscript"/>
          </w:rPr>
          <w:t>236</w:t>
        </w:r>
      </w:hyperlink>
      <w:bookmarkEnd w:id="252"/>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f. Subscriber Revenue Assumptions Are Unreliable.</w:t>
      </w:r>
    </w:p>
    <w:p>
      <w:pPr>
        <w:spacing w:before="200" w:after="0" w:line="275" w:lineRule="atLeast"/>
        <w:jc w:val="both"/>
      </w:pPr>
      <w:r>
        <w:rPr>
          <w:rFonts w:ascii="Times New Roman" w:hAnsi="Times New Roman"/>
          <w:color w:val="000000"/>
          <w:sz w:val="20"/>
        </w:rPr>
        <w:t>Ms. Taylor's subscriber projections are unreliable. Ms. Taylor uses the same flowshare model as PwC to project subscribers. Ms. Taylor explained “a Flowshare model is basically predicting the size of the pie available in a particular market to get subscribers from” and “your Flowshare is your slice of that pie.”</w:t>
      </w:r>
      <w:bookmarkStart w:id="253" w:name="co_tablefootnote_237_1"/>
      <w:hyperlink w:anchor="co_tablefootnoteblock_237_1">
        <w:r>
          <w:rPr>
            <w:rFonts w:ascii="Times New Roman" w:hAnsi="Times New Roman"/>
            <w:color w:val="000000"/>
            <w:sz w:val="16"/>
            <w:vertAlign w:val="superscript"/>
          </w:rPr>
          <w:t>237</w:t>
        </w:r>
      </w:hyperlink>
      <w:bookmarkEnd w:id="253"/>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Mr. Musey, however, explained how sensitive a flowshare model is to its inputs,</w:t>
      </w:r>
      <w:bookmarkStart w:id="254" w:name="co_tablefootnote_238_1"/>
      <w:hyperlink w:anchor="co_tablefootnoteblock_238_1">
        <w:r>
          <w:rPr>
            <w:rFonts w:ascii="Times New Roman" w:hAnsi="Times New Roman"/>
            <w:color w:val="000000"/>
            <w:sz w:val="16"/>
            <w:vertAlign w:val="superscript"/>
          </w:rPr>
          <w:t>238</w:t>
        </w:r>
      </w:hyperlink>
      <w:bookmarkEnd w:id="254"/>
      <w:r>
        <w:rPr>
          <w:rFonts w:ascii="Times New Roman" w:hAnsi="Times New Roman"/>
          <w:color w:val="000000"/>
          <w:sz w:val="20"/>
        </w:rPr>
        <w:t xml:space="preserve"> for which there are no reliable data sources for the Partnerships.</w:t>
      </w:r>
      <w:bookmarkStart w:id="255" w:name="co_tablefootnote_239_1"/>
      <w:hyperlink w:anchor="co_tablefootnoteblock_239_1">
        <w:r>
          <w:rPr>
            <w:rFonts w:ascii="Times New Roman" w:hAnsi="Times New Roman"/>
            <w:color w:val="000000"/>
            <w:sz w:val="16"/>
            <w:vertAlign w:val="superscript"/>
          </w:rPr>
          <w:t>239</w:t>
        </w:r>
      </w:hyperlink>
      <w:bookmarkEnd w:id="255"/>
      <w:r>
        <w:rPr>
          <w:rFonts w:ascii="Times New Roman" w:hAnsi="Times New Roman"/>
          <w:color w:val="000000"/>
          <w:sz w:val="20"/>
        </w:rPr>
        <w:t xml:space="preserve"> Mr. Musey also explained both Ms. Taylor and PwC understated the “size of the pie” by using unreasonably low population growth rates for the Partnerships</w:t>
      </w:r>
      <w:bookmarkStart w:id="256" w:name="co_tablefootnote_240_1"/>
      <w:hyperlink w:anchor="co_tablefootnoteblock_240_1">
        <w:r>
          <w:rPr>
            <w:rFonts w:ascii="Times New Roman" w:hAnsi="Times New Roman"/>
            <w:color w:val="000000"/>
            <w:sz w:val="16"/>
            <w:vertAlign w:val="superscript"/>
          </w:rPr>
          <w:t>240</w:t>
        </w:r>
      </w:hyperlink>
      <w:bookmarkEnd w:id="256"/>
      <w:r>
        <w:rPr>
          <w:rFonts w:ascii="Times New Roman" w:hAnsi="Times New Roman"/>
          <w:color w:val="000000"/>
          <w:sz w:val="20"/>
        </w:rPr>
        <w:t xml:space="preserve"> and understated the Partnerships' slice of the pie by, </w:t>
      </w:r>
      <w:r>
        <w:rPr>
          <w:rFonts w:ascii="Times New Roman" w:hAnsi="Times New Roman"/>
          <w:i/>
          <w:color w:val="000000"/>
          <w:sz w:val="20"/>
        </w:rPr>
        <w:t>inter alia,</w:t>
      </w:r>
      <w:r>
        <w:rPr>
          <w:rFonts w:ascii="Times New Roman" w:hAnsi="Times New Roman"/>
          <w:color w:val="000000"/>
          <w:sz w:val="20"/>
        </w:rPr>
        <w:t xml:space="preserve"> overstating each Partnership's chum. In recreating PwC's work, Ms. Taylor mistakenly believed the Partnerships had higher chum than AT&amp;T (and its competitors).</w:t>
      </w:r>
      <w:bookmarkStart w:id="257" w:name="co_tablefootnote_241_1"/>
      <w:hyperlink w:anchor="co_tablefootnoteblock_241_1">
        <w:r>
          <w:rPr>
            <w:rFonts w:ascii="Times New Roman" w:hAnsi="Times New Roman"/>
            <w:color w:val="000000"/>
            <w:sz w:val="16"/>
            <w:vertAlign w:val="superscript"/>
          </w:rPr>
          <w:t>241</w:t>
        </w:r>
      </w:hyperlink>
      <w:bookmarkEnd w:id="257"/>
      <w:r>
        <w:rPr>
          <w:rFonts w:ascii="Times New Roman" w:hAnsi="Times New Roman"/>
          <w:color w:val="000000"/>
          <w:sz w:val="20"/>
        </w:rPr>
        <w:t xml:space="preserve"> AT&amp;T's chum (and its competitors' chum), however, was reported using net reseller disconnects (</w:t>
      </w:r>
      <w:r>
        <w:rPr>
          <w:rFonts w:ascii="Times New Roman" w:hAnsi="Times New Roman"/>
          <w:i/>
          <w:color w:val="000000"/>
          <w:sz w:val="20"/>
        </w:rPr>
        <w:t>i.e.,</w:t>
      </w:r>
      <w:r>
        <w:rPr>
          <w:rFonts w:ascii="Times New Roman" w:hAnsi="Times New Roman"/>
          <w:color w:val="000000"/>
          <w:sz w:val="20"/>
        </w:rPr>
        <w:t xml:space="preserve"> chum excluding resellers) whereas Ms. Taylor used gross reseller disconnects to calculate Partnership chum (</w:t>
      </w:r>
      <w:r>
        <w:rPr>
          <w:rFonts w:ascii="Times New Roman" w:hAnsi="Times New Roman"/>
          <w:i/>
          <w:color w:val="000000"/>
          <w:sz w:val="20"/>
        </w:rPr>
        <w:t>i.e.,</w:t>
      </w:r>
      <w:r>
        <w:rPr>
          <w:rFonts w:ascii="Times New Roman" w:hAnsi="Times New Roman"/>
          <w:color w:val="000000"/>
          <w:sz w:val="20"/>
        </w:rPr>
        <w:t xml:space="preserve"> chum including resellers).</w:t>
      </w:r>
      <w:bookmarkStart w:id="258" w:name="co_tablefootnote_242_1"/>
      <w:hyperlink w:anchor="co_tablefootnoteblock_242_1">
        <w:r>
          <w:rPr>
            <w:rFonts w:ascii="Times New Roman" w:hAnsi="Times New Roman"/>
            <w:color w:val="000000"/>
            <w:sz w:val="16"/>
            <w:vertAlign w:val="superscript"/>
          </w:rPr>
          <w:t>242</w:t>
        </w:r>
      </w:hyperlink>
      <w:bookmarkEnd w:id="258"/>
      <w:r>
        <w:rPr>
          <w:rFonts w:ascii="Times New Roman" w:hAnsi="Times New Roman"/>
          <w:color w:val="000000"/>
          <w:sz w:val="20"/>
        </w:rPr>
        <w:t xml:space="preserve"> The error caused Ms. Taylor to overestimate how many subscribers each Partnership was projected to lose on a monthly basis, leading to unreasonable flowshare subscriber estimates for her projected period. Because she overstated chum, she also overstated her gross add expense.</w:t>
      </w:r>
      <w:bookmarkStart w:id="259" w:name="co_tablefootnote_243_1"/>
      <w:hyperlink w:anchor="co_tablefootnoteblock_243_1">
        <w:r>
          <w:rPr>
            <w:rFonts w:ascii="Times New Roman" w:hAnsi="Times New Roman"/>
            <w:color w:val="000000"/>
            <w:sz w:val="16"/>
            <w:vertAlign w:val="superscript"/>
          </w:rPr>
          <w:t>243</w:t>
        </w:r>
      </w:hyperlink>
      <w:bookmarkEnd w:id="259"/>
      <w:r>
        <w:rPr>
          <w:rFonts w:ascii="Times New Roman" w:hAnsi="Times New Roman"/>
          <w:color w:val="000000"/>
          <w:sz w:val="20"/>
        </w:rPr>
        <w:t xml:space="preserve"> AT&amp;T nevertheless continues to argue Ms. Barrick understated gross add expense,</w:t>
      </w:r>
      <w:bookmarkStart w:id="260" w:name="co_tablefootnote_244_1"/>
      <w:hyperlink w:anchor="co_tablefootnoteblock_244_1">
        <w:r>
          <w:rPr>
            <w:rFonts w:ascii="Times New Roman" w:hAnsi="Times New Roman"/>
            <w:color w:val="000000"/>
            <w:sz w:val="16"/>
            <w:vertAlign w:val="superscript"/>
          </w:rPr>
          <w:t>244</w:t>
        </w:r>
      </w:hyperlink>
      <w:bookmarkEnd w:id="260"/>
      <w:r>
        <w:rPr>
          <w:rFonts w:ascii="Times New Roman" w:hAnsi="Times New Roman"/>
          <w:color w:val="000000"/>
          <w:sz w:val="20"/>
        </w:rPr>
        <w:t xml:space="preserve"> ignoring its own statements and Ms. Taylor's concession on cross-examination that she did not know what she was talking about.</w:t>
      </w:r>
      <w:bookmarkStart w:id="261" w:name="co_tablefootnote_245_1"/>
      <w:hyperlink w:anchor="co_tablefootnoteblock_245_1">
        <w:r>
          <w:rPr>
            <w:rFonts w:ascii="Times New Roman" w:hAnsi="Times New Roman"/>
            <w:color w:val="000000"/>
            <w:sz w:val="16"/>
            <w:vertAlign w:val="superscript"/>
          </w:rPr>
          <w:t>245</w:t>
        </w:r>
      </w:hyperlink>
      <w:bookmarkEnd w:id="261"/>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Ms. Taylor's ARPU projections are also unreliable. Ms. Taylor stressed throughout her report and testimony that subscriber mix is the primary driver of ARPU.</w:t>
      </w:r>
      <w:bookmarkStart w:id="262" w:name="co_tablefootnote_246_1"/>
      <w:hyperlink w:anchor="co_tablefootnoteblock_246_1">
        <w:r>
          <w:rPr>
            <w:rFonts w:ascii="Times New Roman" w:hAnsi="Times New Roman"/>
            <w:color w:val="000000"/>
            <w:sz w:val="16"/>
            <w:vertAlign w:val="superscript"/>
          </w:rPr>
          <w:t>246</w:t>
        </w:r>
      </w:hyperlink>
      <w:bookmarkEnd w:id="262"/>
      <w:r>
        <w:rPr>
          <w:rFonts w:ascii="Times New Roman" w:hAnsi="Times New Roman"/>
          <w:color w:val="000000"/>
          <w:sz w:val="20"/>
        </w:rPr>
        <w:t xml:space="preserve"> Yet she did not consider why the ARPU derived by AT&amp;T's accounting for the Partnerships was so much less than the ARPU implied by the Partnerships' purported subscriber mix. In only three instances does Ms. Taylor's ARPU assumption exceed the ARPU implied by the Partnership's subscriber mix, and in each of those instances only slightly.</w:t>
      </w:r>
      <w:bookmarkStart w:id="263" w:name="co_tablefootnote_247_1"/>
      <w:hyperlink w:anchor="co_tablefootnoteblock_247_1">
        <w:r>
          <w:rPr>
            <w:rFonts w:ascii="Times New Roman" w:hAnsi="Times New Roman"/>
            <w:color w:val="000000"/>
            <w:sz w:val="16"/>
            <w:vertAlign w:val="superscript"/>
          </w:rPr>
          <w:t>247</w:t>
        </w:r>
      </w:hyperlink>
      <w:bookmarkEnd w:id="263"/>
      <w:r>
        <w:rPr>
          <w:rFonts w:ascii="Times New Roman" w:hAnsi="Times New Roman"/>
          <w:color w:val="000000"/>
          <w:sz w:val="20"/>
        </w:rPr>
        <w:t xml:space="preserve"> In eight other instances, Ms. Taylor's ARPU assumption is a substantial discount to the ARPU implied by the Partnership's subscriber mix.</w:t>
      </w:r>
      <w:bookmarkStart w:id="264" w:name="co_tablefootnote_248_1"/>
      <w:hyperlink w:anchor="co_tablefootnoteblock_248_1">
        <w:r>
          <w:rPr>
            <w:rFonts w:ascii="Times New Roman" w:hAnsi="Times New Roman"/>
            <w:color w:val="000000"/>
            <w:sz w:val="16"/>
            <w:vertAlign w:val="superscript"/>
          </w:rPr>
          <w:t>248</w:t>
        </w:r>
      </w:hyperlink>
      <w:bookmarkEnd w:id="264"/>
      <w:r>
        <w:rPr>
          <w:rFonts w:ascii="Times New Roman" w:hAnsi="Times New Roman"/>
          <w:color w:val="000000"/>
          <w:sz w:val="20"/>
        </w:rPr>
        <w:t xml:space="preserve"> Approximately 70% of Ms. Taylor's projected Partnership subscriber revenue is projected using an ARPU assumption that is less than the ARPU implied by the Partnership subscriber mix.</w:t>
      </w:r>
      <w:bookmarkStart w:id="265" w:name="co_tablefootnote_249_1"/>
      <w:hyperlink w:anchor="co_tablefootnoteblock_249_1">
        <w:r>
          <w:rPr>
            <w:rFonts w:ascii="Times New Roman" w:hAnsi="Times New Roman"/>
            <w:color w:val="000000"/>
            <w:sz w:val="16"/>
            <w:vertAlign w:val="superscript"/>
          </w:rPr>
          <w:t>249</w:t>
        </w:r>
      </w:hyperlink>
      <w:bookmarkEnd w:id="265"/>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Notwithstanding the emphasis she places on subscriber mix, Ms. Taylor assumes the Partnerships will continue to experience discounted ARPUs to what the Partnership subscriber mix implies throughout her projected period,</w:t>
      </w:r>
      <w:bookmarkStart w:id="266" w:name="co_tablefootnote_250_1"/>
      <w:hyperlink w:anchor="co_tablefootnoteblock_250_1">
        <w:r>
          <w:rPr>
            <w:rFonts w:ascii="Times New Roman" w:hAnsi="Times New Roman"/>
            <w:color w:val="000000"/>
            <w:sz w:val="16"/>
            <w:vertAlign w:val="superscript"/>
          </w:rPr>
          <w:t>250</w:t>
        </w:r>
      </w:hyperlink>
      <w:bookmarkEnd w:id="266"/>
      <w:r>
        <w:rPr>
          <w:rFonts w:ascii="Times New Roman" w:hAnsi="Times New Roman"/>
          <w:color w:val="000000"/>
          <w:sz w:val="20"/>
        </w:rPr>
        <w:t xml:space="preserve"> and forevermore.</w:t>
      </w:r>
      <w:bookmarkStart w:id="267" w:name="co_tablefootnote_251_1"/>
      <w:hyperlink w:anchor="co_tablefootnoteblock_251_1">
        <w:r>
          <w:rPr>
            <w:rFonts w:ascii="Times New Roman" w:hAnsi="Times New Roman"/>
            <w:color w:val="000000"/>
            <w:sz w:val="16"/>
            <w:vertAlign w:val="superscript"/>
          </w:rPr>
          <w:t>251</w:t>
        </w:r>
      </w:hyperlink>
      <w:bookmarkEnd w:id="267"/>
      <w:r>
        <w:rPr>
          <w:rFonts w:ascii="Times New Roman" w:hAnsi="Times New Roman"/>
          <w:color w:val="000000"/>
          <w:sz w:val="20"/>
        </w:rPr>
        <w:t xml:space="preserve"> Ms. Taylor did no analysis to determine why the disparity existed despite knowing rate and pricing plans were set by AT&amp;T on a nationwide basis to serve all AT&amp;T subscribers.</w:t>
      </w:r>
      <w:bookmarkStart w:id="268" w:name="co_tablefootnote_252_1"/>
      <w:hyperlink w:anchor="co_tablefootnoteblock_252_1">
        <w:r>
          <w:rPr>
            <w:rFonts w:ascii="Times New Roman" w:hAnsi="Times New Roman"/>
            <w:color w:val="000000"/>
            <w:sz w:val="16"/>
            <w:vertAlign w:val="superscript"/>
          </w:rPr>
          <w:t>252</w:t>
        </w:r>
      </w:hyperlink>
      <w:bookmarkEnd w:id="268"/>
      <w:r>
        <w:rPr>
          <w:rFonts w:ascii="Times New Roman" w:hAnsi="Times New Roman"/>
          <w:color w:val="000000"/>
          <w:sz w:val="20"/>
        </w:rPr>
        <w:t xml:space="preserve"> Ms. Taylor's only explanation was that she used the “actual” financial results for the Partnerships,</w:t>
      </w:r>
      <w:bookmarkStart w:id="269" w:name="co_tablefootnote_253_1"/>
      <w:hyperlink w:anchor="co_tablefootnoteblock_253_1">
        <w:r>
          <w:rPr>
            <w:rFonts w:ascii="Times New Roman" w:hAnsi="Times New Roman"/>
            <w:color w:val="000000"/>
            <w:sz w:val="16"/>
            <w:vertAlign w:val="superscript"/>
          </w:rPr>
          <w:t>253</w:t>
        </w:r>
      </w:hyperlink>
      <w:bookmarkEnd w:id="269"/>
      <w:r>
        <w:rPr>
          <w:rFonts w:ascii="Times New Roman" w:hAnsi="Times New Roman"/>
          <w:color w:val="000000"/>
          <w:sz w:val="20"/>
        </w:rPr>
        <w:t xml:space="preserve"> the same “actual” financial results AT&amp;T's accounting department prepared by playing with numbers until somebody thought it looked right,</w:t>
      </w:r>
      <w:bookmarkStart w:id="270" w:name="co_tablefootnote_254_1"/>
      <w:hyperlink w:anchor="co_tablefootnoteblock_254_1">
        <w:r>
          <w:rPr>
            <w:rFonts w:ascii="Times New Roman" w:hAnsi="Times New Roman"/>
            <w:color w:val="000000"/>
            <w:sz w:val="16"/>
            <w:vertAlign w:val="superscript"/>
          </w:rPr>
          <w:t>254</w:t>
        </w:r>
      </w:hyperlink>
      <w:bookmarkEnd w:id="270"/>
      <w:r>
        <w:rPr>
          <w:rFonts w:ascii="Times New Roman" w:hAnsi="Times New Roman"/>
          <w:color w:val="000000"/>
          <w:sz w:val="20"/>
        </w:rPr>
        <w:t xml:space="preserve"> and AT&amp;T concedes are as inaccurate as its subscriber mapping.</w:t>
      </w:r>
      <w:bookmarkStart w:id="271" w:name="co_tablefootnote_255_1"/>
      <w:hyperlink w:anchor="co_tablefootnoteblock_255_1">
        <w:r>
          <w:rPr>
            <w:rFonts w:ascii="Times New Roman" w:hAnsi="Times New Roman"/>
            <w:color w:val="000000"/>
            <w:sz w:val="16"/>
            <w:vertAlign w:val="superscript"/>
          </w:rPr>
          <w:t>255</w:t>
        </w:r>
      </w:hyperlink>
      <w:bookmarkEnd w:id="271"/>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Another striking inconsistency with Ms. Taylor's prior testimony is that she projected changes in subscriber mix here. In every instance, Ms. Taylor projects Partnerships to have a lower percentage of post-paid subscribers by the end of her projected period, with a decline of nearly 10% for Provo, Galveston and Bradenton.</w:t>
      </w:r>
      <w:bookmarkStart w:id="272" w:name="co_tablefootnote_256_1"/>
      <w:hyperlink w:anchor="co_tablefootnoteblock_256_1">
        <w:r>
          <w:rPr>
            <w:rFonts w:ascii="Times New Roman" w:hAnsi="Times New Roman"/>
            <w:color w:val="000000"/>
            <w:sz w:val="16"/>
            <w:vertAlign w:val="superscript"/>
          </w:rPr>
          <w:t>256</w:t>
        </w:r>
      </w:hyperlink>
      <w:bookmarkEnd w:id="272"/>
      <w:r>
        <w:rPr>
          <w:rFonts w:ascii="Times New Roman" w:hAnsi="Times New Roman"/>
          <w:color w:val="000000"/>
          <w:sz w:val="20"/>
        </w:rPr>
        <w:t xml:space="preserve"> These assumptions lower Partnership ARPU.</w:t>
      </w:r>
      <w:bookmarkStart w:id="273" w:name="co_tablefootnote_257_1"/>
      <w:hyperlink w:anchor="co_tablefootnoteblock_257_1">
        <w:r>
          <w:rPr>
            <w:rFonts w:ascii="Times New Roman" w:hAnsi="Times New Roman"/>
            <w:color w:val="000000"/>
            <w:sz w:val="16"/>
            <w:vertAlign w:val="superscript"/>
          </w:rPr>
          <w:t>257</w:t>
        </w:r>
      </w:hyperlink>
      <w:bookmarkEnd w:id="273"/>
      <w:r>
        <w:rPr>
          <w:rFonts w:ascii="Times New Roman" w:hAnsi="Times New Roman"/>
          <w:color w:val="000000"/>
          <w:sz w:val="20"/>
        </w:rPr>
        <w:t xml:space="preserve"> But in the Appraisal Action, Ms. Taylor claimed she did not have enough information to make this sort of projection:</w:t>
      </w:r>
      <w:bookmarkStart w:id="274" w:name="co_tablefootnote_258_1"/>
      <w:hyperlink w:anchor="co_tablefootnoteblock_258_1">
        <w:r>
          <w:rPr>
            <w:rFonts w:ascii="Times New Roman" w:hAnsi="Times New Roman"/>
            <w:color w:val="000000"/>
            <w:sz w:val="16"/>
            <w:vertAlign w:val="superscript"/>
          </w:rPr>
          <w:t>258</w:t>
        </w:r>
      </w:hyperlink>
      <w:bookmarkEnd w:id="274"/>
    </w:p>
    <w:p>
      <w:pPr>
        <w:spacing w:before="0" w:after="0" w:line="275" w:lineRule="atLeast"/>
        <w:jc w:val="both"/>
      </w:pPr>
      <w:r>
        <w:rPr>
          <w:rFonts w:ascii="Times New Roman" w:hAnsi="Times New Roman"/>
          <w:color w:val="000000"/>
          <w:sz w:val="20"/>
        </w:rPr>
        <w:t> </w:t>
      </w:r>
    </w:p>
    <w:bookmarkStart w:id="275" w:name="co_anchor_I705aa530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275"/>
    <w:p>
      <w:pPr>
        <w:spacing w:before="0" w:after="0" w:line="275" w:lineRule="atLeast"/>
        <w:jc w:val="both"/>
      </w:pPr>
      <w:r>
        <w:rPr>
          <w:rFonts w:ascii="Times New Roman" w:hAnsi="Times New Roman"/>
          <w:color w:val="000000"/>
          <w:sz w:val="20"/>
        </w:rPr>
        <w:t>Apparently, while three years and six months of information was not enough there, three years and nine months did the trick here.</w:t>
      </w:r>
      <w:bookmarkStart w:id="276" w:name="co_tablefootnote_259_1"/>
      <w:hyperlink w:anchor="co_tablefootnoteblock_259_1">
        <w:r>
          <w:rPr>
            <w:rFonts w:ascii="Times New Roman" w:hAnsi="Times New Roman"/>
            <w:color w:val="000000"/>
            <w:sz w:val="16"/>
            <w:vertAlign w:val="superscript"/>
          </w:rPr>
          <w:t>259</w:t>
        </w:r>
      </w:hyperlink>
      <w:bookmarkEnd w:id="276"/>
      <w:r>
        <w:rPr>
          <w:rFonts w:ascii="Times New Roman" w:hAnsi="Times New Roman"/>
          <w:color w:val="000000"/>
          <w:sz w:val="20"/>
        </w:rPr>
        <w:t xml:space="preserve"> Once again, trial showed Ms. Taylor is not credible, and her opinions are contrived.</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g. Market Approach Assumptions and Adjustments Are Unreliable.</w:t>
      </w:r>
    </w:p>
    <w:p>
      <w:pPr>
        <w:spacing w:before="200" w:after="0" w:line="275" w:lineRule="atLeast"/>
        <w:jc w:val="both"/>
      </w:pPr>
      <w:r>
        <w:rPr>
          <w:rFonts w:ascii="Times New Roman" w:hAnsi="Times New Roman"/>
          <w:color w:val="000000"/>
          <w:sz w:val="20"/>
        </w:rPr>
        <w:t>A market approach cannot be used to value the Partnerships. AT&amp;T has never voluntarily sold an asset like the Partnerships</w:t>
      </w:r>
      <w:bookmarkStart w:id="277" w:name="co_tablefootnote_260_1"/>
      <w:hyperlink w:anchor="co_tablefootnoteblock_260_1">
        <w:r>
          <w:rPr>
            <w:rFonts w:ascii="Times New Roman" w:hAnsi="Times New Roman"/>
            <w:color w:val="000000"/>
            <w:sz w:val="16"/>
            <w:vertAlign w:val="superscript"/>
          </w:rPr>
          <w:t>260</w:t>
        </w:r>
      </w:hyperlink>
      <w:bookmarkEnd w:id="277"/>
      <w:r>
        <w:rPr>
          <w:rFonts w:ascii="Times New Roman" w:hAnsi="Times New Roman"/>
          <w:color w:val="000000"/>
          <w:sz w:val="20"/>
        </w:rPr>
        <w:t xml:space="preserve"> and AT&amp;T claims none of its FCC license assets would ever be sold individually.</w:t>
      </w:r>
      <w:bookmarkStart w:id="278" w:name="co_tablefootnote_261_1"/>
      <w:hyperlink w:anchor="co_tablefootnoteblock_261_1">
        <w:r>
          <w:rPr>
            <w:rFonts w:ascii="Times New Roman" w:hAnsi="Times New Roman"/>
            <w:color w:val="000000"/>
            <w:sz w:val="16"/>
            <w:vertAlign w:val="superscript"/>
          </w:rPr>
          <w:t>261</w:t>
        </w:r>
      </w:hyperlink>
      <w:bookmarkEnd w:id="278"/>
      <w:r>
        <w:rPr>
          <w:rFonts w:ascii="Times New Roman" w:hAnsi="Times New Roman"/>
          <w:color w:val="000000"/>
          <w:sz w:val="20"/>
        </w:rPr>
        <w:t xml:space="preserve"> There is no evidence any other telecom company has voluntarily sold assets like the Partnerships. We know in an arm's-length transaction the price would have to be higher than the PwC Valuations because AT&amp;T was not a seller at that price.</w:t>
      </w:r>
      <w:bookmarkStart w:id="279" w:name="co_tablefootnote_262_1"/>
      <w:hyperlink w:anchor="co_tablefootnoteblock_262_1">
        <w:r>
          <w:rPr>
            <w:rFonts w:ascii="Times New Roman" w:hAnsi="Times New Roman"/>
            <w:color w:val="000000"/>
            <w:sz w:val="16"/>
            <w:vertAlign w:val="superscript"/>
          </w:rPr>
          <w:t>262</w:t>
        </w:r>
      </w:hyperlink>
      <w:bookmarkEnd w:id="279"/>
      <w:r>
        <w:rPr>
          <w:rFonts w:ascii="Times New Roman" w:hAnsi="Times New Roman"/>
          <w:color w:val="000000"/>
          <w:sz w:val="20"/>
        </w:rPr>
        <w:t xml:space="preserve"> We also know from </w:t>
      </w:r>
      <w:r>
        <w:rPr>
          <w:rFonts w:ascii="Times New Roman" w:hAnsi="Times New Roman"/>
          <w:i/>
          <w:color w:val="000000"/>
          <w:sz w:val="20"/>
        </w:rPr>
        <w:t>B&amp;L Cellular</w:t>
      </w:r>
      <w:r>
        <w:rPr>
          <w:rFonts w:ascii="Times New Roman" w:hAnsi="Times New Roman"/>
          <w:color w:val="000000"/>
          <w:sz w:val="20"/>
        </w:rPr>
        <w:t xml:space="preserve"> and AT&amp;T's step-up analysis that a hypothetical corporate buyer would have an economic incentive to pay a premium for the pass-through tax status of the Partnerships.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Accordingly, none of Ms. Taylor's selected guideline companies or transactions are comparable. As Ms. Barrick testified, the Partnerships are unique investment opportunities, “what is, in essence, a direct investment in kind of the crown jewel of AT&amp;T, which was its network,”</w:t>
      </w:r>
      <w:bookmarkStart w:id="280" w:name="co_tablefootnote_263_1"/>
      <w:hyperlink w:anchor="co_tablefootnoteblock_263_1">
        <w:r>
          <w:rPr>
            <w:rFonts w:ascii="Times New Roman" w:hAnsi="Times New Roman"/>
            <w:color w:val="000000"/>
            <w:sz w:val="16"/>
            <w:vertAlign w:val="superscript"/>
          </w:rPr>
          <w:t>263</w:t>
        </w:r>
      </w:hyperlink>
      <w:bookmarkEnd w:id="280"/>
      <w:r>
        <w:rPr>
          <w:rFonts w:ascii="Times New Roman" w:hAnsi="Times New Roman"/>
          <w:color w:val="000000"/>
          <w:sz w:val="20"/>
        </w:rPr>
        <w:t xml:space="preserve"> and tax efficient to boot.</w:t>
      </w:r>
      <w:bookmarkStart w:id="281" w:name="co_tablefootnote_264_1"/>
      <w:hyperlink w:anchor="co_tablefootnoteblock_264_1">
        <w:r>
          <w:rPr>
            <w:rFonts w:ascii="Times New Roman" w:hAnsi="Times New Roman"/>
            <w:color w:val="000000"/>
            <w:sz w:val="16"/>
            <w:vertAlign w:val="superscript"/>
          </w:rPr>
          <w:t>264</w:t>
        </w:r>
      </w:hyperlink>
      <w:bookmarkEnd w:id="281"/>
      <w:r>
        <w:rPr>
          <w:rFonts w:ascii="Times New Roman" w:hAnsi="Times New Roman"/>
          <w:color w:val="000000"/>
          <w:sz w:val="20"/>
        </w:rPr>
        <w:t xml:space="preserve"> None of Ms. Taylor's guideline companies share these unique characteristics, nor do they pay anything close to the distributions paid by the Partnerships.</w:t>
      </w:r>
      <w:bookmarkStart w:id="282" w:name="co_tablefootnote_265_1"/>
      <w:hyperlink w:anchor="co_tablefootnoteblock_265_1">
        <w:r>
          <w:rPr>
            <w:rFonts w:ascii="Times New Roman" w:hAnsi="Times New Roman"/>
            <w:color w:val="000000"/>
            <w:sz w:val="16"/>
            <w:vertAlign w:val="superscript"/>
          </w:rPr>
          <w:t>265</w:t>
        </w:r>
      </w:hyperlink>
      <w:bookmarkEnd w:id="282"/>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Court has appropriately rejected these market approaches before. Ms. Taylor's comparable company analysis includes for the most part the same selected guideline companies this Court determined to be unreliable in both the Appraisal Action (identical companies) and </w:t>
      </w:r>
      <w:r>
        <w:rPr>
          <w:rFonts w:ascii="Times New Roman" w:hAnsi="Times New Roman"/>
          <w:i/>
          <w:color w:val="000000"/>
          <w:sz w:val="20"/>
        </w:rPr>
        <w:t>B&amp;L Cellular</w:t>
      </w:r>
      <w:r>
        <w:rPr>
          <w:rFonts w:ascii="Times New Roman" w:hAnsi="Times New Roman"/>
          <w:color w:val="000000"/>
          <w:sz w:val="20"/>
        </w:rPr>
        <w:t xml:space="preserve"> (practically identical except for the addition of AT&amp;T and Verizon). Ms. Taylor's comparable transaction analysis also includes all the same transactions this Court has previously determined to be unreliable. The only exception is Ms. Taylor's addition in this case of the busted AT&amp;T/T-Mobile deal. This inclusion does not help make the analysis any more comparable to the Partnerships. It does, however, show how just how absurd of an assumption Ms. Taylor is willing to make and how contradictory her reports are here compared to </w:t>
      </w:r>
      <w:r>
        <w:rPr>
          <w:rFonts w:ascii="Times New Roman" w:hAnsi="Times New Roman"/>
          <w:i/>
          <w:color w:val="000000"/>
          <w:sz w:val="20"/>
        </w:rPr>
        <w:t>B&amp;L Cellular</w:t>
      </w:r>
      <w:r>
        <w:rPr>
          <w:rFonts w:ascii="Times New Roman" w:hAnsi="Times New Roman"/>
          <w:color w:val="000000"/>
          <w:sz w:val="20"/>
        </w:rPr>
        <w:t xml:space="preserve"> where she did not rely on the methodology because she would need to make “material adjustments ... to strip out the significant strategic premium that were included in these deals.”</w:t>
      </w:r>
      <w:bookmarkStart w:id="283" w:name="co_tablefootnote_266_1"/>
      <w:hyperlink w:anchor="co_tablefootnoteblock_266_1">
        <w:r>
          <w:rPr>
            <w:rFonts w:ascii="Times New Roman" w:hAnsi="Times New Roman"/>
            <w:color w:val="000000"/>
            <w:sz w:val="16"/>
            <w:vertAlign w:val="superscript"/>
          </w:rPr>
          <w:t>266</w:t>
        </w:r>
      </w:hyperlink>
      <w:bookmarkEnd w:id="283"/>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To derive her EBITA multiple for the AT&amp;T/T-Mobile busted deal, Ms. Taylor adds $1.8 billion to T-Mobile's trailing twelve-month profitability based on what she believed to be deal synergies.</w:t>
      </w:r>
      <w:bookmarkStart w:id="284" w:name="co_tablefootnote_267_1"/>
      <w:hyperlink w:anchor="co_tablefootnoteblock_267_1">
        <w:r>
          <w:rPr>
            <w:rFonts w:ascii="Times New Roman" w:hAnsi="Times New Roman"/>
            <w:color w:val="000000"/>
            <w:sz w:val="16"/>
            <w:vertAlign w:val="superscript"/>
          </w:rPr>
          <w:t>267</w:t>
        </w:r>
      </w:hyperlink>
      <w:bookmarkEnd w:id="284"/>
      <w:r>
        <w:rPr>
          <w:rFonts w:ascii="Times New Roman" w:hAnsi="Times New Roman"/>
          <w:color w:val="000000"/>
          <w:sz w:val="20"/>
        </w:rPr>
        <w:t xml:space="preserve"> Adding her assumed $1.8 billion of purported synergies, Ms. Taylor changes the 17. 1x EBITA multiple based on the broken deal terms to fabricate a hypothetical 9.6x EBITA multiple to apply to the Partnerships.</w:t>
      </w:r>
      <w:bookmarkStart w:id="285" w:name="co_tablefootnote_268_1"/>
      <w:hyperlink w:anchor="co_tablefootnoteblock_268_1">
        <w:r>
          <w:rPr>
            <w:rFonts w:ascii="Times New Roman" w:hAnsi="Times New Roman"/>
            <w:color w:val="000000"/>
            <w:sz w:val="16"/>
            <w:vertAlign w:val="superscript"/>
          </w:rPr>
          <w:t>268</w:t>
        </w:r>
      </w:hyperlink>
      <w:bookmarkEnd w:id="285"/>
      <w:r>
        <w:rPr>
          <w:rFonts w:ascii="Times New Roman" w:hAnsi="Times New Roman"/>
          <w:color w:val="000000"/>
          <w:sz w:val="20"/>
        </w:rPr>
        <w:t xml:space="preserve"> She does this by ignoring T-Mobile's actual financial performance and instead used a LTM EBITA that implies T-Mobile was 80% more profitable than it actually was.</w:t>
      </w:r>
      <w:bookmarkStart w:id="286" w:name="co_tablefootnote_269_1"/>
      <w:hyperlink w:anchor="co_tablefootnoteblock_269_1">
        <w:r>
          <w:rPr>
            <w:rFonts w:ascii="Times New Roman" w:hAnsi="Times New Roman"/>
            <w:color w:val="000000"/>
            <w:sz w:val="16"/>
            <w:vertAlign w:val="superscript"/>
          </w:rPr>
          <w:t>269</w:t>
        </w:r>
      </w:hyperlink>
      <w:bookmarkEnd w:id="286"/>
      <w:r>
        <w:rPr>
          <w:rFonts w:ascii="Times New Roman" w:hAnsi="Times New Roman"/>
          <w:color w:val="000000"/>
          <w:sz w:val="20"/>
        </w:rPr>
        <w:t xml:space="preserve"> Ms. Taylor testified her $1.8 billion assumption on synergistic value was based on public information. The trial record shows this is wrong, and it comes from a misinterpretation of an AT&amp;T board presentation. Ms. Taylor thought AT&amp;T expected to realize operational savings of $1.8 billion in 2012.</w:t>
      </w:r>
      <w:bookmarkStart w:id="287" w:name="co_tablefootnote_270_1"/>
      <w:hyperlink w:anchor="co_tablefootnoteblock_270_1">
        <w:r>
          <w:rPr>
            <w:rFonts w:ascii="Times New Roman" w:hAnsi="Times New Roman"/>
            <w:color w:val="000000"/>
            <w:sz w:val="16"/>
            <w:vertAlign w:val="superscript"/>
          </w:rPr>
          <w:t>270</w:t>
        </w:r>
      </w:hyperlink>
      <w:bookmarkEnd w:id="287"/>
      <w:r>
        <w:rPr>
          <w:rFonts w:ascii="Times New Roman" w:hAnsi="Times New Roman"/>
          <w:color w:val="000000"/>
          <w:sz w:val="20"/>
        </w:rPr>
        <w:t xml:space="preserve"> The “synergistic opportunities” identified by AT&amp;T, however, included “avoided spectrum acquisitions”</w:t>
      </w:r>
      <w:bookmarkStart w:id="288" w:name="co_tablefootnote_271_1"/>
      <w:hyperlink w:anchor="co_tablefootnoteblock_271_1">
        <w:r>
          <w:rPr>
            <w:rFonts w:ascii="Times New Roman" w:hAnsi="Times New Roman"/>
            <w:color w:val="000000"/>
            <w:sz w:val="16"/>
            <w:vertAlign w:val="superscript"/>
          </w:rPr>
          <w:t>271</w:t>
        </w:r>
      </w:hyperlink>
      <w:bookmarkEnd w:id="288"/>
      <w:r>
        <w:rPr>
          <w:rFonts w:ascii="Times New Roman" w:hAnsi="Times New Roman"/>
          <w:color w:val="000000"/>
          <w:sz w:val="20"/>
        </w:rPr>
        <w:t xml:space="preserve"> that were already included in its three-year plan.</w:t>
      </w:r>
      <w:bookmarkStart w:id="289" w:name="co_tablefootnote_272_1"/>
      <w:hyperlink w:anchor="co_tablefootnoteblock_272_1">
        <w:r>
          <w:rPr>
            <w:rFonts w:ascii="Times New Roman" w:hAnsi="Times New Roman"/>
            <w:color w:val="000000"/>
            <w:sz w:val="16"/>
            <w:vertAlign w:val="superscript"/>
          </w:rPr>
          <w:t>272</w:t>
        </w:r>
      </w:hyperlink>
      <w:bookmarkEnd w:id="289"/>
      <w:r>
        <w:rPr>
          <w:rFonts w:ascii="Times New Roman" w:hAnsi="Times New Roman"/>
          <w:color w:val="000000"/>
          <w:sz w:val="20"/>
        </w:rPr>
        <w:t xml:space="preserve"> It was those avoided spectrum acquisitions that were causing any estimated positive cash impact in 2012. Without them, the acquisition was estimated to have a </w:t>
      </w:r>
      <w:r>
        <w:rPr>
          <w:rFonts w:ascii="Times New Roman" w:hAnsi="Times New Roman"/>
          <w:i/>
          <w:color w:val="000000"/>
          <w:sz w:val="20"/>
          <w:u w:val="single" w:color="000000"/>
        </w:rPr>
        <w:t>negative</w:t>
      </w:r>
      <w:r>
        <w:rPr>
          <w:rFonts w:ascii="Times New Roman" w:hAnsi="Times New Roman"/>
          <w:color w:val="000000"/>
          <w:sz w:val="20"/>
        </w:rPr>
        <w:t xml:space="preserve"> cash impact of $1.8 billion in 2012:</w:t>
      </w:r>
      <w:bookmarkStart w:id="290" w:name="co_tablefootnote_273_1"/>
      <w:hyperlink w:anchor="co_tablefootnoteblock_273_1">
        <w:r>
          <w:rPr>
            <w:rFonts w:ascii="Times New Roman" w:hAnsi="Times New Roman"/>
            <w:color w:val="000000"/>
            <w:sz w:val="16"/>
            <w:vertAlign w:val="superscript"/>
          </w:rPr>
          <w:t>273</w:t>
        </w:r>
      </w:hyperlink>
      <w:bookmarkEnd w:id="290"/>
    </w:p>
    <w:p>
      <w:pPr>
        <w:spacing w:before="0" w:after="0" w:line="275" w:lineRule="atLeast"/>
        <w:jc w:val="both"/>
      </w:pPr>
      <w:r>
        <w:rPr>
          <w:rFonts w:ascii="Times New Roman" w:hAnsi="Times New Roman"/>
          <w:color w:val="000000"/>
          <w:sz w:val="20"/>
        </w:rPr>
        <w:t> </w:t>
      </w:r>
    </w:p>
    <w:bookmarkStart w:id="291" w:name="co_anchor_I705aa532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291"/>
    <w:p>
      <w:pPr>
        <w:spacing w:before="0" w:after="0" w:line="275" w:lineRule="atLeast"/>
        <w:jc w:val="both"/>
      </w:pPr>
      <w:r>
        <w:rPr>
          <w:rFonts w:ascii="Times New Roman" w:hAnsi="Times New Roman"/>
          <w:color w:val="000000"/>
          <w:sz w:val="20"/>
        </w:rPr>
        <w:t>Had Ms. Taylor understood the data she was relying on and used it correctly, her financial ju-jitsu would have indicated AT&amp;T was paying 81x Adjusted EBITA, a multiple Ms. Taylor would claim is absurd</w:t>
      </w:r>
      <w:bookmarkStart w:id="292" w:name="co_tablefootnote_274_1"/>
      <w:hyperlink w:anchor="co_tablefootnoteblock_274_1">
        <w:r>
          <w:rPr>
            <w:rFonts w:ascii="Times New Roman" w:hAnsi="Times New Roman"/>
            <w:color w:val="000000"/>
            <w:sz w:val="16"/>
            <w:vertAlign w:val="superscript"/>
          </w:rPr>
          <w:t>274</w:t>
        </w:r>
      </w:hyperlink>
      <w:bookmarkEnd w:id="292"/>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Deal context also matters. Ms. Taylor agrees. She excluded FCC divesture transactions for that very reason.</w:t>
      </w:r>
      <w:bookmarkStart w:id="293" w:name="co_tablefootnote_275_1"/>
      <w:hyperlink w:anchor="co_tablefootnoteblock_275_1">
        <w:r>
          <w:rPr>
            <w:rFonts w:ascii="Times New Roman" w:hAnsi="Times New Roman"/>
            <w:color w:val="000000"/>
            <w:sz w:val="16"/>
            <w:vertAlign w:val="superscript"/>
          </w:rPr>
          <w:t>275</w:t>
        </w:r>
      </w:hyperlink>
      <w:bookmarkEnd w:id="293"/>
      <w:r>
        <w:rPr>
          <w:rFonts w:ascii="Times New Roman" w:hAnsi="Times New Roman"/>
          <w:color w:val="000000"/>
          <w:sz w:val="20"/>
        </w:rPr>
        <w:t xml:space="preserve"> The context of AT&amp;T's price considerations for T-Mobile are not comparable to its price considerations for the Partnership minority interests. AT&amp;T knew with certainty in acquiring the Partnerships that it was acquiring free cashflow generated by its own operations with a tax advantaged purchase price. By contrast, AT&amp;T expected to invest billions of dollars in integration costs before realizing any estimate of positive operational cashflow from acquiring T-Mobile. AT&amp;T knew with certainty that it could unilaterally close on the Transactions. By contrast, AT&amp;T could not complete the T-Mobile acquisition, instead paying T-Mobile $4.3 billion for nothing and financially strengthening a key competitor.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Comparability matters in reliably applying a market approach. Here, there is none. The assets are unique; the context is unique. Adding to that Ms. Taylor's manipulative weighting of her methodologies, her failure to adjust for the premium </w:t>
      </w:r>
      <w:r>
        <w:rPr>
          <w:rFonts w:ascii="Times New Roman" w:hAnsi="Times New Roman"/>
          <w:i/>
          <w:color w:val="000000"/>
          <w:sz w:val="20"/>
          <w:u w:val="single" w:color="000000"/>
        </w:rPr>
        <w:t>she</w:t>
      </w:r>
      <w:r>
        <w:rPr>
          <w:rFonts w:ascii="Times New Roman" w:hAnsi="Times New Roman"/>
          <w:color w:val="000000"/>
          <w:sz w:val="20"/>
        </w:rPr>
        <w:t xml:space="preserve"> opined a corporate buyer would pay for the pass-through status of the Partnerships, and her willingness to make the unsupported adjustments she did make, her market approach only proves that her opinions are contrived and unreliable.</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II. PLAINTIFFS ARE ENTITLED TO $148,289,060 IN DAMAGES</w:t>
      </w:r>
      <w:bookmarkStart w:id="294" w:name="co_tablefootnote_276_1"/>
      <w:hyperlink w:anchor="co_tablefootnoteblock_276_1">
        <w:r>
          <w:rPr>
            <w:rFonts w:ascii="Times New Roman" w:hAnsi="Times New Roman"/>
            <w:b/>
            <w:color w:val="000000"/>
            <w:sz w:val="16"/>
            <w:vertAlign w:val="superscript"/>
          </w:rPr>
          <w:t>276</w:t>
        </w:r>
      </w:hyperlink>
      <w:bookmarkEnd w:id="294"/>
    </w:p>
    <w:p>
      <w:pPr>
        <w:spacing w:before="200" w:after="0" w:line="275" w:lineRule="atLeast"/>
        <w:jc w:val="both"/>
      </w:pPr>
      <w:r>
        <w:rPr>
          <w:rFonts w:ascii="Times New Roman" w:hAnsi="Times New Roman"/>
          <w:color w:val="000000"/>
          <w:sz w:val="20"/>
        </w:rPr>
        <w:t>“Once a breach has been established, this court's ‘powers are complete to fashion any form of equitable and monetary relief as may be appropriate.’ ”</w:t>
      </w:r>
      <w:bookmarkStart w:id="295" w:name="co_tablefootnote_277_1"/>
      <w:hyperlink w:anchor="co_tablefootnoteblock_277_1">
        <w:r>
          <w:rPr>
            <w:rFonts w:ascii="Times New Roman" w:hAnsi="Times New Roman"/>
            <w:color w:val="000000"/>
            <w:sz w:val="16"/>
            <w:vertAlign w:val="superscript"/>
          </w:rPr>
          <w:t>277</w:t>
        </w:r>
      </w:hyperlink>
      <w:bookmarkEnd w:id="295"/>
      <w:r>
        <w:rPr>
          <w:rFonts w:ascii="Times New Roman" w:hAnsi="Times New Roman"/>
          <w:color w:val="000000"/>
          <w:sz w:val="20"/>
        </w:rPr>
        <w:t xml:space="preserve"> Delaware “law does not require certainty in the award of damages.”</w:t>
      </w:r>
      <w:bookmarkStart w:id="296" w:name="co_tablefootnote_278_1"/>
      <w:hyperlink w:anchor="co_tablefootnoteblock_278_1">
        <w:r>
          <w:rPr>
            <w:rFonts w:ascii="Times New Roman" w:hAnsi="Times New Roman"/>
            <w:color w:val="000000"/>
            <w:sz w:val="16"/>
            <w:vertAlign w:val="superscript"/>
          </w:rPr>
          <w:t>278</w:t>
        </w:r>
      </w:hyperlink>
      <w:bookmarkEnd w:id="296"/>
      <w:r>
        <w:rPr>
          <w:rFonts w:ascii="Times New Roman" w:hAnsi="Times New Roman"/>
          <w:color w:val="000000"/>
          <w:sz w:val="20"/>
        </w:rPr>
        <w:t xml:space="preserve"> “Responsible estimates that lack mathematical certainty are permissible so long as the Court has a basis to make a responsible estimate of damages.”</w:t>
      </w:r>
      <w:bookmarkStart w:id="297" w:name="co_tablefootnote_279_1"/>
      <w:hyperlink w:anchor="co_tablefootnoteblock_279_1">
        <w:r>
          <w:rPr>
            <w:rFonts w:ascii="Times New Roman" w:hAnsi="Times New Roman"/>
            <w:color w:val="000000"/>
            <w:sz w:val="16"/>
            <w:vertAlign w:val="superscript"/>
          </w:rPr>
          <w:t>279</w:t>
        </w:r>
      </w:hyperlink>
      <w:bookmarkEnd w:id="297"/>
      <w:r>
        <w:rPr>
          <w:rFonts w:ascii="Times New Roman" w:hAnsi="Times New Roman"/>
          <w:color w:val="000000"/>
          <w:sz w:val="20"/>
        </w:rPr>
        <w:t xml:space="preserve"> Furthermore, any uncertainty in calculating damages is resolved against the wrongdoer.</w:t>
      </w:r>
      <w:bookmarkStart w:id="298" w:name="co_tablefootnote_280_1"/>
      <w:hyperlink w:anchor="co_tablefootnoteblock_280_1">
        <w:r>
          <w:rPr>
            <w:rFonts w:ascii="Times New Roman" w:hAnsi="Times New Roman"/>
            <w:color w:val="000000"/>
            <w:sz w:val="16"/>
            <w:vertAlign w:val="superscript"/>
          </w:rPr>
          <w:t>280</w:t>
        </w:r>
      </w:hyperlink>
      <w:bookmarkEnd w:id="298"/>
      <w:r>
        <w:rPr>
          <w:rFonts w:ascii="Times New Roman" w:hAnsi="Times New Roman"/>
          <w:color w:val="000000"/>
          <w:sz w:val="20"/>
        </w:rPr>
        <w:t xml:space="preserve"> In determining an appropriate damage award, the Court must consider “[f]actors such as coercion, overreaching, the misuse of confidential information, or secret conflicts (a list that is explicitly non-exclusive).” Each of those factors are present here as AT&amp;T “set out to extract value rapaciously from the minority.”</w:t>
      </w:r>
      <w:bookmarkStart w:id="299" w:name="co_tablefootnote_281_1"/>
      <w:hyperlink w:anchor="co_tablefootnoteblock_281_1">
        <w:r>
          <w:rPr>
            <w:rFonts w:ascii="Times New Roman" w:hAnsi="Times New Roman"/>
            <w:color w:val="000000"/>
            <w:sz w:val="16"/>
            <w:vertAlign w:val="superscript"/>
          </w:rPr>
          <w:t>281</w:t>
        </w:r>
      </w:hyperlink>
      <w:bookmarkEnd w:id="299"/>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a breach of fiduciary duty action like this, the Court must award damages that </w:t>
      </w:r>
      <w:r>
        <w:rPr>
          <w:rFonts w:ascii="Times New Roman" w:hAnsi="Times New Roman"/>
          <w:color w:val="000000"/>
          <w:sz w:val="20"/>
        </w:rPr>
        <w:t>“eliminate the possibility of profit flowing to defendants from the breach of the fiduciary relationship.”</w:t>
      </w:r>
      <w:bookmarkStart w:id="300" w:name="co_tablefootnote_282_1"/>
      <w:hyperlink w:anchor="co_tablefootnoteblock_282_1">
        <w:r>
          <w:rPr>
            <w:rFonts w:ascii="Times New Roman" w:hAnsi="Times New Roman"/>
            <w:color w:val="000000"/>
            <w:sz w:val="16"/>
            <w:vertAlign w:val="superscript"/>
          </w:rPr>
          <w:t>282</w:t>
        </w:r>
      </w:hyperlink>
      <w:bookmarkEnd w:id="300"/>
      <w:r>
        <w:rPr>
          <w:rFonts w:ascii="Times New Roman" w:hAnsi="Times New Roman"/>
          <w:color w:val="000000"/>
          <w:sz w:val="20"/>
        </w:rPr>
        <w:t xml:space="preserve"> “Once disloyalty has been established, the standards evolved in </w:t>
      </w:r>
      <w:r>
        <w:rPr>
          <w:rFonts w:ascii="Times New Roman" w:hAnsi="Times New Roman"/>
          <w:i/>
          <w:color w:val="000000"/>
          <w:sz w:val="20"/>
        </w:rPr>
        <w:t>Oberly v. Kirby</w:t>
      </w:r>
      <w:r>
        <w:rPr>
          <w:rFonts w:ascii="Times New Roman" w:hAnsi="Times New Roman"/>
          <w:color w:val="000000"/>
          <w:sz w:val="20"/>
        </w:rPr>
        <w:t xml:space="preserve"> and </w:t>
      </w:r>
      <w:r>
        <w:rPr>
          <w:rFonts w:ascii="Times New Roman" w:hAnsi="Times New Roman"/>
          <w:i/>
          <w:color w:val="000000"/>
          <w:sz w:val="20"/>
        </w:rPr>
        <w:t>Tri-Star</w:t>
      </w:r>
      <w:r>
        <w:rPr>
          <w:rFonts w:ascii="Times New Roman" w:hAnsi="Times New Roman"/>
          <w:color w:val="000000"/>
          <w:sz w:val="20"/>
        </w:rPr>
        <w:t xml:space="preserve"> require that a fiduciary not profit personally from his conduct, and that the beneficiary not be harmed by such conduct.”</w:t>
      </w:r>
      <w:bookmarkStart w:id="301" w:name="co_tablefootnote_283_1"/>
      <w:hyperlink w:anchor="co_tablefootnoteblock_283_1">
        <w:r>
          <w:rPr>
            <w:rFonts w:ascii="Times New Roman" w:hAnsi="Times New Roman"/>
            <w:color w:val="000000"/>
            <w:sz w:val="16"/>
            <w:vertAlign w:val="superscript"/>
          </w:rPr>
          <w:t>283</w:t>
        </w:r>
      </w:hyperlink>
      <w:bookmarkEnd w:id="301"/>
      <w:r>
        <w:rPr>
          <w:rFonts w:ascii="Times New Roman" w:hAnsi="Times New Roman"/>
          <w:color w:val="000000"/>
          <w:sz w:val="20"/>
        </w:rPr>
        <w:t xml:space="preserve"> AT&amp;T's conduct here is “exactly the type of case where ‘[t]he imposition of damages should eliminate the possibility of profit flowing to defendants from the breach of the fiduciary relationship.’ ”</w:t>
      </w:r>
      <w:bookmarkStart w:id="302" w:name="co_tablefootnote_284_1"/>
      <w:hyperlink w:anchor="co_tablefootnoteblock_284_1">
        <w:r>
          <w:rPr>
            <w:rFonts w:ascii="Times New Roman" w:hAnsi="Times New Roman"/>
            <w:color w:val="000000"/>
            <w:sz w:val="16"/>
            <w:vertAlign w:val="superscript"/>
          </w:rPr>
          <w:t>284</w:t>
        </w:r>
      </w:hyperlink>
      <w:bookmarkEnd w:id="302"/>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Ms. Barrick's $148,289,060 estimate of damages to the Minority Partners is a responsible estimate of the damages that ensures AT&amp;T does not profit from its disloyal conduct.</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 Plaintiffs' Estimation of Damages Is Responsible.</w:t>
      </w:r>
    </w:p>
    <w:p>
      <w:pPr>
        <w:spacing w:before="200" w:after="0" w:line="275" w:lineRule="atLeast"/>
        <w:jc w:val="both"/>
      </w:pPr>
      <w:r>
        <w:rPr>
          <w:rFonts w:ascii="Times New Roman" w:hAnsi="Times New Roman"/>
          <w:color w:val="000000"/>
          <w:sz w:val="20"/>
        </w:rPr>
        <w:t>Ms. Barrick's estimation of damages is a straightforward calculation of the present value of distributions the Minority Partners (and AT&amp;T) expected to receive as equity holders in the Partnerships.</w:t>
      </w:r>
      <w:bookmarkStart w:id="303" w:name="co_tablefootnote_285_1"/>
      <w:hyperlink w:anchor="co_tablefootnoteblock_285_1">
        <w:r>
          <w:rPr>
            <w:rFonts w:ascii="Times New Roman" w:hAnsi="Times New Roman"/>
            <w:color w:val="000000"/>
            <w:sz w:val="16"/>
            <w:vertAlign w:val="superscript"/>
          </w:rPr>
          <w:t>285</w:t>
        </w:r>
      </w:hyperlink>
      <w:bookmarkEnd w:id="303"/>
      <w:r>
        <w:rPr>
          <w:rFonts w:ascii="Times New Roman" w:hAnsi="Times New Roman"/>
          <w:color w:val="000000"/>
          <w:sz w:val="20"/>
        </w:rPr>
        <w:t xml:space="preserve"> Notably, AT&amp;T presented no rebuttal expert evidence on this issue: Ms. Taylor was not asked by AT&amp;T to opine on the topic.</w:t>
      </w:r>
      <w:bookmarkStart w:id="304" w:name="co_tablefootnote_286_1"/>
      <w:hyperlink w:anchor="co_tablefootnoteblock_286_1">
        <w:r>
          <w:rPr>
            <w:rFonts w:ascii="Times New Roman" w:hAnsi="Times New Roman"/>
            <w:color w:val="000000"/>
            <w:sz w:val="16"/>
            <w:vertAlign w:val="superscript"/>
          </w:rPr>
          <w:t>286</w:t>
        </w:r>
      </w:hyperlink>
      <w:bookmarkEnd w:id="304"/>
      <w:r>
        <w:rPr>
          <w:rFonts w:ascii="Times New Roman" w:hAnsi="Times New Roman"/>
          <w:color w:val="000000"/>
          <w:sz w:val="20"/>
        </w:rPr>
        <w:t xml:space="preserve"> Ms. Barrick relies on a discounted cashflow analysis to estimate damages</w:t>
      </w:r>
      <w:bookmarkStart w:id="305" w:name="co_tablefootnote_287_1"/>
      <w:hyperlink w:anchor="co_tablefootnoteblock_287_1">
        <w:r>
          <w:rPr>
            <w:rFonts w:ascii="Times New Roman" w:hAnsi="Times New Roman"/>
            <w:color w:val="000000"/>
            <w:sz w:val="16"/>
            <w:vertAlign w:val="superscript"/>
          </w:rPr>
          <w:t>287</w:t>
        </w:r>
      </w:hyperlink>
      <w:bookmarkEnd w:id="305"/>
      <w:r>
        <w:rPr>
          <w:rFonts w:ascii="Times New Roman" w:hAnsi="Times New Roman"/>
          <w:color w:val="000000"/>
          <w:sz w:val="20"/>
        </w:rPr>
        <w:t xml:space="preserve"> and Ms. Taylor disputes certain assumptions Ms. Barrick has made: (i) should damages be calculated pretax; (ii) is a projected period of three-years sufficient; (iii) are Mr. Musey's revenue projections overstated; (iv) are Ms. Barrick's expenses understated; (v) is AT&amp;T's WACC appropriate; and (vi) is 3% a reasonable long-term growth rate for purposes of calculating a terminal value.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These disputes should be resolved in the context of Plaintiffs' burden of proof: a responsible estimate, not mathematical certainty. If reasonable minds could differ on an input or assumption, but the input/assumption is not wrong or lacking foundation, the difference should be resolved in Plaintiffs' favor. When the dispute arises from uncertainty created by AT&amp;T, however, the law requires that it be resolved in Plaintiffs' favor.</w:t>
      </w:r>
      <w:bookmarkStart w:id="306" w:name="co_tablefootnote_288_1"/>
      <w:hyperlink w:anchor="co_tablefootnoteblock_288_1">
        <w:r>
          <w:rPr>
            <w:rFonts w:ascii="Times New Roman" w:hAnsi="Times New Roman"/>
            <w:color w:val="000000"/>
            <w:sz w:val="16"/>
            <w:vertAlign w:val="superscript"/>
          </w:rPr>
          <w:t>288</w:t>
        </w:r>
      </w:hyperlink>
      <w:bookmarkEnd w:id="306"/>
      <w:r>
        <w:rPr>
          <w:rFonts w:ascii="Times New Roman" w:hAnsi="Times New Roman"/>
          <w:color w:val="000000"/>
          <w:sz w:val="20"/>
        </w:rPr>
        <w:t xml:space="preserve"> With this framework in mind, each dispute must be resolved in Plaintiffs' favor.</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1. Damages Should Be Calculated Pre-Tax.</w:t>
      </w:r>
    </w:p>
    <w:p>
      <w:pPr>
        <w:spacing w:before="200" w:after="0" w:line="275" w:lineRule="atLeast"/>
        <w:jc w:val="both"/>
      </w:pPr>
      <w:r>
        <w:rPr>
          <w:rFonts w:ascii="Times New Roman" w:hAnsi="Times New Roman"/>
          <w:color w:val="000000"/>
          <w:sz w:val="20"/>
        </w:rPr>
        <w:t>Ms. Barrick - an expert on the subject of calculating damages - explained in her report and testified at trial that “damage awards are given pre-tax, so that after paying the tax, the plaintiff is whole.”</w:t>
      </w:r>
      <w:bookmarkStart w:id="307" w:name="co_tablefootnote_289_1"/>
      <w:hyperlink w:anchor="co_tablefootnoteblock_289_1">
        <w:r>
          <w:rPr>
            <w:rFonts w:ascii="Times New Roman" w:hAnsi="Times New Roman"/>
            <w:color w:val="000000"/>
            <w:sz w:val="16"/>
            <w:vertAlign w:val="superscript"/>
          </w:rPr>
          <w:t>289</w:t>
        </w:r>
      </w:hyperlink>
      <w:bookmarkEnd w:id="307"/>
      <w:r>
        <w:rPr>
          <w:rFonts w:ascii="Times New Roman" w:hAnsi="Times New Roman"/>
          <w:color w:val="000000"/>
          <w:sz w:val="20"/>
        </w:rPr>
        <w:t xml:space="preserve"> As argued pre-trial and above, that, among other reasons, is why </w:t>
      </w:r>
      <w:r>
        <w:rPr>
          <w:rFonts w:ascii="Times New Roman" w:hAnsi="Times New Roman"/>
          <w:i/>
          <w:color w:val="000000"/>
          <w:sz w:val="20"/>
        </w:rPr>
        <w:t>Radiology Associates</w:t>
      </w:r>
      <w:r>
        <w:rPr>
          <w:rFonts w:ascii="Times New Roman" w:hAnsi="Times New Roman"/>
          <w:color w:val="000000"/>
          <w:sz w:val="20"/>
        </w:rPr>
        <w:t xml:space="preserve"> controls here.</w:t>
      </w:r>
      <w:bookmarkStart w:id="308" w:name="co_tablefootnote_290_1"/>
      <w:hyperlink w:anchor="co_tablefootnoteblock_290_1">
        <w:r>
          <w:rPr>
            <w:rFonts w:ascii="Times New Roman" w:hAnsi="Times New Roman"/>
            <w:color w:val="000000"/>
            <w:sz w:val="16"/>
            <w:vertAlign w:val="superscript"/>
          </w:rPr>
          <w:t>290</w:t>
        </w:r>
      </w:hyperlink>
      <w:bookmarkEnd w:id="308"/>
      <w:r>
        <w:rPr>
          <w:rFonts w:ascii="Times New Roman" w:hAnsi="Times New Roman"/>
          <w:color w:val="000000"/>
          <w:sz w:val="20"/>
        </w:rPr>
        <w:t xml:space="preserve"> AT&amp;T has never joined issue on this topic. To the contrary, Ms. Taylor conceded that a damage estimate is not what she was asked to prepare</w:t>
      </w:r>
      <w:bookmarkStart w:id="309" w:name="co_tablefootnote_291_1"/>
      <w:hyperlink w:anchor="co_tablefootnoteblock_291_1">
        <w:r>
          <w:rPr>
            <w:rFonts w:ascii="Times New Roman" w:hAnsi="Times New Roman"/>
            <w:color w:val="000000"/>
            <w:sz w:val="16"/>
            <w:vertAlign w:val="superscript"/>
          </w:rPr>
          <w:t>291</w:t>
        </w:r>
      </w:hyperlink>
      <w:bookmarkEnd w:id="309"/>
      <w:r>
        <w:rPr>
          <w:rFonts w:ascii="Times New Roman" w:hAnsi="Times New Roman"/>
          <w:color w:val="000000"/>
          <w:sz w:val="20"/>
        </w:rPr>
        <w:t xml:space="preserve"> and that she does not have an understanding as to what the measure of damage is for a breach of duty of loyalty.</w:t>
      </w:r>
      <w:bookmarkStart w:id="310" w:name="co_tablefootnote_292_1"/>
      <w:hyperlink w:anchor="co_tablefootnoteblock_292_1">
        <w:r>
          <w:rPr>
            <w:rFonts w:ascii="Times New Roman" w:hAnsi="Times New Roman"/>
            <w:color w:val="000000"/>
            <w:sz w:val="16"/>
            <w:vertAlign w:val="superscript"/>
          </w:rPr>
          <w:t>292</w:t>
        </w:r>
      </w:hyperlink>
      <w:bookmarkEnd w:id="310"/>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Delaware courts have long-held that appropriate relief from a breach of loyalty is rescissory damage.</w:t>
      </w:r>
      <w:bookmarkStart w:id="311" w:name="co_tablefootnote_293_1"/>
      <w:hyperlink w:anchor="co_tablefootnoteblock_293_1">
        <w:r>
          <w:rPr>
            <w:rFonts w:ascii="Times New Roman" w:hAnsi="Times New Roman"/>
            <w:color w:val="000000"/>
            <w:sz w:val="16"/>
            <w:vertAlign w:val="superscript"/>
          </w:rPr>
          <w:t>293</w:t>
        </w:r>
      </w:hyperlink>
      <w:bookmarkEnd w:id="311"/>
      <w:r>
        <w:rPr>
          <w:rFonts w:ascii="Times New Roman" w:hAnsi="Times New Roman"/>
          <w:color w:val="000000"/>
          <w:sz w:val="20"/>
        </w:rPr>
        <w:t xml:space="preserve"> The purpose of this relief is to “to restore the plaintiff-beneficiary to the position it could have been in had the plaintiff or a faithful fiduciary exercised control over the property in the interim.”</w:t>
      </w:r>
      <w:bookmarkStart w:id="312" w:name="co_tablefootnote_294_1"/>
      <w:hyperlink w:anchor="co_tablefootnoteblock_294_1">
        <w:r>
          <w:rPr>
            <w:rFonts w:ascii="Times New Roman" w:hAnsi="Times New Roman"/>
            <w:color w:val="000000"/>
            <w:sz w:val="16"/>
            <w:vertAlign w:val="superscript"/>
          </w:rPr>
          <w:t>294</w:t>
        </w:r>
      </w:hyperlink>
      <w:bookmarkEnd w:id="312"/>
      <w:r>
        <w:rPr>
          <w:rFonts w:ascii="Times New Roman" w:hAnsi="Times New Roman"/>
          <w:color w:val="000000"/>
          <w:sz w:val="20"/>
        </w:rPr>
        <w:t xml:space="preserve"> Ms. Barrick's damage estimate is the financial equivalent of restoring the Minority Partners to the position they could have been in had AT&amp;T not breached its duty of loyalty to them.</w:t>
      </w:r>
      <w:bookmarkStart w:id="313" w:name="co_tablefootnote_295_1"/>
      <w:hyperlink w:anchor="co_tablefootnoteblock_295_1">
        <w:r>
          <w:rPr>
            <w:rFonts w:ascii="Times New Roman" w:hAnsi="Times New Roman"/>
            <w:color w:val="000000"/>
            <w:sz w:val="16"/>
            <w:vertAlign w:val="superscript"/>
          </w:rPr>
          <w:t>295</w:t>
        </w:r>
      </w:hyperlink>
      <w:bookmarkEnd w:id="313"/>
      <w:r>
        <w:rPr>
          <w:rFonts w:ascii="Times New Roman" w:hAnsi="Times New Roman"/>
          <w:color w:val="000000"/>
          <w:sz w:val="20"/>
        </w:rPr>
        <w:t xml:space="preserve"> That is the very intent of Ms. Barrick's analysis. Ms. Barrick's damage estimate also ensures that AT&amp;T is disgorged of wrongful profits. Again, this is the purpose of rescissory damages, “to force the defendant to disgorge profits that the defendant may have achieved through the wrongful retention of the plaintiffs property.”</w:t>
      </w:r>
      <w:bookmarkStart w:id="314" w:name="co_tablefootnote_296_1"/>
      <w:hyperlink w:anchor="co_tablefootnoteblock_296_1">
        <w:r>
          <w:rPr>
            <w:rFonts w:ascii="Times New Roman" w:hAnsi="Times New Roman"/>
            <w:color w:val="000000"/>
            <w:sz w:val="16"/>
            <w:vertAlign w:val="superscript"/>
          </w:rPr>
          <w:t>296</w:t>
        </w:r>
      </w:hyperlink>
      <w:bookmarkEnd w:id="314"/>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Following </w:t>
      </w:r>
      <w:r>
        <w:rPr>
          <w:rFonts w:ascii="Times New Roman" w:hAnsi="Times New Roman"/>
          <w:i/>
          <w:color w:val="000000"/>
          <w:sz w:val="20"/>
        </w:rPr>
        <w:t>Delaware Open MRI</w:t>
      </w:r>
      <w:r>
        <w:rPr>
          <w:rFonts w:ascii="Times New Roman" w:hAnsi="Times New Roman"/>
          <w:color w:val="000000"/>
          <w:sz w:val="20"/>
        </w:rPr>
        <w:t xml:space="preserve"> here does not achieve these important policy goals and instead leaves AT&amp;T with “ill-gotten gains,” encouraging rather than “discourag[ing] disloyalty.”</w:t>
      </w:r>
      <w:bookmarkStart w:id="315" w:name="co_tablefootnote_297_1"/>
      <w:hyperlink w:anchor="co_tablefootnoteblock_297_1">
        <w:r>
          <w:rPr>
            <w:rFonts w:ascii="Times New Roman" w:hAnsi="Times New Roman"/>
            <w:color w:val="000000"/>
            <w:sz w:val="16"/>
            <w:vertAlign w:val="superscript"/>
          </w:rPr>
          <w:t>297</w:t>
        </w:r>
      </w:hyperlink>
      <w:bookmarkEnd w:id="315"/>
      <w:r>
        <w:rPr>
          <w:rFonts w:ascii="Times New Roman" w:hAnsi="Times New Roman"/>
          <w:color w:val="000000"/>
          <w:sz w:val="20"/>
        </w:rPr>
        <w:t xml:space="preserve"> As Plaintiffs have explained, application of </w:t>
      </w:r>
      <w:r>
        <w:rPr>
          <w:rFonts w:ascii="Times New Roman" w:hAnsi="Times New Roman"/>
          <w:i/>
          <w:color w:val="000000"/>
          <w:sz w:val="20"/>
        </w:rPr>
        <w:t>Delaware Open MRI</w:t>
      </w:r>
      <w:r>
        <w:rPr>
          <w:rFonts w:ascii="Times New Roman" w:hAnsi="Times New Roman"/>
          <w:color w:val="000000"/>
          <w:sz w:val="20"/>
        </w:rPr>
        <w:t xml:space="preserve"> results in a controller retaining a 20% “ill-gotten gain.”</w:t>
      </w:r>
      <w:bookmarkStart w:id="316" w:name="co_tablefootnote_298_1"/>
      <w:hyperlink w:anchor="co_tablefootnoteblock_298_1">
        <w:r>
          <w:rPr>
            <w:rFonts w:ascii="Times New Roman" w:hAnsi="Times New Roman"/>
            <w:color w:val="000000"/>
            <w:sz w:val="16"/>
            <w:vertAlign w:val="superscript"/>
          </w:rPr>
          <w:t>298</w:t>
        </w:r>
      </w:hyperlink>
      <w:bookmarkEnd w:id="316"/>
      <w:r>
        <w:rPr>
          <w:rFonts w:ascii="Times New Roman" w:hAnsi="Times New Roman"/>
          <w:color w:val="000000"/>
          <w:sz w:val="20"/>
        </w:rPr>
        <w:t xml:space="preserve"> It is easy to understand why: in reality, when distributions are made by a partnership and taxed, the tax paid by the investor goes to the government; but when a hypothetical tax is assumed to be paid under </w:t>
      </w:r>
      <w:r>
        <w:rPr>
          <w:rFonts w:ascii="Times New Roman" w:hAnsi="Times New Roman"/>
          <w:i/>
          <w:color w:val="000000"/>
          <w:sz w:val="20"/>
        </w:rPr>
        <w:t>Delaware Open MRI,</w:t>
      </w:r>
      <w:r>
        <w:rPr>
          <w:rFonts w:ascii="Times New Roman" w:hAnsi="Times New Roman"/>
          <w:color w:val="000000"/>
          <w:sz w:val="20"/>
        </w:rPr>
        <w:t xml:space="preserve"> the hypothetically paid tax in reality stays in the pocket of the wrongdoer.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other short-coming </w:t>
      </w:r>
      <w:r>
        <w:rPr>
          <w:rFonts w:ascii="Times New Roman" w:hAnsi="Times New Roman"/>
          <w:i/>
          <w:color w:val="000000"/>
          <w:sz w:val="20"/>
        </w:rPr>
        <w:t>of Delaware Open</w:t>
      </w:r>
      <w:r>
        <w:rPr>
          <w:rFonts w:ascii="Times New Roman" w:hAnsi="Times New Roman"/>
          <w:color w:val="000000"/>
          <w:sz w:val="20"/>
        </w:rPr>
        <w:t xml:space="preserve"> M</w:t>
      </w:r>
      <w:r>
        <w:rPr>
          <w:rFonts w:ascii="Times New Roman" w:hAnsi="Times New Roman"/>
          <w:i/>
          <w:color w:val="000000"/>
          <w:sz w:val="20"/>
        </w:rPr>
        <w:t>RI</w:t>
      </w:r>
      <w:r>
        <w:rPr>
          <w:rFonts w:ascii="Times New Roman" w:hAnsi="Times New Roman"/>
          <w:color w:val="000000"/>
          <w:sz w:val="20"/>
        </w:rPr>
        <w:t xml:space="preserve"> is that it only considered the valuable tax benefits of a pass-through entity from the selling partner's perspective, and not the perspective of the faithless fiduciary that acquires the minority interest unfairly. The court did not consider, for example, the valuable step-up tax-benefit a corporate buyer gains for such a transaction.</w:t>
      </w:r>
      <w:bookmarkStart w:id="317" w:name="co_tablefootnote_299_1"/>
      <w:hyperlink w:anchor="co_tablefootnoteblock_299_1">
        <w:r>
          <w:rPr>
            <w:rFonts w:ascii="Times New Roman" w:hAnsi="Times New Roman"/>
            <w:color w:val="000000"/>
            <w:sz w:val="16"/>
            <w:vertAlign w:val="superscript"/>
          </w:rPr>
          <w:t>299</w:t>
        </w:r>
      </w:hyperlink>
      <w:bookmarkEnd w:id="317"/>
      <w:r>
        <w:rPr>
          <w:rFonts w:ascii="Times New Roman" w:hAnsi="Times New Roman"/>
          <w:color w:val="000000"/>
          <w:sz w:val="20"/>
        </w:rPr>
        <w:t xml:space="preserve"> In contrast, here, the trial record puts that benefit directly at issue: AT&amp;T's step-up tax benefit analysis shows if AT&amp;T paid $76 million to cash out its partners it would enjoy a tax shield with a present value to AT&amp;T (at AT&amp;T's WACC) of $18.9 million, making AT&amp;T's net cost only $57.1 million (75% of $76 million).</w:t>
      </w:r>
      <w:bookmarkStart w:id="318" w:name="co_tablefootnote_300_1"/>
      <w:hyperlink w:anchor="co_tablefootnoteblock_300_1">
        <w:r>
          <w:rPr>
            <w:rFonts w:ascii="Times New Roman" w:hAnsi="Times New Roman"/>
            <w:color w:val="000000"/>
            <w:sz w:val="16"/>
            <w:vertAlign w:val="superscript"/>
          </w:rPr>
          <w:t>300</w:t>
        </w:r>
      </w:hyperlink>
      <w:bookmarkEnd w:id="318"/>
      <w:r>
        <w:rPr>
          <w:rFonts w:ascii="Times New Roman" w:hAnsi="Times New Roman"/>
          <w:color w:val="000000"/>
          <w:sz w:val="20"/>
        </w:rPr>
        <w:t xml:space="preserve"> AT&amp;T recognized that this benefit was unique to acquiring the Partnership interests, and there is “no step-up on the purchase of shares in any of the corporations.”</w:t>
      </w:r>
      <w:bookmarkStart w:id="319" w:name="co_tablefootnote_301_1"/>
      <w:hyperlink w:anchor="co_tablefootnoteblock_301_1">
        <w:r>
          <w:rPr>
            <w:rFonts w:ascii="Times New Roman" w:hAnsi="Times New Roman"/>
            <w:color w:val="000000"/>
            <w:sz w:val="16"/>
            <w:vertAlign w:val="superscript"/>
          </w:rPr>
          <w:t>301</w:t>
        </w:r>
      </w:hyperlink>
      <w:bookmarkEnd w:id="319"/>
      <w:r>
        <w:rPr>
          <w:rFonts w:ascii="Times New Roman" w:hAnsi="Times New Roman"/>
          <w:color w:val="000000"/>
          <w:sz w:val="20"/>
        </w:rPr>
        <w:t xml:space="preserve"> As AT&amp;T's workpapers show, while AT&amp;T paid the PwC Valuation prices for the corporate minority interests, AT&amp;T recognized that for the Partnership minority interests it would only pay 75% of the PwC Valuation prices because its cash outlay was offset by the tax shield.</w:t>
      </w:r>
      <w:bookmarkStart w:id="320" w:name="co_tablefootnote_302_1"/>
      <w:hyperlink w:anchor="co_tablefootnoteblock_302_1">
        <w:r>
          <w:rPr>
            <w:rFonts w:ascii="Times New Roman" w:hAnsi="Times New Roman"/>
            <w:color w:val="000000"/>
            <w:sz w:val="16"/>
            <w:vertAlign w:val="superscript"/>
          </w:rPr>
          <w:t>302</w:t>
        </w:r>
      </w:hyperlink>
      <w:bookmarkEnd w:id="320"/>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This shows that a corporate buyer with a similar WACC and marginal tax rate as AT&amp;T (as of the time of the Transactions) would pay approximately 33% more for pass-through partnership cashflows than it would be willing to pay for corporate taxed cashflows. AT&amp;T paid nothing and kept that premium for itself.</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Ensuring disgorgement is therefore especially appropriate here. In breaching its duty of loyalty, AT&amp;T knew that (i) under Delaware law the tax benefit value of the pass-through status of the Partnerships would be recognized and attributed to the Minority Partners as part of the fair value of their interests in the Partnerships and (ii) that </w:t>
      </w:r>
      <w:r>
        <w:rPr>
          <w:rFonts w:ascii="Times New Roman" w:hAnsi="Times New Roman"/>
          <w:i/>
          <w:color w:val="000000"/>
          <w:sz w:val="20"/>
        </w:rPr>
        <w:t>Delaware Open MRI</w:t>
      </w:r>
      <w:r>
        <w:rPr>
          <w:rFonts w:ascii="Times New Roman" w:hAnsi="Times New Roman"/>
          <w:color w:val="000000"/>
          <w:sz w:val="20"/>
        </w:rPr>
        <w:t xml:space="preserve"> provided a widely accepted methodology to conservatively account for that value from the seller's perspective, yet AT&amp;T instructed PwC to ignore the methodology. AT&amp;T's deliberate choice to keep the valuable tax-benefit for itself should not be rewarded with a mulligan.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AT&amp;T argues this is a windfall for Plaintiffs because “actual distributions are taxed as income” and “any damage award based on the transaction price would be taxed at a lower capital gains rate.”</w:t>
      </w:r>
      <w:bookmarkStart w:id="321" w:name="co_tablefootnote_303_1"/>
      <w:hyperlink w:anchor="co_tablefootnoteblock_303_1">
        <w:r>
          <w:rPr>
            <w:rFonts w:ascii="Times New Roman" w:hAnsi="Times New Roman"/>
            <w:color w:val="000000"/>
            <w:sz w:val="16"/>
            <w:vertAlign w:val="superscript"/>
          </w:rPr>
          <w:t>303</w:t>
        </w:r>
      </w:hyperlink>
      <w:bookmarkEnd w:id="321"/>
      <w:r>
        <w:rPr>
          <w:rFonts w:ascii="Times New Roman" w:hAnsi="Times New Roman"/>
          <w:color w:val="000000"/>
          <w:sz w:val="20"/>
        </w:rPr>
        <w:t xml:space="preserve"> But rescissory damages are designed to disgorge the wrongdoer's ill-gotten gains, even if the wronged party may end up in better position than the </w:t>
      </w:r>
      <w:r>
        <w:rPr>
          <w:rFonts w:ascii="Times New Roman" w:hAnsi="Times New Roman"/>
          <w:i/>
          <w:color w:val="000000"/>
          <w:sz w:val="20"/>
        </w:rPr>
        <w:t>status que ante.</w:t>
      </w:r>
      <w:bookmarkStart w:id="322" w:name="co_tablefootnote_304_1"/>
      <w:hyperlink w:anchor="co_tablefootnoteblock_304_1">
        <w:r>
          <w:rPr>
            <w:rFonts w:ascii="Times New Roman" w:hAnsi="Times New Roman"/>
            <w:color w:val="000000"/>
            <w:sz w:val="16"/>
            <w:vertAlign w:val="superscript"/>
          </w:rPr>
          <w:t>304</w:t>
        </w:r>
      </w:hyperlink>
      <w:bookmarkEnd w:id="322"/>
      <w:r>
        <w:rPr>
          <w:rFonts w:ascii="Times New Roman" w:hAnsi="Times New Roman"/>
          <w:color w:val="000000"/>
          <w:sz w:val="20"/>
        </w:rPr>
        <w:t xml:space="preserve"> As a matter of policy, Delaware law has determined that this is preferable to letting the wrongdoer keep ill-gotten gains.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any event, AT&amp;T has not presented evidence of a windfall, and the trial record does not show that AT&amp;T could have extracted the tax benefits it kept for itself in an arm's-length negotiation. In an arm's-length negotiation, a selling partner with the ability to say no would rely on </w:t>
      </w:r>
      <w:r>
        <w:rPr>
          <w:rFonts w:ascii="Times New Roman" w:hAnsi="Times New Roman"/>
          <w:i/>
          <w:color w:val="000000"/>
          <w:sz w:val="20"/>
        </w:rPr>
        <w:t>Radiology Associates,</w:t>
      </w:r>
      <w:r>
        <w:rPr>
          <w:rFonts w:ascii="Times New Roman" w:hAnsi="Times New Roman"/>
          <w:color w:val="000000"/>
          <w:sz w:val="20"/>
        </w:rPr>
        <w:t xml:space="preserve"> and not discount the value of their interest by a hypothetical tax rate as the Court did in </w:t>
      </w:r>
      <w:r>
        <w:rPr>
          <w:rFonts w:ascii="Times New Roman" w:hAnsi="Times New Roman"/>
          <w:i/>
          <w:color w:val="000000"/>
          <w:sz w:val="20"/>
        </w:rPr>
        <w:t>Delaware Open MRI.</w:t>
      </w:r>
      <w:r>
        <w:rPr>
          <w:rFonts w:ascii="Times New Roman" w:hAnsi="Times New Roman"/>
          <w:color w:val="000000"/>
          <w:sz w:val="20"/>
        </w:rPr>
        <w:t xml:space="preserve"> Even if the seller considered </w:t>
      </w:r>
      <w:r>
        <w:rPr>
          <w:rFonts w:ascii="Times New Roman" w:hAnsi="Times New Roman"/>
          <w:i/>
          <w:color w:val="000000"/>
          <w:sz w:val="20"/>
        </w:rPr>
        <w:t>Delaware Open MRI,</w:t>
      </w:r>
      <w:r>
        <w:rPr>
          <w:rFonts w:ascii="Times New Roman" w:hAnsi="Times New Roman"/>
          <w:color w:val="000000"/>
          <w:sz w:val="20"/>
        </w:rPr>
        <w:t xml:space="preserve"> the seller would recognize that the “hypothetical” tax was real value left in AT&amp;T's pocket, rather than being paid to the government. The seller would also recognize </w:t>
      </w:r>
      <w:r>
        <w:rPr>
          <w:rFonts w:ascii="Times New Roman" w:hAnsi="Times New Roman"/>
          <w:i/>
          <w:color w:val="000000"/>
          <w:sz w:val="20"/>
        </w:rPr>
        <w:t>Delaware Open MRI</w:t>
      </w:r>
      <w:r>
        <w:rPr>
          <w:rFonts w:ascii="Times New Roman" w:hAnsi="Times New Roman"/>
          <w:color w:val="000000"/>
          <w:sz w:val="20"/>
        </w:rPr>
        <w:t xml:space="preserve"> unduly discounted its interests by assuming the highest personal income tax rate where a retiree or tax efficient beneficial trust, such as many of the Plaintiffs here, had no reasonable expectation to pay materially more than the capital gains tax rate on future distributions. In other words, an arm's-length negotiation would have ended with a deal value at least as high as </w:t>
      </w:r>
      <w:r>
        <w:rPr>
          <w:rFonts w:ascii="Times New Roman" w:hAnsi="Times New Roman"/>
          <w:i/>
          <w:color w:val="000000"/>
          <w:sz w:val="20"/>
        </w:rPr>
        <w:t>Radiology Associates</w:t>
      </w:r>
      <w:r>
        <w:rPr>
          <w:rFonts w:ascii="Times New Roman" w:hAnsi="Times New Roman"/>
          <w:color w:val="000000"/>
          <w:sz w:val="20"/>
        </w:rPr>
        <w:t xml:space="preserve"> or somewhere between </w:t>
      </w:r>
      <w:r>
        <w:rPr>
          <w:rFonts w:ascii="Times New Roman" w:hAnsi="Times New Roman"/>
          <w:i/>
          <w:color w:val="000000"/>
          <w:sz w:val="20"/>
        </w:rPr>
        <w:t>Delaware Open MRI</w:t>
      </w:r>
      <w:r>
        <w:rPr>
          <w:rFonts w:ascii="Times New Roman" w:hAnsi="Times New Roman"/>
          <w:color w:val="000000"/>
          <w:sz w:val="20"/>
        </w:rPr>
        <w:t xml:space="preserve"> and </w:t>
      </w:r>
      <w:r>
        <w:rPr>
          <w:rFonts w:ascii="Times New Roman" w:hAnsi="Times New Roman"/>
          <w:i/>
          <w:color w:val="000000"/>
          <w:sz w:val="20"/>
        </w:rPr>
        <w:t>Radiology Associates.</w:t>
      </w:r>
      <w:r>
        <w:rPr>
          <w:rFonts w:ascii="Times New Roman" w:hAnsi="Times New Roman"/>
          <w:color w:val="000000"/>
          <w:sz w:val="20"/>
        </w:rPr>
        <w:t xml:space="preserve"> And, from the buyer's perspective, AT&amp;T had the economic incentive from the tax-shield benefit to pay the price.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Applying </w:t>
      </w:r>
      <w:r>
        <w:rPr>
          <w:rFonts w:ascii="Times New Roman" w:hAnsi="Times New Roman"/>
          <w:i/>
          <w:color w:val="000000"/>
          <w:sz w:val="20"/>
        </w:rPr>
        <w:t>Radiology Associates</w:t>
      </w:r>
      <w:r>
        <w:rPr>
          <w:rFonts w:ascii="Times New Roman" w:hAnsi="Times New Roman"/>
          <w:color w:val="000000"/>
          <w:sz w:val="20"/>
        </w:rPr>
        <w:t xml:space="preserve"> here therefore awards damages of no more than what any willing hypothetical seller in Plaintiffs' position would have negotiated hard to obtain.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only other criticism AT&amp;T makes relating to tax is that Ms. Barrick uses a tax-effected WACC while not tax-effecting cashflows.</w:t>
      </w:r>
      <w:bookmarkStart w:id="323" w:name="co_tablefootnote_305_1"/>
      <w:hyperlink w:anchor="co_tablefootnoteblock_305_1">
        <w:r>
          <w:rPr>
            <w:rFonts w:ascii="Times New Roman" w:hAnsi="Times New Roman"/>
            <w:color w:val="000000"/>
            <w:sz w:val="16"/>
            <w:vertAlign w:val="superscript"/>
          </w:rPr>
          <w:t>305</w:t>
        </w:r>
      </w:hyperlink>
      <w:bookmarkEnd w:id="323"/>
      <w:r>
        <w:rPr>
          <w:rFonts w:ascii="Times New Roman" w:hAnsi="Times New Roman"/>
          <w:color w:val="000000"/>
          <w:sz w:val="20"/>
        </w:rPr>
        <w:t xml:space="preserve"> Ms. Barrick explained these are “two different things.”</w:t>
      </w:r>
      <w:bookmarkStart w:id="324" w:name="co_tablefootnote_306_1"/>
      <w:hyperlink w:anchor="co_tablefootnoteblock_306_1">
        <w:r>
          <w:rPr>
            <w:rFonts w:ascii="Times New Roman" w:hAnsi="Times New Roman"/>
            <w:color w:val="000000"/>
            <w:sz w:val="16"/>
            <w:vertAlign w:val="superscript"/>
          </w:rPr>
          <w:t>306</w:t>
        </w:r>
      </w:hyperlink>
      <w:bookmarkEnd w:id="324"/>
      <w:r>
        <w:rPr>
          <w:rFonts w:ascii="Times New Roman" w:hAnsi="Times New Roman"/>
          <w:color w:val="000000"/>
          <w:sz w:val="20"/>
        </w:rPr>
        <w:t xml:space="preserve"> The pre-tax cashflows are the estimated distributions to the partners of the Partnerships; the tax-effected WACC is the “cost of capital that these partnerships have access to.”</w:t>
      </w:r>
      <w:bookmarkStart w:id="325" w:name="co_tablefootnote_307_1"/>
      <w:hyperlink w:anchor="co_tablefootnoteblock_307_1">
        <w:r>
          <w:rPr>
            <w:rFonts w:ascii="Times New Roman" w:hAnsi="Times New Roman"/>
            <w:color w:val="000000"/>
            <w:sz w:val="16"/>
            <w:vertAlign w:val="superscript"/>
          </w:rPr>
          <w:t>307</w:t>
        </w:r>
      </w:hyperlink>
      <w:bookmarkEnd w:id="325"/>
      <w:r>
        <w:rPr>
          <w:rFonts w:ascii="Times New Roman" w:hAnsi="Times New Roman"/>
          <w:color w:val="000000"/>
          <w:sz w:val="20"/>
        </w:rPr>
        <w:t xml:space="preserve"> The cost of capital that the Partnerships have access to will be expensed and allocated to the Partnerships as AT&amp;T buys equipment and makes capital improvements in the Network,</w:t>
      </w:r>
      <w:bookmarkStart w:id="326" w:name="co_tablefootnote_308_1"/>
      <w:hyperlink w:anchor="co_tablefootnoteblock_308_1">
        <w:r>
          <w:rPr>
            <w:rFonts w:ascii="Times New Roman" w:hAnsi="Times New Roman"/>
            <w:color w:val="000000"/>
            <w:sz w:val="16"/>
            <w:vertAlign w:val="superscript"/>
          </w:rPr>
          <w:t>308</w:t>
        </w:r>
      </w:hyperlink>
      <w:bookmarkEnd w:id="326"/>
      <w:r>
        <w:rPr>
          <w:rFonts w:ascii="Times New Roman" w:hAnsi="Times New Roman"/>
          <w:color w:val="000000"/>
          <w:sz w:val="20"/>
        </w:rPr>
        <w:t xml:space="preserve"> reducing the amount of cashflow available for distribution. The distributions themselves, however, would be made to the partners of the Partnerships without taxation.</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2. A 3-Year Projection Period Is Reliable.</w:t>
      </w:r>
    </w:p>
    <w:p>
      <w:pPr>
        <w:spacing w:before="200" w:after="0" w:line="275" w:lineRule="atLeast"/>
        <w:jc w:val="both"/>
      </w:pPr>
      <w:r>
        <w:rPr>
          <w:rFonts w:ascii="Times New Roman" w:hAnsi="Times New Roman"/>
          <w:color w:val="000000"/>
          <w:sz w:val="20"/>
        </w:rPr>
        <w:t>AT&amp;T does not take issue with Ms. Barrick's 3-year projected period.</w:t>
      </w:r>
      <w:bookmarkStart w:id="327" w:name="co_tablefootnote_309_1"/>
      <w:hyperlink w:anchor="co_tablefootnoteblock_309_1">
        <w:r>
          <w:rPr>
            <w:rFonts w:ascii="Times New Roman" w:hAnsi="Times New Roman"/>
            <w:color w:val="000000"/>
            <w:sz w:val="16"/>
            <w:vertAlign w:val="superscript"/>
          </w:rPr>
          <w:t>309</w:t>
        </w:r>
      </w:hyperlink>
      <w:bookmarkEnd w:id="327"/>
      <w:r>
        <w:rPr>
          <w:rFonts w:ascii="Times New Roman" w:hAnsi="Times New Roman"/>
          <w:color w:val="000000"/>
          <w:sz w:val="20"/>
        </w:rPr>
        <w:t xml:space="preserve"> That is unsurprising considering both experts' models reflect a steady state after three years.</w:t>
      </w:r>
      <w:bookmarkStart w:id="328" w:name="co_tablefootnote_310_1"/>
      <w:hyperlink w:anchor="co_tablefootnoteblock_310_1">
        <w:r>
          <w:rPr>
            <w:rFonts w:ascii="Times New Roman" w:hAnsi="Times New Roman"/>
            <w:color w:val="000000"/>
            <w:sz w:val="16"/>
            <w:vertAlign w:val="superscript"/>
          </w:rPr>
          <w:t>310</w:t>
        </w:r>
      </w:hyperlink>
      <w:bookmarkEnd w:id="328"/>
      <w:r>
        <w:rPr>
          <w:rFonts w:ascii="Times New Roman" w:hAnsi="Times New Roman"/>
          <w:color w:val="000000"/>
          <w:sz w:val="20"/>
        </w:rPr>
        <w:t xml:space="preserve"> This is undisputed. Holding all other assumptions the same, the sum of Ms. Taylor's valuations is virtually the same whether terminal value is calculated after three or ten years of projected performance in her model.</w:t>
      </w:r>
      <w:bookmarkStart w:id="329" w:name="co_tablefootnote_311_1"/>
      <w:hyperlink w:anchor="co_tablefootnoteblock_311_1">
        <w:r>
          <w:rPr>
            <w:rFonts w:ascii="Times New Roman" w:hAnsi="Times New Roman"/>
            <w:color w:val="000000"/>
            <w:sz w:val="16"/>
            <w:vertAlign w:val="superscript"/>
          </w:rPr>
          <w:t>311</w:t>
        </w:r>
      </w:hyperlink>
      <w:bookmarkEnd w:id="329"/>
      <w:r>
        <w:rPr>
          <w:rFonts w:ascii="Times New Roman" w:hAnsi="Times New Roman"/>
          <w:color w:val="000000"/>
          <w:sz w:val="20"/>
        </w:rPr>
        <w:t xml:space="preserve"> Plaintiffs examined Ms. Taylor at her deposition on this point, made the point again pre-trial and AT&amp;T has never responded to or disputed it. But as discussed above, the real purpose of Ms. Taylor's ten-year projected period is to offset any adjustment to her terminal growth rate, only more reason that the Court should reject her valuation models.</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3. Mr. Musey Provides the Most Reliable Revenue Projections.</w:t>
      </w:r>
    </w:p>
    <w:p>
      <w:pPr>
        <w:spacing w:before="200" w:after="0" w:line="275" w:lineRule="atLeast"/>
        <w:jc w:val="both"/>
      </w:pPr>
      <w:r>
        <w:rPr>
          <w:rFonts w:ascii="Times New Roman" w:hAnsi="Times New Roman"/>
          <w:color w:val="000000"/>
          <w:sz w:val="20"/>
        </w:rPr>
        <w:t>Ms. Barrick relies on Mr. Musey's revenue projections, and trial proved that they are reliable.</w:t>
      </w:r>
      <w:bookmarkStart w:id="330" w:name="co_tablefootnote_312_1"/>
      <w:hyperlink w:anchor="co_tablefootnoteblock_312_1">
        <w:r>
          <w:rPr>
            <w:rFonts w:ascii="Times New Roman" w:hAnsi="Times New Roman"/>
            <w:color w:val="000000"/>
            <w:sz w:val="16"/>
            <w:vertAlign w:val="superscript"/>
          </w:rPr>
          <w:t>312</w:t>
        </w:r>
      </w:hyperlink>
      <w:bookmarkEnd w:id="330"/>
      <w:r>
        <w:rPr>
          <w:rFonts w:ascii="Times New Roman" w:hAnsi="Times New Roman"/>
          <w:color w:val="000000"/>
          <w:sz w:val="20"/>
        </w:rPr>
        <w:t xml:space="preserve"> AT&amp;T nevertheless takes issue with his projections because they are supposedly not grounded in the “actual performance of the Partnerships.” But neither is AT&amp;T's accounting of the Partnerships. Trial showed that AT&amp;T operated and accounted for the Partnerships in accordance with neither the Partnership Agreements nor the MNSAs in place.</w:t>
      </w:r>
      <w:bookmarkStart w:id="331" w:name="co_tablefootnote_313_1"/>
      <w:hyperlink w:anchor="co_tablefootnoteblock_313_1">
        <w:r>
          <w:rPr>
            <w:rFonts w:ascii="Times New Roman" w:hAnsi="Times New Roman"/>
            <w:color w:val="000000"/>
            <w:sz w:val="16"/>
            <w:vertAlign w:val="superscript"/>
          </w:rPr>
          <w:t>313</w:t>
        </w:r>
      </w:hyperlink>
      <w:bookmarkEnd w:id="331"/>
      <w:r>
        <w:rPr>
          <w:rFonts w:ascii="Times New Roman" w:hAnsi="Times New Roman"/>
          <w:color w:val="000000"/>
          <w:sz w:val="20"/>
        </w:rPr>
        <w:t xml:space="preserve"> In this regard, AT&amp;T failed to include revenue in the pool of “Shared Revenue” that should have been allocated to the Partnerships,</w:t>
      </w:r>
      <w:bookmarkStart w:id="332" w:name="co_tablefootnote_314_1"/>
      <w:hyperlink w:anchor="co_tablefootnoteblock_314_1">
        <w:r>
          <w:rPr>
            <w:rFonts w:ascii="Times New Roman" w:hAnsi="Times New Roman"/>
            <w:color w:val="000000"/>
            <w:sz w:val="16"/>
            <w:vertAlign w:val="superscript"/>
          </w:rPr>
          <w:t>314</w:t>
        </w:r>
      </w:hyperlink>
      <w:bookmarkEnd w:id="332"/>
      <w:r>
        <w:rPr>
          <w:rFonts w:ascii="Times New Roman" w:hAnsi="Times New Roman"/>
          <w:color w:val="000000"/>
          <w:sz w:val="20"/>
        </w:rPr>
        <w:t xml:space="preserve"> and we have no idea how much more money the Partnerships were entitled to receive if AT&amp;T had accounted for the Partnerships in accordance with those agreements.</w:t>
      </w:r>
      <w:bookmarkStart w:id="333" w:name="co_tablefootnote_315_1"/>
      <w:hyperlink w:anchor="co_tablefootnoteblock_315_1">
        <w:r>
          <w:rPr>
            <w:rFonts w:ascii="Times New Roman" w:hAnsi="Times New Roman"/>
            <w:color w:val="000000"/>
            <w:sz w:val="16"/>
            <w:vertAlign w:val="superscript"/>
          </w:rPr>
          <w:t>315</w:t>
        </w:r>
      </w:hyperlink>
      <w:bookmarkEnd w:id="333"/>
      <w:r>
        <w:rPr>
          <w:rFonts w:ascii="Times New Roman" w:hAnsi="Times New Roman"/>
          <w:color w:val="000000"/>
          <w:sz w:val="20"/>
        </w:rPr>
        <w:t xml:space="preserve"> AT&amp;T did not allocate “Shared Revenue” by Traffic,</w:t>
      </w:r>
      <w:bookmarkStart w:id="334" w:name="co_tablefootnote_316_1"/>
      <w:hyperlink w:anchor="co_tablefootnoteblock_316_1">
        <w:r>
          <w:rPr>
            <w:rFonts w:ascii="Times New Roman" w:hAnsi="Times New Roman"/>
            <w:color w:val="000000"/>
            <w:sz w:val="16"/>
            <w:vertAlign w:val="superscript"/>
          </w:rPr>
          <w:t>316</w:t>
        </w:r>
      </w:hyperlink>
      <w:bookmarkEnd w:id="334"/>
      <w:r>
        <w:rPr>
          <w:rFonts w:ascii="Times New Roman" w:hAnsi="Times New Roman"/>
          <w:color w:val="000000"/>
          <w:sz w:val="20"/>
        </w:rPr>
        <w:t xml:space="preserve"> and instead continued to attribute subscriber revenue directly to Partnerships by NPA-NXX association, despite knowing the numerous problems with this approach. </w:t>
      </w:r>
      <w:r>
        <w:rPr>
          <w:rFonts w:ascii="Times New Roman" w:hAnsi="Times New Roman"/>
          <w:color w:val="000000"/>
          <w:sz w:val="20"/>
        </w:rPr>
        <w:t>AT&amp;T had no meaningful controls to ensure subscriber mapping to the Partnerships were accurate,</w:t>
      </w:r>
      <w:bookmarkStart w:id="335" w:name="co_tablefootnote_317_1"/>
      <w:hyperlink w:anchor="co_tablefootnoteblock_317_1">
        <w:r>
          <w:rPr>
            <w:rFonts w:ascii="Times New Roman" w:hAnsi="Times New Roman"/>
            <w:color w:val="000000"/>
            <w:sz w:val="16"/>
            <w:vertAlign w:val="superscript"/>
          </w:rPr>
          <w:t>317</w:t>
        </w:r>
      </w:hyperlink>
      <w:bookmarkEnd w:id="335"/>
      <w:r>
        <w:rPr>
          <w:rFonts w:ascii="Times New Roman" w:hAnsi="Times New Roman"/>
          <w:color w:val="000000"/>
          <w:sz w:val="20"/>
        </w:rPr>
        <w:t xml:space="preserve"> its accounting ledger could only assign a block of NPA-NXX numbers to a single Partnership (company code),</w:t>
      </w:r>
      <w:bookmarkStart w:id="336" w:name="co_tablefootnote_318_1"/>
      <w:hyperlink w:anchor="co_tablefootnoteblock_318_1">
        <w:r>
          <w:rPr>
            <w:rFonts w:ascii="Times New Roman" w:hAnsi="Times New Roman"/>
            <w:color w:val="000000"/>
            <w:sz w:val="16"/>
            <w:vertAlign w:val="superscript"/>
          </w:rPr>
          <w:t>318</w:t>
        </w:r>
      </w:hyperlink>
      <w:bookmarkEnd w:id="336"/>
      <w:r>
        <w:rPr>
          <w:rFonts w:ascii="Times New Roman" w:hAnsi="Times New Roman"/>
          <w:color w:val="000000"/>
          <w:sz w:val="20"/>
        </w:rPr>
        <w:t xml:space="preserve"> and subscribers were not updated to reflect moves into and out of Partnerships. As a result, AT&amp;T had no idea who the Partnership subscribers were</w:t>
      </w:r>
      <w:bookmarkStart w:id="337" w:name="co_tablefootnote_319_1"/>
      <w:hyperlink w:anchor="co_tablefootnoteblock_319_1">
        <w:r>
          <w:rPr>
            <w:rFonts w:ascii="Times New Roman" w:hAnsi="Times New Roman"/>
            <w:color w:val="000000"/>
            <w:sz w:val="16"/>
            <w:vertAlign w:val="superscript"/>
          </w:rPr>
          <w:t>319</w:t>
        </w:r>
      </w:hyperlink>
      <w:bookmarkEnd w:id="337"/>
      <w:r>
        <w:rPr>
          <w:rFonts w:ascii="Times New Roman" w:hAnsi="Times New Roman"/>
          <w:color w:val="000000"/>
          <w:sz w:val="20"/>
        </w:rPr>
        <w:t xml:space="preserve"> and did not accurately account for subscriber revenue generated by the traffic on the Network covered by the Partnerships. AT&amp;T did no analysis on an on-going basis to determine whether subscribers' usage occurred within specific geographic areas,</w:t>
      </w:r>
      <w:bookmarkStart w:id="338" w:name="co_tablefootnote_320_1"/>
      <w:hyperlink w:anchor="co_tablefootnoteblock_320_1">
        <w:r>
          <w:rPr>
            <w:rFonts w:ascii="Times New Roman" w:hAnsi="Times New Roman"/>
            <w:color w:val="000000"/>
            <w:sz w:val="16"/>
            <w:vertAlign w:val="superscript"/>
          </w:rPr>
          <w:t>320</w:t>
        </w:r>
      </w:hyperlink>
      <w:bookmarkEnd w:id="338"/>
      <w:r>
        <w:rPr>
          <w:rFonts w:ascii="Times New Roman" w:hAnsi="Times New Roman"/>
          <w:color w:val="000000"/>
          <w:sz w:val="20"/>
        </w:rPr>
        <w:t xml:space="preserve"> and AT&amp;T had a self-interested economic incentive to, and in fact did, assign subscribers to itself rather than the Partnerships.</w:t>
      </w:r>
      <w:bookmarkStart w:id="339" w:name="co_tablefootnote_321_1"/>
      <w:hyperlink w:anchor="co_tablefootnoteblock_321_1">
        <w:r>
          <w:rPr>
            <w:rFonts w:ascii="Times New Roman" w:hAnsi="Times New Roman"/>
            <w:color w:val="000000"/>
            <w:sz w:val="16"/>
            <w:vertAlign w:val="superscript"/>
          </w:rPr>
          <w:t>321</w:t>
        </w:r>
      </w:hyperlink>
      <w:bookmarkEnd w:id="339"/>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Mr. Musey considered these issues and the demographics of the Partnership geographic areas.</w:t>
      </w:r>
      <w:bookmarkStart w:id="340" w:name="co_tablefootnote_322_1"/>
      <w:hyperlink w:anchor="co_tablefootnoteblock_322_1">
        <w:r>
          <w:rPr>
            <w:rFonts w:ascii="Times New Roman" w:hAnsi="Times New Roman"/>
            <w:color w:val="000000"/>
            <w:sz w:val="16"/>
            <w:vertAlign w:val="superscript"/>
          </w:rPr>
          <w:t>322</w:t>
        </w:r>
      </w:hyperlink>
      <w:bookmarkEnd w:id="340"/>
      <w:r>
        <w:rPr>
          <w:rFonts w:ascii="Times New Roman" w:hAnsi="Times New Roman"/>
          <w:color w:val="000000"/>
          <w:sz w:val="20"/>
        </w:rPr>
        <w:t xml:space="preserve"> Mr. Musey “thought they were slightly better than AT&amp;T as a whole,”</w:t>
      </w:r>
      <w:bookmarkStart w:id="341" w:name="co_tablefootnote_323_1"/>
      <w:hyperlink w:anchor="co_tablefootnoteblock_323_1">
        <w:r>
          <w:rPr>
            <w:rFonts w:ascii="Times New Roman" w:hAnsi="Times New Roman"/>
            <w:color w:val="000000"/>
            <w:sz w:val="16"/>
            <w:vertAlign w:val="superscript"/>
          </w:rPr>
          <w:t>323</w:t>
        </w:r>
      </w:hyperlink>
      <w:bookmarkEnd w:id="341"/>
      <w:r>
        <w:rPr>
          <w:rFonts w:ascii="Times New Roman" w:hAnsi="Times New Roman"/>
          <w:color w:val="000000"/>
          <w:sz w:val="20"/>
        </w:rPr>
        <w:t xml:space="preserve"> and, notably, Ms. Taylor also believed that “on balance ... these partnerships are fairly representative of AT&amp;T as a whole.”</w:t>
      </w:r>
      <w:bookmarkStart w:id="342" w:name="co_tablefootnote_324_1"/>
      <w:hyperlink w:anchor="co_tablefootnoteblock_324_1">
        <w:r>
          <w:rPr>
            <w:rFonts w:ascii="Times New Roman" w:hAnsi="Times New Roman"/>
            <w:color w:val="000000"/>
            <w:sz w:val="16"/>
            <w:vertAlign w:val="superscript"/>
          </w:rPr>
          <w:t>324</w:t>
        </w:r>
      </w:hyperlink>
      <w:bookmarkEnd w:id="342"/>
      <w:r>
        <w:rPr>
          <w:rFonts w:ascii="Times New Roman" w:hAnsi="Times New Roman"/>
          <w:color w:val="000000"/>
          <w:sz w:val="20"/>
        </w:rPr>
        <w:t xml:space="preserve"> In light of these considerations, Mr. Musey did not blindly accept a Partnership ARPU derived from AT&amp;T's guesswork accounting or mistakenly believe the Partnerships had materially higher chum than AT&amp;T, as Ms. Taylor did.</w:t>
      </w:r>
      <w:bookmarkStart w:id="343" w:name="co_tablefootnote_325_1"/>
      <w:hyperlink w:anchor="co_tablefootnoteblock_325_1">
        <w:r>
          <w:rPr>
            <w:rFonts w:ascii="Times New Roman" w:hAnsi="Times New Roman"/>
            <w:color w:val="000000"/>
            <w:sz w:val="16"/>
            <w:vertAlign w:val="superscript"/>
          </w:rPr>
          <w:t>325</w:t>
        </w:r>
      </w:hyperlink>
      <w:bookmarkEnd w:id="343"/>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Rather, given the limitations of AT&amp;T's Partnership-level data, Mr. Musey determined the most reasonable way to project subscriber revenue was to use the number of subscribers AT&amp;T attributed to the Partnerships as his baseline,</w:t>
      </w:r>
      <w:bookmarkStart w:id="344" w:name="co_tablefootnote_326_1"/>
      <w:hyperlink w:anchor="co_tablefootnoteblock_326_1">
        <w:r>
          <w:rPr>
            <w:rFonts w:ascii="Times New Roman" w:hAnsi="Times New Roman"/>
            <w:color w:val="000000"/>
            <w:sz w:val="16"/>
            <w:vertAlign w:val="superscript"/>
          </w:rPr>
          <w:t>326</w:t>
        </w:r>
      </w:hyperlink>
      <w:bookmarkEnd w:id="344"/>
      <w:r>
        <w:rPr>
          <w:rFonts w:ascii="Times New Roman" w:hAnsi="Times New Roman"/>
          <w:color w:val="000000"/>
          <w:sz w:val="20"/>
        </w:rPr>
        <w:t xml:space="preserve"> the only data he had available to him, project subscriber growth from that baseline using Census population data and AT&amp;T DMA chum, and multiply his projected subscribers by AT&amp;T's national ARPU.</w:t>
      </w:r>
      <w:bookmarkStart w:id="345" w:name="co_tablefootnote_327_1"/>
      <w:hyperlink w:anchor="co_tablefootnoteblock_327_1">
        <w:r>
          <w:rPr>
            <w:rFonts w:ascii="Times New Roman" w:hAnsi="Times New Roman"/>
            <w:color w:val="000000"/>
            <w:sz w:val="16"/>
            <w:vertAlign w:val="superscript"/>
          </w:rPr>
          <w:t>327</w:t>
        </w:r>
      </w:hyperlink>
      <w:bookmarkEnd w:id="345"/>
      <w:r>
        <w:rPr>
          <w:rFonts w:ascii="Times New Roman" w:hAnsi="Times New Roman"/>
          <w:color w:val="000000"/>
          <w:sz w:val="20"/>
        </w:rPr>
        <w:t xml:space="preserve"> Mr. Musey had more confidence in his top-level approach than a flowshare model for two reasons: (i) generally the smaller the geographic area, the less reliable a flowshare model becomes;</w:t>
      </w:r>
      <w:bookmarkStart w:id="346" w:name="co_tablefootnote_328_1"/>
      <w:hyperlink w:anchor="co_tablefootnoteblock_328_1">
        <w:r>
          <w:rPr>
            <w:rFonts w:ascii="Times New Roman" w:hAnsi="Times New Roman"/>
            <w:color w:val="000000"/>
            <w:sz w:val="16"/>
            <w:vertAlign w:val="superscript"/>
          </w:rPr>
          <w:t>328</w:t>
        </w:r>
      </w:hyperlink>
      <w:bookmarkEnd w:id="346"/>
      <w:r>
        <w:rPr>
          <w:rFonts w:ascii="Times New Roman" w:hAnsi="Times New Roman"/>
          <w:color w:val="000000"/>
          <w:sz w:val="20"/>
        </w:rPr>
        <w:t xml:space="preserve"> and (ii) because AT&amp;T did not manage its business to the Partnership level, there were no reliable Partnership level inputs for the model.</w:t>
      </w:r>
      <w:bookmarkStart w:id="347" w:name="co_tablefootnote_329_1"/>
      <w:hyperlink w:anchor="co_tablefootnoteblock_329_1">
        <w:r>
          <w:rPr>
            <w:rFonts w:ascii="Times New Roman" w:hAnsi="Times New Roman"/>
            <w:color w:val="000000"/>
            <w:sz w:val="16"/>
            <w:vertAlign w:val="superscript"/>
          </w:rPr>
          <w:t>329</w:t>
        </w:r>
      </w:hyperlink>
      <w:bookmarkEnd w:id="347"/>
      <w:r>
        <w:rPr>
          <w:rFonts w:ascii="Times New Roman" w:hAnsi="Times New Roman"/>
          <w:color w:val="000000"/>
          <w:sz w:val="20"/>
        </w:rPr>
        <w:t xml:space="preserve"> Specifically, Partnership geographic area data was unavailable for AT&amp;T's market share, its competitors' market share and its competitors' chum.</w:t>
      </w:r>
      <w:bookmarkStart w:id="348" w:name="co_tablefootnote_330_1"/>
      <w:hyperlink w:anchor="co_tablefootnoteblock_330_1">
        <w:r>
          <w:rPr>
            <w:rFonts w:ascii="Times New Roman" w:hAnsi="Times New Roman"/>
            <w:color w:val="000000"/>
            <w:sz w:val="16"/>
            <w:vertAlign w:val="superscript"/>
          </w:rPr>
          <w:t>330</w:t>
        </w:r>
      </w:hyperlink>
      <w:bookmarkEnd w:id="348"/>
      <w:r>
        <w:rPr>
          <w:rFonts w:ascii="Times New Roman" w:hAnsi="Times New Roman"/>
          <w:color w:val="000000"/>
          <w:sz w:val="20"/>
        </w:rPr>
        <w:t xml:space="preserve"> Mr. Musey explained that the flowshare model is very sensitive to these inputs and if any one of them is wrong, the output of the flowshare model is useless. He instead used AT&amp;T's DMA chum for the Partnership, appropriately adjusting for reseller chum.</w:t>
      </w:r>
      <w:bookmarkStart w:id="349" w:name="co_tablefootnote_331_1"/>
      <w:hyperlink w:anchor="co_tablefootnoteblock_331_1">
        <w:r>
          <w:rPr>
            <w:rFonts w:ascii="Times New Roman" w:hAnsi="Times New Roman"/>
            <w:color w:val="000000"/>
            <w:sz w:val="16"/>
            <w:vertAlign w:val="superscript"/>
          </w:rPr>
          <w:t>331</w:t>
        </w:r>
      </w:hyperlink>
      <w:bookmarkEnd w:id="349"/>
      <w:r>
        <w:rPr>
          <w:rFonts w:ascii="Times New Roman" w:hAnsi="Times New Roman"/>
          <w:color w:val="000000"/>
          <w:sz w:val="20"/>
        </w:rPr>
        <w:t xml:space="preserve"> Prior to her cross-examination, Ms. Taylor repeatedly surmised that Mr. Musey's concerns regarding a flowshare model were self-correcting because “if you increase the pie size but reduce the slice, you end up getting back to almost exactly the same position.”</w:t>
      </w:r>
      <w:bookmarkStart w:id="350" w:name="co_tablefootnote_332_1"/>
      <w:hyperlink w:anchor="co_tablefootnoteblock_332_1">
        <w:r>
          <w:rPr>
            <w:rFonts w:ascii="Times New Roman" w:hAnsi="Times New Roman"/>
            <w:color w:val="000000"/>
            <w:sz w:val="16"/>
            <w:vertAlign w:val="superscript"/>
          </w:rPr>
          <w:t>332</w:t>
        </w:r>
      </w:hyperlink>
      <w:bookmarkEnd w:id="350"/>
      <w:r>
        <w:rPr>
          <w:rFonts w:ascii="Times New Roman" w:hAnsi="Times New Roman"/>
          <w:color w:val="000000"/>
          <w:sz w:val="20"/>
        </w:rPr>
        <w:t xml:space="preserve"> But that is only true when “the pie and the slice are changing in size proportionately.</w:t>
      </w:r>
      <w:bookmarkStart w:id="351" w:name="co_tablefootnote_333_1"/>
      <w:hyperlink w:anchor="co_tablefootnoteblock_333_1">
        <w:r>
          <w:rPr>
            <w:rFonts w:ascii="Times New Roman" w:hAnsi="Times New Roman"/>
            <w:color w:val="000000"/>
            <w:sz w:val="16"/>
            <w:vertAlign w:val="superscript"/>
          </w:rPr>
          <w:t>333</w:t>
        </w:r>
      </w:hyperlink>
      <w:bookmarkEnd w:id="351"/>
      <w:r>
        <w:rPr>
          <w:rFonts w:ascii="Times New Roman" w:hAnsi="Times New Roman"/>
          <w:color w:val="000000"/>
          <w:sz w:val="20"/>
        </w:rPr>
        <w:t xml:space="preserve"> That is not what Ms. Taylor assumed.</w:t>
      </w:r>
      <w:bookmarkStart w:id="352" w:name="co_tablefootnote_334_1"/>
      <w:hyperlink w:anchor="co_tablefootnoteblock_334_1">
        <w:r>
          <w:rPr>
            <w:rFonts w:ascii="Times New Roman" w:hAnsi="Times New Roman"/>
            <w:color w:val="000000"/>
            <w:sz w:val="16"/>
            <w:vertAlign w:val="superscript"/>
          </w:rPr>
          <w:t>334</w:t>
        </w:r>
      </w:hyperlink>
      <w:bookmarkEnd w:id="352"/>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While Mr. Musey and Ms. Taylor projected subscribers differently, the biggest reason for their divergent revenue forecasts is ARPU, as Ms. Taylor acknowledged.</w:t>
      </w:r>
      <w:bookmarkStart w:id="353" w:name="co_tablefootnote_335_1"/>
      <w:hyperlink w:anchor="co_tablefootnoteblock_335_1">
        <w:r>
          <w:rPr>
            <w:rFonts w:ascii="Times New Roman" w:hAnsi="Times New Roman"/>
            <w:color w:val="000000"/>
            <w:sz w:val="16"/>
            <w:vertAlign w:val="superscript"/>
          </w:rPr>
          <w:t>335</w:t>
        </w:r>
      </w:hyperlink>
      <w:bookmarkEnd w:id="353"/>
      <w:r>
        <w:rPr>
          <w:rFonts w:ascii="Times New Roman" w:hAnsi="Times New Roman"/>
          <w:color w:val="000000"/>
          <w:sz w:val="20"/>
        </w:rPr>
        <w:t xml:space="preserve"> But as discussed above, not only is Ms. Taylor's assumed ARPU for the Partnerships unreliable because of AT&amp;T's “lackadaisical approach to the related-party transaction of deciding who owned a particular subscriber,”</w:t>
      </w:r>
      <w:bookmarkStart w:id="354" w:name="co_tablefootnote_336_1"/>
      <w:hyperlink w:anchor="co_tablefootnoteblock_336_1">
        <w:r>
          <w:rPr>
            <w:rFonts w:ascii="Times New Roman" w:hAnsi="Times New Roman"/>
            <w:color w:val="000000"/>
            <w:sz w:val="16"/>
            <w:vertAlign w:val="superscript"/>
          </w:rPr>
          <w:t>336</w:t>
        </w:r>
      </w:hyperlink>
      <w:bookmarkEnd w:id="354"/>
      <w:r>
        <w:rPr>
          <w:rFonts w:ascii="Times New Roman" w:hAnsi="Times New Roman"/>
          <w:color w:val="000000"/>
          <w:sz w:val="20"/>
        </w:rPr>
        <w:t xml:space="preserve"> it is also unsupported and unreliable based on AT&amp;T's own reported subscriber mix for the Partnerships.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has taken every opportunity to point out Ms. Barrick's and Mr. Musey's original disconnect in roaming revenue and expense. The error was corrected, unlike Ms. Taylor's errors that AT&amp;T refuses to acknowledge. </w:t>
      </w:r>
      <w:r>
        <w:rPr>
          <w:rFonts w:ascii="Times New Roman" w:hAnsi="Times New Roman"/>
          <w:color w:val="000000"/>
          <w:sz w:val="20"/>
        </w:rPr>
        <w:t>More importantly, after the correction, Ms. Taylor's criticism is with their methodology, not the value of the net roaming.</w:t>
      </w:r>
      <w:bookmarkStart w:id="355" w:name="co_tablefootnote_337_1"/>
      <w:hyperlink w:anchor="co_tablefootnoteblock_337_1">
        <w:r>
          <w:rPr>
            <w:rFonts w:ascii="Times New Roman" w:hAnsi="Times New Roman"/>
            <w:color w:val="000000"/>
            <w:sz w:val="16"/>
            <w:vertAlign w:val="superscript"/>
          </w:rPr>
          <w:t>337</w:t>
        </w:r>
      </w:hyperlink>
      <w:bookmarkEnd w:id="355"/>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There is, however, a big problem with Ms. Taylor's roaming. Mr. Musey assumes that declining voice roaming will be offset with data roaming maintaining steady growth in line with subscriber revenue generally. Mr. Musey also projects roaming as a percentage of subscriber revenue partly because he recognizes AT&amp;T is only reimbursing the expense of data-roaming to the Partnerships instead of also sharing data roaming profits with the Partnerships. In contrast, Ms. Taylor projects continued decline in voice roaming, and declining expense reimbursement data roaming. Mr. Musey explained that Ms. Taylor's reliance on declining industry roaming minutes is due to wireless carrier consolidation, a factor that does not reduce how often non-Partnership AT&amp;T subscribers will roam into Partnership territories.</w:t>
      </w:r>
      <w:bookmarkStart w:id="356" w:name="co_tablefootnote_338_1"/>
      <w:hyperlink w:anchor="co_tablefootnoteblock_338_1">
        <w:r>
          <w:rPr>
            <w:rFonts w:ascii="Times New Roman" w:hAnsi="Times New Roman"/>
            <w:color w:val="000000"/>
            <w:sz w:val="16"/>
            <w:vertAlign w:val="superscript"/>
          </w:rPr>
          <w:t>338</w:t>
        </w:r>
      </w:hyperlink>
      <w:bookmarkEnd w:id="356"/>
      <w:r>
        <w:rPr>
          <w:rFonts w:ascii="Times New Roman" w:hAnsi="Times New Roman"/>
          <w:color w:val="000000"/>
          <w:sz w:val="20"/>
        </w:rPr>
        <w:t xml:space="preserve"> Ms. Taylor and Ms. Barrick nearly converge in their roaming assumptions at the time Ms. Barrick calculates a terminal value. Ms. Taylor's roaming revenue, however, continues with substantial declines to 2019:</w:t>
      </w:r>
    </w:p>
    <w:p>
      <w:pPr>
        <w:spacing w:before="0" w:after="0" w:line="275" w:lineRule="atLeast"/>
        <w:jc w:val="both"/>
      </w:pPr>
      <w:r>
        <w:rPr>
          <w:rFonts w:ascii="Times New Roman" w:hAnsi="Times New Roman"/>
          <w:color w:val="000000"/>
          <w:sz w:val="20"/>
        </w:rPr>
        <w:t> </w:t>
      </w:r>
    </w:p>
    <w:bookmarkStart w:id="357" w:name="co_anchor_I705acc40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357"/>
    <w:p>
      <w:pPr>
        <w:spacing w:before="0" w:after="0" w:line="275" w:lineRule="atLeast"/>
        <w:jc w:val="both"/>
      </w:pPr>
      <w:r>
        <w:rPr>
          <w:rFonts w:ascii="Times New Roman" w:hAnsi="Times New Roman"/>
          <w:color w:val="000000"/>
          <w:sz w:val="20"/>
        </w:rPr>
        <w:t>Ms. Taylor's assumptions are unreasonable, and inconsistent with her opinion that because roaming will make the Partnerships whole, it does not matter that AT&amp;T inaccurately accounts for Partnership subscribers.</w:t>
      </w:r>
      <w:bookmarkStart w:id="358" w:name="co_tablefootnote_339_1"/>
      <w:hyperlink w:anchor="co_tablefootnoteblock_339_1">
        <w:r>
          <w:rPr>
            <w:rFonts w:ascii="Times New Roman" w:hAnsi="Times New Roman"/>
            <w:color w:val="000000"/>
            <w:sz w:val="16"/>
            <w:vertAlign w:val="superscript"/>
          </w:rPr>
          <w:t>339</w:t>
        </w:r>
      </w:hyperlink>
      <w:bookmarkEnd w:id="358"/>
      <w:r>
        <w:rPr>
          <w:rFonts w:ascii="Times New Roman" w:hAnsi="Times New Roman"/>
          <w:color w:val="000000"/>
          <w:sz w:val="20"/>
        </w:rPr>
        <w:t xml:space="preserve"> Ms. Barrick, however, makes reasonable and responsible revenue assumptions. Moreover, whatever uncertainty there may be respecting Partnership subscribers and ARPU, that is uncertainty that AT&amp;T created, and as a matter of law, should be decided in Plaintiffs' favor.</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4. Expenses Are Not Understated.</w:t>
      </w:r>
    </w:p>
    <w:p>
      <w:pPr>
        <w:spacing w:before="200" w:after="0" w:line="275" w:lineRule="atLeast"/>
        <w:jc w:val="both"/>
      </w:pPr>
      <w:r>
        <w:rPr>
          <w:rFonts w:ascii="Times New Roman" w:hAnsi="Times New Roman"/>
          <w:color w:val="000000"/>
          <w:sz w:val="20"/>
        </w:rPr>
        <w:t>The only “expense” item AT&amp;T takes issue with is Ms. Barrick's decision to use PwC's capital expenditure projections.</w:t>
      </w:r>
      <w:bookmarkStart w:id="359" w:name="co_tablefootnote_340_1"/>
      <w:hyperlink w:anchor="co_tablefootnoteblock_340_1">
        <w:r>
          <w:rPr>
            <w:rFonts w:ascii="Times New Roman" w:hAnsi="Times New Roman"/>
            <w:color w:val="000000"/>
            <w:sz w:val="16"/>
            <w:vertAlign w:val="superscript"/>
          </w:rPr>
          <w:t>340</w:t>
        </w:r>
      </w:hyperlink>
      <w:bookmarkEnd w:id="359"/>
      <w:r>
        <w:rPr>
          <w:rFonts w:ascii="Times New Roman" w:hAnsi="Times New Roman"/>
          <w:color w:val="000000"/>
          <w:sz w:val="20"/>
        </w:rPr>
        <w:t xml:space="preserve"> But Ms. Taylor's insistence that Ms. Barrick should have increased her capital expenditure projections is based on AT&amp;T's insistence on mischaracterizing Mr. Musey's higher revenue projected for the Partnerships. AT&amp;T insists on framing the issue as a spike of volume in usage on the network.</w:t>
      </w:r>
      <w:bookmarkStart w:id="360" w:name="co_tablefootnote_341_1"/>
      <w:hyperlink w:anchor="co_tablefootnoteblock_341_1">
        <w:r>
          <w:rPr>
            <w:rFonts w:ascii="Times New Roman" w:hAnsi="Times New Roman"/>
            <w:color w:val="000000"/>
            <w:sz w:val="16"/>
            <w:vertAlign w:val="superscript"/>
          </w:rPr>
          <w:t>341</w:t>
        </w:r>
      </w:hyperlink>
      <w:bookmarkEnd w:id="360"/>
      <w:r>
        <w:rPr>
          <w:rFonts w:ascii="Times New Roman" w:hAnsi="Times New Roman"/>
          <w:color w:val="000000"/>
          <w:sz w:val="20"/>
        </w:rPr>
        <w:t xml:space="preserve"> As Ms. Barrick explained at trial, it is not that “in 2010 or 2011, these partnerships are all of a sudden going to have a huge influx of brand-new subscribers.” Rather, the assumption that Mr. Musey is making, and she is relying on, is that “these are subscribers that are already using the partnerships' geography.”</w:t>
      </w:r>
      <w:bookmarkStart w:id="361" w:name="co_tablefootnote_342_1"/>
      <w:hyperlink w:anchor="co_tablefootnoteblock_342_1">
        <w:r>
          <w:rPr>
            <w:rFonts w:ascii="Times New Roman" w:hAnsi="Times New Roman"/>
            <w:color w:val="000000"/>
            <w:sz w:val="16"/>
            <w:vertAlign w:val="superscript"/>
          </w:rPr>
          <w:t>342</w:t>
        </w:r>
      </w:hyperlink>
      <w:bookmarkEnd w:id="361"/>
      <w:r>
        <w:rPr>
          <w:rFonts w:ascii="Times New Roman" w:hAnsi="Times New Roman"/>
          <w:color w:val="000000"/>
          <w:sz w:val="20"/>
        </w:rPr>
        <w:t xml:space="preserve"> Again, AT&amp;T's argument is inconsistent with Ms. Taylor's admission that the biggest difference in the models is Mr. Musey's use of AT&amp;T's average ARPU, not the number of subscribers.</w:t>
      </w:r>
      <w:bookmarkStart w:id="362" w:name="co_tablefootnote_343_1"/>
      <w:hyperlink w:anchor="co_tablefootnoteblock_343_1">
        <w:r>
          <w:rPr>
            <w:rFonts w:ascii="Times New Roman" w:hAnsi="Times New Roman"/>
            <w:color w:val="000000"/>
            <w:sz w:val="16"/>
            <w:vertAlign w:val="superscript"/>
          </w:rPr>
          <w:t>343</w:t>
        </w:r>
      </w:hyperlink>
      <w:bookmarkEnd w:id="362"/>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5. AT&amp;T's WACC Is Appropriate.</w:t>
      </w:r>
    </w:p>
    <w:p>
      <w:pPr>
        <w:spacing w:before="200" w:after="0" w:line="275" w:lineRule="atLeast"/>
        <w:jc w:val="both"/>
      </w:pPr>
      <w:r>
        <w:rPr>
          <w:rFonts w:ascii="Times New Roman" w:hAnsi="Times New Roman"/>
          <w:color w:val="000000"/>
          <w:sz w:val="20"/>
        </w:rPr>
        <w:t>Ms. Barrick's WACC is appropriate to prepare a responsible estimate of damages. It is a “simple, straightforward AT&amp;T WACC calculation.”</w:t>
      </w:r>
      <w:bookmarkStart w:id="363" w:name="co_tablefootnote_344_1"/>
      <w:hyperlink w:anchor="co_tablefootnoteblock_344_1">
        <w:r>
          <w:rPr>
            <w:rFonts w:ascii="Times New Roman" w:hAnsi="Times New Roman"/>
            <w:color w:val="000000"/>
            <w:sz w:val="16"/>
            <w:vertAlign w:val="superscript"/>
          </w:rPr>
          <w:t>344</w:t>
        </w:r>
      </w:hyperlink>
      <w:bookmarkEnd w:id="363"/>
      <w:r>
        <w:rPr>
          <w:rFonts w:ascii="Times New Roman" w:hAnsi="Times New Roman"/>
          <w:color w:val="000000"/>
          <w:sz w:val="20"/>
        </w:rPr>
        <w:t xml:space="preserve"> For purposes of determining fair value of Hood River, Ocala, Pine Bluff and St. Cloud, corporate entities but otherwise identical in nature and cashed-out under the same set of facts at issue here, this Court also determined AT&amp;T's WACC was appropriate.</w:t>
      </w:r>
      <w:bookmarkStart w:id="364" w:name="co_tablefootnote_345_1"/>
      <w:hyperlink w:anchor="co_tablefootnoteblock_345_1">
        <w:r>
          <w:rPr>
            <w:rFonts w:ascii="Times New Roman" w:hAnsi="Times New Roman"/>
            <w:color w:val="000000"/>
            <w:sz w:val="16"/>
            <w:vertAlign w:val="superscript"/>
          </w:rPr>
          <w:t>345</w:t>
        </w:r>
      </w:hyperlink>
      <w:bookmarkEnd w:id="364"/>
      <w:r>
        <w:rPr>
          <w:rFonts w:ascii="Times New Roman" w:hAnsi="Times New Roman"/>
          <w:color w:val="000000"/>
          <w:sz w:val="20"/>
        </w:rPr>
        <w:t xml:space="preserve"> Ms. Taylor disagrees. Ms. Taylor believes it would be double-counting the benefits the Partnerships experience from AT&amp;T to discount their expected cashflows by using both AT&amp;T's capital structure and AT&amp;T's cost-of-equity. In her view, you either have to forego AT&amp;T's capital structure as PwC did, or add a “size premium” like she did.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But the operative reality of the Partnerships was that AT&amp;T's cost-of-capital financed the Network,</w:t>
      </w:r>
      <w:bookmarkStart w:id="365" w:name="co_tablefootnote_346_1"/>
      <w:hyperlink w:anchor="co_tablefootnoteblock_346_1">
        <w:r>
          <w:rPr>
            <w:rFonts w:ascii="Times New Roman" w:hAnsi="Times New Roman"/>
            <w:color w:val="000000"/>
            <w:sz w:val="16"/>
            <w:vertAlign w:val="superscript"/>
          </w:rPr>
          <w:t>346</w:t>
        </w:r>
      </w:hyperlink>
      <w:bookmarkEnd w:id="365"/>
      <w:r>
        <w:rPr>
          <w:rFonts w:ascii="Times New Roman" w:hAnsi="Times New Roman"/>
          <w:color w:val="000000"/>
          <w:sz w:val="20"/>
        </w:rPr>
        <w:t xml:space="preserve"> and that financing at AT&amp;T's cost-of-capital was the expense allocated to the Partnerships.</w:t>
      </w:r>
      <w:bookmarkStart w:id="366" w:name="co_tablefootnote_347_1"/>
      <w:hyperlink w:anchor="co_tablefootnoteblock_347_1">
        <w:r>
          <w:rPr>
            <w:rFonts w:ascii="Times New Roman" w:hAnsi="Times New Roman"/>
            <w:color w:val="000000"/>
            <w:sz w:val="16"/>
            <w:vertAlign w:val="superscript"/>
          </w:rPr>
          <w:t>347</w:t>
        </w:r>
      </w:hyperlink>
      <w:bookmarkEnd w:id="366"/>
      <w:r>
        <w:rPr>
          <w:rFonts w:ascii="Times New Roman" w:hAnsi="Times New Roman"/>
          <w:color w:val="000000"/>
          <w:sz w:val="20"/>
        </w:rPr>
        <w:t xml:space="preserve"> In other words, AT&amp;T's WACC is the actual WACC that impacted the Minority Partners' distributions. If AT&amp;T's cost-of-debt increased, the Partnerships would have been allocated higher interest expenses. If AT&amp;T's cost to raise capital in public markets increased, the higher cost of capital would have affected investment in the Network as a whole. The fact that AT&amp;T did not necessarily use all the capital it financed on the Network is irrelevant to the fact that all the capital used to finance the Network was raised by AT&amp;T.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 any event, as discussed above, the key difference between Ms. Taylor's and Ms. Barrick's assumed WACCs concerns Ms. Taylor's size premium, which is entirely unsupported. The other differences are nominal but just as specious. For example, Ex. 31 of Ms. Taylor's opening report shows her selected AT&amp;T's debt/total capital ratio (29.1%) as opposed to the Median of her group (43.8%).</w:t>
      </w:r>
      <w:bookmarkStart w:id="367" w:name="co_tablefootnote_348_1"/>
      <w:hyperlink w:anchor="co_tablefootnoteblock_348_1">
        <w:r>
          <w:rPr>
            <w:rFonts w:ascii="Times New Roman" w:hAnsi="Times New Roman"/>
            <w:color w:val="000000"/>
            <w:sz w:val="16"/>
            <w:vertAlign w:val="superscript"/>
          </w:rPr>
          <w:t>348</w:t>
        </w:r>
      </w:hyperlink>
      <w:bookmarkEnd w:id="367"/>
      <w:r>
        <w:rPr>
          <w:rFonts w:ascii="Times New Roman" w:hAnsi="Times New Roman"/>
          <w:color w:val="000000"/>
          <w:sz w:val="20"/>
        </w:rPr>
        <w:t xml:space="preserve"> Because AT&amp;T's cost-of-debt is lower than its cost-of-equity, the lower debt/total ratio increases her WACC.</w:t>
      </w:r>
      <w:bookmarkStart w:id="368" w:name="co_tablefootnote_349_1"/>
      <w:hyperlink w:anchor="co_tablefootnoteblock_349_1">
        <w:r>
          <w:rPr>
            <w:rFonts w:ascii="Times New Roman" w:hAnsi="Times New Roman"/>
            <w:color w:val="000000"/>
            <w:sz w:val="16"/>
            <w:vertAlign w:val="superscript"/>
          </w:rPr>
          <w:t>349</w:t>
        </w:r>
      </w:hyperlink>
      <w:bookmarkEnd w:id="368"/>
      <w:r>
        <w:rPr>
          <w:rFonts w:ascii="Times New Roman" w:hAnsi="Times New Roman"/>
          <w:color w:val="000000"/>
          <w:sz w:val="20"/>
        </w:rPr>
        <w:t xml:space="preserve"> In contrast, Ex. 31 shows she selected the Median unlevered beta (0.61) when AT&amp;T's was slightly lower (0.60), again increasing her WACC.</w:t>
      </w:r>
      <w:bookmarkStart w:id="369" w:name="co_tablefootnote_350_1"/>
      <w:hyperlink w:anchor="co_tablefootnoteblock_350_1">
        <w:r>
          <w:rPr>
            <w:rFonts w:ascii="Times New Roman" w:hAnsi="Times New Roman"/>
            <w:color w:val="000000"/>
            <w:sz w:val="16"/>
            <w:vertAlign w:val="superscript"/>
          </w:rPr>
          <w:t>350</w:t>
        </w:r>
      </w:hyperlink>
      <w:bookmarkEnd w:id="369"/>
      <w:r>
        <w:rPr>
          <w:rFonts w:ascii="Times New Roman" w:hAnsi="Times New Roman"/>
          <w:color w:val="000000"/>
          <w:sz w:val="20"/>
        </w:rPr>
        <w:t xml:space="preserve"> This difference as of the October 12, 2010 valuation date is hardly noticeable, but the purpose becomes clear when one considers the difference as of December 23, 2010 (AT&amp;T: 0.50; Median: 0.63); May 5, 2011 (AT&amp;T: 0.62; Median: 0.71); and June 30, 2011 (AT&amp;T: 0.62; Median: 0.69).</w:t>
      </w:r>
      <w:bookmarkStart w:id="370" w:name="co_tablefootnote_351_1"/>
      <w:hyperlink w:anchor="co_tablefootnoteblock_351_1">
        <w:r>
          <w:rPr>
            <w:rFonts w:ascii="Times New Roman" w:hAnsi="Times New Roman"/>
            <w:color w:val="000000"/>
            <w:sz w:val="16"/>
            <w:vertAlign w:val="superscript"/>
          </w:rPr>
          <w:t>351</w:t>
        </w:r>
      </w:hyperlink>
      <w:bookmarkEnd w:id="370"/>
      <w:r>
        <w:rPr>
          <w:rFonts w:ascii="Times New Roman" w:hAnsi="Times New Roman"/>
          <w:color w:val="000000"/>
          <w:sz w:val="20"/>
        </w:rPr>
        <w:t xml:space="preserve"> Ms. Taylor cherry-picked between AT&amp;T and the median depending on which better served AT&amp;T's interests.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Other differences, such as Ms. Barrick's equity risk premium, weigh in AT&amp;T's favor, though it certainly would be within the Court's broad discretion to adjust Ms. Barrick's WACC to account for AT&amp;T's admission as to its lower equity risk premium. But the overwhelming trial record shows that Plaintiffs have met their burden in providing the Court with an appropriate WACC for the purpose of preparing a responsible estimate of damages.</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6. 3% Growth Rate Is a Responsible Estimate.</w:t>
      </w:r>
    </w:p>
    <w:p>
      <w:pPr>
        <w:spacing w:before="200" w:after="0" w:line="275" w:lineRule="atLeast"/>
        <w:jc w:val="both"/>
      </w:pPr>
      <w:r>
        <w:rPr>
          <w:rFonts w:ascii="Times New Roman" w:hAnsi="Times New Roman"/>
          <w:color w:val="000000"/>
          <w:sz w:val="20"/>
        </w:rPr>
        <w:t>Ms. Barrick's 3% long-term growth rate is the same perpetuity free cashflow growth rate AT&amp;T's Corporate Development department consistently used from 2008 through 2010.</w:t>
      </w:r>
      <w:bookmarkStart w:id="371" w:name="co_tablefootnote_352_1"/>
      <w:hyperlink w:anchor="co_tablefootnoteblock_352_1">
        <w:r>
          <w:rPr>
            <w:rFonts w:ascii="Times New Roman" w:hAnsi="Times New Roman"/>
            <w:color w:val="000000"/>
            <w:sz w:val="16"/>
            <w:vertAlign w:val="superscript"/>
          </w:rPr>
          <w:t>352</w:t>
        </w:r>
      </w:hyperlink>
      <w:bookmarkEnd w:id="371"/>
      <w:r>
        <w:rPr>
          <w:rFonts w:ascii="Times New Roman" w:hAnsi="Times New Roman"/>
          <w:color w:val="000000"/>
          <w:sz w:val="20"/>
        </w:rPr>
        <w:t xml:space="preserve"> AT&amp;T used this 3% perpetuity free cashflow growth rate in the Acquisition Summary prepared in January 2008,</w:t>
      </w:r>
      <w:bookmarkStart w:id="372" w:name="co_tablefootnote_353_1"/>
      <w:hyperlink w:anchor="co_tablefootnoteblock_353_1">
        <w:r>
          <w:rPr>
            <w:rFonts w:ascii="Times New Roman" w:hAnsi="Times New Roman"/>
            <w:color w:val="000000"/>
            <w:sz w:val="16"/>
            <w:vertAlign w:val="superscript"/>
          </w:rPr>
          <w:t>353</w:t>
        </w:r>
      </w:hyperlink>
      <w:bookmarkEnd w:id="372"/>
      <w:r>
        <w:rPr>
          <w:rFonts w:ascii="Times New Roman" w:hAnsi="Times New Roman"/>
          <w:color w:val="000000"/>
          <w:sz w:val="20"/>
        </w:rPr>
        <w:t xml:space="preserve"> and it continued to use the same growth rate two years later in preparing its internal analysis to support AT&amp;T's CEO's approval of the Transactions.</w:t>
      </w:r>
      <w:bookmarkStart w:id="373" w:name="co_tablefootnote_354_1"/>
      <w:hyperlink w:anchor="co_tablefootnoteblock_354_1">
        <w:r>
          <w:rPr>
            <w:rFonts w:ascii="Times New Roman" w:hAnsi="Times New Roman"/>
            <w:color w:val="000000"/>
            <w:sz w:val="16"/>
            <w:vertAlign w:val="superscript"/>
          </w:rPr>
          <w:t>354</w:t>
        </w:r>
      </w:hyperlink>
      <w:bookmarkEnd w:id="373"/>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Notwithstanding AT&amp;T's prolonged and consistent use of the same 3% perpetuity free cashflow growth rate, AT&amp;T claims “Barrick's terminal growth rate of 3% is devoid of reality.”</w:t>
      </w:r>
      <w:bookmarkStart w:id="374" w:name="co_tablefootnote_355_1"/>
      <w:hyperlink w:anchor="co_tablefootnoteblock_355_1">
        <w:r>
          <w:rPr>
            <w:rFonts w:ascii="Times New Roman" w:hAnsi="Times New Roman"/>
            <w:color w:val="000000"/>
            <w:sz w:val="16"/>
            <w:vertAlign w:val="superscript"/>
          </w:rPr>
          <w:t>355</w:t>
        </w:r>
      </w:hyperlink>
      <w:bookmarkEnd w:id="374"/>
      <w:r>
        <w:rPr>
          <w:rFonts w:ascii="Times New Roman" w:hAnsi="Times New Roman"/>
          <w:color w:val="000000"/>
          <w:sz w:val="20"/>
        </w:rPr>
        <w:t xml:space="preserve"> While AT&amp;T claims that </w:t>
      </w:r>
      <w:r>
        <w:rPr>
          <w:rFonts w:ascii="Times New Roman" w:hAnsi="Times New Roman"/>
          <w:i/>
          <w:color w:val="000000"/>
          <w:sz w:val="20"/>
          <w:u w:val="single" w:color="000000"/>
        </w:rPr>
        <w:t>its</w:t>
      </w:r>
      <w:r>
        <w:rPr>
          <w:rFonts w:ascii="Times New Roman" w:hAnsi="Times New Roman"/>
          <w:color w:val="000000"/>
          <w:sz w:val="20"/>
        </w:rPr>
        <w:t xml:space="preserve"> use of a 3% long-term free cashflow growth rate in internal analysis is justified because it used higher discount rates, neither AT&amp;T nor Ms. Taylor has pointed to any theory, literature, or fact that ties a long-term growth rate to the discount rate used in a discounted cashflow analysis. They are two different parts of a DCF analysis that are derived from different and independent inputs and considerations.</w:t>
      </w:r>
      <w:bookmarkStart w:id="375" w:name="co_tablefootnote_356_1"/>
      <w:hyperlink w:anchor="co_tablefootnoteblock_356_1">
        <w:r>
          <w:rPr>
            <w:rFonts w:ascii="Times New Roman" w:hAnsi="Times New Roman"/>
            <w:color w:val="000000"/>
            <w:sz w:val="16"/>
            <w:vertAlign w:val="superscript"/>
          </w:rPr>
          <w:t>356</w:t>
        </w:r>
      </w:hyperlink>
      <w:bookmarkEnd w:id="375"/>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B. A Gut Check: AT&amp;T Knew the Value of What It Was Wrongfully Taking from the Minority Partners.</w:t>
      </w:r>
    </w:p>
    <w:p>
      <w:pPr>
        <w:spacing w:before="200" w:after="0" w:line="275" w:lineRule="atLeast"/>
        <w:jc w:val="both"/>
      </w:pPr>
      <w:r>
        <w:rPr>
          <w:rFonts w:ascii="Times New Roman" w:hAnsi="Times New Roman"/>
          <w:color w:val="000000"/>
          <w:sz w:val="20"/>
        </w:rPr>
        <w:t>AT&amp;T wants a “reality check” on Ms. Barrick's damage estimate. AT&amp;T thinks “[t]he absurdity of Barrick's conclusions is best evidenced by comparing them to ... AT&amp;T's never-completed acquisition of T-Mobile.”</w:t>
      </w:r>
      <w:bookmarkStart w:id="376" w:name="co_tablefootnote_357_1"/>
      <w:hyperlink w:anchor="co_tablefootnoteblock_357_1">
        <w:r>
          <w:rPr>
            <w:rFonts w:ascii="Times New Roman" w:hAnsi="Times New Roman"/>
            <w:color w:val="000000"/>
            <w:sz w:val="16"/>
            <w:vertAlign w:val="superscript"/>
          </w:rPr>
          <w:t>357</w:t>
        </w:r>
      </w:hyperlink>
      <w:bookmarkEnd w:id="376"/>
      <w:r>
        <w:rPr>
          <w:rFonts w:ascii="Times New Roman" w:hAnsi="Times New Roman"/>
          <w:color w:val="000000"/>
          <w:sz w:val="20"/>
        </w:rPr>
        <w:t xml:space="preserve"> That is the deal where AT&amp;T ended-up paying $4.3 billion for nothing. It received no EBIDTA, spectrum or subscribers. The multiples implied by the AT&amp;T/T-Mobile deal price reflect AT&amp;T's much greater risk that the transaction would not close (and AT&amp;T would pay $4.3 billion) or that it would close and AT&amp;T would have to spend $1.8 billion in the first year to integrate a different business with different subscribers into its own. These risks would lead a rational buyer like AT&amp;T to pay a lower multiple than if there were no risks like in its acquisition of the Partnerships, which AT&amp;T operated as an integral part of the Network. The AT&amp;T/T-Mobile deal offers no useful “reality check” here.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Rather, reality itself is the best “reality check” here. AT&amp;T actually prepared an analysis of the savings it would realize by avoided distributions to its partners. AT&amp;T's “savings” were the difference between the unfair price it planned to pay in the Transactions and the present value of the avoided distributions. This “savings” was real for AT&amp;T and increased its profitability. As Ms. Barrick explained, when this analysis is adjusted using AT&amp;T's WACC instead of its “hurdle rate,” for the specific Partnerships at issue, the present value of distributions (minority and majority) is $8,792,246,000:</w:t>
      </w:r>
    </w:p>
    <w:p>
      <w:pPr>
        <w:spacing w:before="0" w:after="0" w:line="275" w:lineRule="atLeast"/>
        <w:jc w:val="both"/>
      </w:pPr>
      <w:r>
        <w:rPr>
          <w:rFonts w:ascii="Times New Roman" w:hAnsi="Times New Roman"/>
          <w:color w:val="000000"/>
          <w:sz w:val="20"/>
        </w:rPr>
        <w:t> </w:t>
      </w:r>
    </w:p>
    <w:bookmarkStart w:id="377" w:name="co_anchor_I705af350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377"/>
    <w:p>
      <w:pPr>
        <w:spacing w:before="0" w:after="0" w:line="275" w:lineRule="atLeast"/>
        <w:jc w:val="both"/>
      </w:pPr>
      <w:r>
        <w:rPr>
          <w:rFonts w:ascii="Times New Roman" w:hAnsi="Times New Roman"/>
          <w:color w:val="000000"/>
          <w:sz w:val="20"/>
        </w:rPr>
        <w:t>Ms. Barrick's calculation of the present value of the Partnership's distributable cashflow was $8,941,000,000, less than a 2% difference.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At trial, Ms. Barrick presented a different look for this analysis, forgoing the interim growth of a projected period (</w:t>
      </w:r>
      <w:r>
        <w:rPr>
          <w:rFonts w:ascii="Times New Roman" w:hAnsi="Times New Roman"/>
          <w:i/>
          <w:color w:val="000000"/>
          <w:sz w:val="20"/>
        </w:rPr>
        <w:t>i.e.,</w:t>
      </w:r>
      <w:r>
        <w:rPr>
          <w:rFonts w:ascii="Times New Roman" w:hAnsi="Times New Roman"/>
          <w:color w:val="000000"/>
          <w:sz w:val="20"/>
        </w:rPr>
        <w:t xml:space="preserve"> the 8% in 2010, 6.5% in 2011 and 3.5% through 2018) and simply capitalized 2009 Partnership distributions using AT&amp;T's WACC and 3% growth rate:</w:t>
      </w:r>
      <w:bookmarkStart w:id="378" w:name="co_tablefootnote_358_1"/>
      <w:hyperlink w:anchor="co_tablefootnoteblock_358_1">
        <w:r>
          <w:rPr>
            <w:rFonts w:ascii="Times New Roman" w:hAnsi="Times New Roman"/>
            <w:color w:val="000000"/>
            <w:sz w:val="16"/>
            <w:vertAlign w:val="superscript"/>
          </w:rPr>
          <w:t>358</w:t>
        </w:r>
      </w:hyperlink>
      <w:bookmarkEnd w:id="378"/>
    </w:p>
    <w:p>
      <w:pPr>
        <w:spacing w:before="0" w:after="0" w:line="275" w:lineRule="atLeast"/>
        <w:jc w:val="both"/>
      </w:pPr>
      <w:r>
        <w:rPr>
          <w:rFonts w:ascii="Times New Roman" w:hAnsi="Times New Roman"/>
          <w:color w:val="000000"/>
          <w:sz w:val="20"/>
        </w:rPr>
        <w:t> </w:t>
      </w:r>
    </w:p>
    <w:bookmarkStart w:id="379" w:name="co_anchor_I705af352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379"/>
    <w:p>
      <w:pPr>
        <w:spacing w:before="0" w:after="0" w:line="275" w:lineRule="atLeast"/>
        <w:jc w:val="both"/>
      </w:pPr>
      <w:r>
        <w:rPr>
          <w:rFonts w:ascii="Times New Roman" w:hAnsi="Times New Roman"/>
          <w:color w:val="000000"/>
          <w:sz w:val="20"/>
        </w:rPr>
        <w:t>The $149.6 million value of Plaintiffs' interests is slightly above Ms. Barrick's $148.3 million damage calculation (a less than 1% difference). In essence, this is the very same capitalization that Corporate Development performed in preparing its analysis for the CEO's sign-off on the Transactions.</w:t>
      </w:r>
      <w:bookmarkStart w:id="380" w:name="co_tablefootnote_359_1"/>
      <w:hyperlink w:anchor="co_tablefootnoteblock_359_1">
        <w:r>
          <w:rPr>
            <w:rFonts w:ascii="Times New Roman" w:hAnsi="Times New Roman"/>
            <w:color w:val="000000"/>
            <w:sz w:val="16"/>
            <w:vertAlign w:val="superscript"/>
          </w:rPr>
          <w:t>359</w:t>
        </w:r>
      </w:hyperlink>
      <w:bookmarkEnd w:id="380"/>
      <w:r>
        <w:rPr>
          <w:rFonts w:ascii="Times New Roman" w:hAnsi="Times New Roman"/>
          <w:color w:val="000000"/>
          <w:sz w:val="20"/>
        </w:rPr>
        <w:t xml:space="preserve"> Both approaches conform with Ms. Barrick's estimated damages.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Running from its own analysis, AT&amp;T claims that Ms. Barrick “extrapolates these excessive [2009] distributions in perpetuity, which is impossible.”</w:t>
      </w:r>
      <w:bookmarkStart w:id="381" w:name="co_tablefootnote_360_1"/>
      <w:hyperlink w:anchor="co_tablefootnoteblock_360_1">
        <w:r>
          <w:rPr>
            <w:rFonts w:ascii="Times New Roman" w:hAnsi="Times New Roman"/>
            <w:color w:val="000000"/>
            <w:sz w:val="16"/>
            <w:vertAlign w:val="superscript"/>
          </w:rPr>
          <w:t>360</w:t>
        </w:r>
      </w:hyperlink>
      <w:bookmarkEnd w:id="381"/>
      <w:r>
        <w:rPr>
          <w:rFonts w:ascii="Times New Roman" w:hAnsi="Times New Roman"/>
          <w:color w:val="000000"/>
          <w:sz w:val="20"/>
        </w:rPr>
        <w:t xml:space="preserve"> Setting aside its self-critical nature, the contention is wildly overstated. In its analysis to determine the cashflow per share impact the Transactions would have, AT&amp;T assumed 95% of free cashflow would be </w:t>
      </w:r>
      <w:r>
        <w:rPr>
          <w:rFonts w:ascii="Times New Roman" w:hAnsi="Times New Roman"/>
          <w:b/>
          <w:color w:val="000000"/>
          <w:sz w:val="20"/>
        </w:rPr>
        <w:t>distributed</w:t>
      </w:r>
      <w:r>
        <w:rPr>
          <w:rFonts w:ascii="Times New Roman" w:hAnsi="Times New Roman"/>
          <w:color w:val="000000"/>
          <w:sz w:val="20"/>
        </w:rPr>
        <w:t xml:space="preserve"> by the Partnerships:</w:t>
      </w:r>
      <w:bookmarkStart w:id="382" w:name="co_tablefootnote_361_1"/>
      <w:hyperlink w:anchor="co_tablefootnoteblock_361_1">
        <w:r>
          <w:rPr>
            <w:rFonts w:ascii="Times New Roman" w:hAnsi="Times New Roman"/>
            <w:color w:val="000000"/>
            <w:sz w:val="16"/>
            <w:vertAlign w:val="superscript"/>
          </w:rPr>
          <w:t>361</w:t>
        </w:r>
      </w:hyperlink>
      <w:bookmarkEnd w:id="382"/>
    </w:p>
    <w:p>
      <w:pPr>
        <w:spacing w:before="0" w:after="0" w:line="275" w:lineRule="atLeast"/>
        <w:jc w:val="both"/>
      </w:pPr>
      <w:r>
        <w:rPr>
          <w:rFonts w:ascii="Times New Roman" w:hAnsi="Times New Roman"/>
          <w:color w:val="000000"/>
          <w:sz w:val="20"/>
        </w:rPr>
        <w:t> </w:t>
      </w:r>
    </w:p>
    <w:bookmarkStart w:id="383" w:name="co_anchor_I705af354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383"/>
    <w:p>
      <w:pPr>
        <w:spacing w:before="0" w:after="0" w:line="275" w:lineRule="atLeast"/>
        <w:jc w:val="both"/>
      </w:pPr>
      <w:r>
        <w:rPr>
          <w:rFonts w:ascii="Times New Roman" w:hAnsi="Times New Roman"/>
          <w:color w:val="000000"/>
          <w:sz w:val="20"/>
        </w:rPr>
        <w:t>Had Ms. Barrick instead used 95% of what Ms. Taylor claims was distributable - EBITDA less CapEx - to prepare JX-3604, the resulting capitalization of Plaintiffs' distributions would have equaled 90% of Ms. Barrick's estimate of damages instead of 101% shown in JX-3604 above. This makes clear, as Plaintiffs briefed pre-trial, that the real difference in opinion is not the value of the distributions capitalized, but the capitalization rate, growth and tax assumptions used. Plaintiffs demonstrated, and AT&amp;T has not rebutted, that if the ‘hurdle rate,’ growth, and tax assumptions used by PwC are used to calculate the present value of distributions in AT&amp;T's avoided distribution analysis, the total value falls over 73% - from $8,792,246,000 to $2,351,017,000:</w:t>
      </w:r>
    </w:p>
    <w:p>
      <w:pPr>
        <w:spacing w:before="0" w:after="0" w:line="275" w:lineRule="atLeast"/>
        <w:jc w:val="both"/>
      </w:pPr>
      <w:r>
        <w:rPr>
          <w:rFonts w:ascii="Times New Roman" w:hAnsi="Times New Roman"/>
          <w:color w:val="000000"/>
          <w:sz w:val="20"/>
        </w:rPr>
        <w:t> </w:t>
      </w:r>
    </w:p>
    <w:bookmarkStart w:id="384" w:name="co_anchor_I705af356adb411ec8c80dd32e620"/>
    <w:p>
      <w:pPr>
        <w:spacing w:before="200" w:after="0" w:line="275" w:lineRule="atLeast"/>
        <w:jc w:val="both"/>
      </w:pPr>
      <w:r>
        <w:rPr>
          <w:rFonts w:ascii="Times New Roman" w:hAnsi="Times New Roman"/>
          <w:color w:val="000000"/>
          <w:sz w:val="20"/>
        </w:rPr>
        <w:t>TABULAR OR GRAPHIC MATERIAL SET FORTH AT THIS POINT IS NOT DISPLAYABLE</w:t>
      </w:r>
    </w:p>
    <w:bookmarkEnd w:id="384"/>
    <w:p>
      <w:pPr>
        <w:spacing w:before="0" w:after="0" w:line="275" w:lineRule="atLeast"/>
        <w:jc w:val="both"/>
      </w:pPr>
      <w:r>
        <w:rPr>
          <w:rFonts w:ascii="Times New Roman" w:hAnsi="Times New Roman"/>
          <w:color w:val="000000"/>
          <w:sz w:val="20"/>
        </w:rPr>
        <w:t>The sum of PwC Valuations of the Partnerships is $2,344,700,000 - a mere 0.27% rounding error off AT&amp;T's $2.4 billion internal estimate to eliminate its minority interest expense, which is not a coincidence.</w:t>
      </w:r>
      <w:bookmarkStart w:id="385" w:name="co_tablefootnote_362_1"/>
      <w:hyperlink w:anchor="co_tablefootnoteblock_362_1">
        <w:r>
          <w:rPr>
            <w:rFonts w:ascii="Times New Roman" w:hAnsi="Times New Roman"/>
            <w:color w:val="000000"/>
            <w:sz w:val="16"/>
            <w:vertAlign w:val="superscript"/>
          </w:rPr>
          <w:t>362</w:t>
        </w:r>
      </w:hyperlink>
      <w:bookmarkEnd w:id="385"/>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trial evidence shows that each of Ms. Barrick's assumptions are reasonable and that her damage estimate is responsible.</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III. AWARD OF ATTORNEYS' FEES AND EXPENSES</w:t>
      </w:r>
    </w:p>
    <w:p>
      <w:pPr>
        <w:spacing w:before="200" w:after="0" w:line="275" w:lineRule="atLeast"/>
        <w:jc w:val="both"/>
      </w:pPr>
      <w:r>
        <w:rPr>
          <w:rFonts w:ascii="Times New Roman" w:hAnsi="Times New Roman"/>
          <w:color w:val="000000"/>
          <w:sz w:val="20"/>
        </w:rPr>
        <w:t>Plaintiffs' attorneys' fees and expenses should be awarded. The Court shifts fees “</w:t>
      </w:r>
      <w:r>
        <w:rPr>
          <w:rFonts w:ascii="Times New Roman" w:hAnsi="Times New Roman"/>
          <w:i/>
          <w:color w:val="000000"/>
          <w:sz w:val="20"/>
        </w:rPr>
        <w:t>‘to</w:t>
      </w:r>
      <w:r>
        <w:rPr>
          <w:rFonts w:ascii="Times New Roman" w:hAnsi="Times New Roman"/>
          <w:color w:val="000000"/>
          <w:sz w:val="20"/>
        </w:rPr>
        <w:t xml:space="preserve"> discourage outright acts of disloyalty’ and to avoid penalizing plaintiffs ‘for bringing a successful claim.’ ”</w:t>
      </w:r>
      <w:bookmarkStart w:id="386" w:name="co_tablefootnote_363_1"/>
      <w:hyperlink w:anchor="co_tablefootnoteblock_363_1">
        <w:r>
          <w:rPr>
            <w:rFonts w:ascii="Times New Roman" w:hAnsi="Times New Roman"/>
            <w:color w:val="000000"/>
            <w:sz w:val="16"/>
            <w:vertAlign w:val="superscript"/>
          </w:rPr>
          <w:t>363</w:t>
        </w:r>
      </w:hyperlink>
      <w:bookmarkEnd w:id="386"/>
      <w:r>
        <w:rPr>
          <w:rFonts w:ascii="Times New Roman" w:hAnsi="Times New Roman"/>
          <w:color w:val="000000"/>
          <w:sz w:val="20"/>
        </w:rPr>
        <w:t xml:space="preserve"> AT&amp;T does not brief this issue.</w:t>
      </w:r>
      <w:bookmarkStart w:id="387" w:name="co_tablefootnote_364_1"/>
      <w:hyperlink w:anchor="co_tablefootnoteblock_364_1">
        <w:r>
          <w:rPr>
            <w:rFonts w:ascii="Times New Roman" w:hAnsi="Times New Roman"/>
            <w:color w:val="000000"/>
            <w:sz w:val="16"/>
            <w:vertAlign w:val="superscript"/>
          </w:rPr>
          <w:t>364</w:t>
        </w:r>
      </w:hyperlink>
      <w:bookmarkEnd w:id="387"/>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merely footnotes that a fee award does not always follow a successful claim. AT&amp;T does not explain why it should not follow here. AT&amp;T cites inapposite caselaw. Neither </w:t>
      </w:r>
      <w:r>
        <w:rPr>
          <w:rFonts w:ascii="Times New Roman" w:hAnsi="Times New Roman"/>
          <w:i/>
          <w:color w:val="000000"/>
          <w:sz w:val="20"/>
        </w:rPr>
        <w:t>Weinberger nor B&amp;L Cellular</w:t>
      </w:r>
      <w:r>
        <w:rPr>
          <w:rFonts w:ascii="Times New Roman" w:hAnsi="Times New Roman"/>
          <w:color w:val="000000"/>
          <w:sz w:val="20"/>
        </w:rPr>
        <w:t xml:space="preserve"> involved a controller that hired a conflicted advisor who the controller thought would be “effective[] as a potential witness”</w:t>
      </w:r>
      <w:bookmarkStart w:id="388" w:name="co_tablefootnote_365_1"/>
      <w:hyperlink w:anchor="co_tablefootnoteblock_365_1">
        <w:r>
          <w:rPr>
            <w:rFonts w:ascii="Times New Roman" w:hAnsi="Times New Roman"/>
            <w:color w:val="000000"/>
            <w:sz w:val="16"/>
            <w:vertAlign w:val="superscript"/>
          </w:rPr>
          <w:t>365</w:t>
        </w:r>
      </w:hyperlink>
      <w:bookmarkEnd w:id="388"/>
      <w:r>
        <w:rPr>
          <w:rFonts w:ascii="Times New Roman" w:hAnsi="Times New Roman"/>
          <w:color w:val="000000"/>
          <w:sz w:val="20"/>
        </w:rPr>
        <w:t xml:space="preserve"> to put its name on valuations the controller essentially prepared itself. This Court cannot encourage such outright disloyalty, particularly when AT&amp;T walks from this litigation with the distinction of being the party most obstructive of the discovery process in this Court's experience.</w:t>
      </w:r>
      <w:bookmarkStart w:id="389" w:name="co_tablefootnote_366_1"/>
      <w:hyperlink w:anchor="co_tablefootnoteblock_366_1">
        <w:r>
          <w:rPr>
            <w:rFonts w:ascii="Times New Roman" w:hAnsi="Times New Roman"/>
            <w:color w:val="000000"/>
            <w:sz w:val="16"/>
            <w:vertAlign w:val="superscript"/>
          </w:rPr>
          <w:t>366</w:t>
        </w:r>
      </w:hyperlink>
      <w:bookmarkEnd w:id="389"/>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IV. INTEREST AND COSTS</w:t>
      </w:r>
    </w:p>
    <w:p>
      <w:pPr>
        <w:spacing w:before="200" w:after="0" w:line="275" w:lineRule="atLeast"/>
        <w:jc w:val="both"/>
      </w:pPr>
      <w:r>
        <w:rPr>
          <w:rFonts w:ascii="Times New Roman" w:hAnsi="Times New Roman"/>
          <w:color w:val="000000"/>
          <w:sz w:val="20"/>
        </w:rPr>
        <w:t>Plaintiffs request pre-judgment interest on any judgment. “[A] successful plaintiff is entitled to interest on money damages as a matter of right from the date liability accrues.”</w:t>
      </w:r>
      <w:bookmarkStart w:id="390" w:name="co_tablefootnote_367_1"/>
      <w:hyperlink w:anchor="co_tablefootnoteblock_367_1">
        <w:r>
          <w:rPr>
            <w:rFonts w:ascii="Times New Roman" w:hAnsi="Times New Roman"/>
            <w:color w:val="000000"/>
            <w:sz w:val="16"/>
            <w:vertAlign w:val="superscript"/>
          </w:rPr>
          <w:t>367</w:t>
        </w:r>
      </w:hyperlink>
      <w:bookmarkEnd w:id="390"/>
      <w:r>
        <w:rPr>
          <w:rFonts w:ascii="Times New Roman" w:hAnsi="Times New Roman"/>
          <w:color w:val="000000"/>
          <w:sz w:val="20"/>
        </w:rPr>
        <w:t xml:space="preserve"> Plaintiffs are also entitled to post-judgment interest on any award. Defendants are sophisticated business enterprises. Interest should be awarded at the legal rate</w:t>
      </w:r>
      <w:bookmarkStart w:id="391" w:name="co_tablefootnote_368_1"/>
      <w:hyperlink w:anchor="co_tablefootnoteblock_368_1">
        <w:r>
          <w:rPr>
            <w:rFonts w:ascii="Times New Roman" w:hAnsi="Times New Roman"/>
            <w:color w:val="000000"/>
            <w:sz w:val="16"/>
            <w:vertAlign w:val="superscript"/>
          </w:rPr>
          <w:t>368</w:t>
        </w:r>
      </w:hyperlink>
      <w:bookmarkEnd w:id="391"/>
      <w:r>
        <w:rPr>
          <w:rFonts w:ascii="Times New Roman" w:hAnsi="Times New Roman"/>
          <w:color w:val="000000"/>
          <w:sz w:val="20"/>
        </w:rPr>
        <w:t xml:space="preserve"> and compounded monthly.</w:t>
      </w:r>
      <w:bookmarkStart w:id="392" w:name="co_tablefootnote_369_1"/>
      <w:hyperlink w:anchor="co_tablefootnoteblock_369_1">
        <w:r>
          <w:rPr>
            <w:rFonts w:ascii="Times New Roman" w:hAnsi="Times New Roman"/>
            <w:color w:val="000000"/>
            <w:sz w:val="16"/>
            <w:vertAlign w:val="superscript"/>
          </w:rPr>
          <w:t>369</w:t>
        </w:r>
      </w:hyperlink>
      <w:bookmarkEnd w:id="392"/>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Plaintiffs are also entitled to costs. Ct. Ch. </w:t>
      </w:r>
      <w:hyperlink r:id="r65">
        <w:r>
          <w:rPr>
            <w:rFonts w:ascii="Times New Roman" w:hAnsi="Times New Roman"/>
            <w:color w:val="000000"/>
            <w:sz w:val="20"/>
          </w:rPr>
          <w:t>Rule 54(d)</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CONCLUSION</w:t>
      </w:r>
    </w:p>
    <w:p>
      <w:pPr>
        <w:spacing w:before="200" w:after="0" w:line="275" w:lineRule="atLeast"/>
        <w:jc w:val="both"/>
      </w:pPr>
      <w:r>
        <w:rPr>
          <w:rFonts w:ascii="Times New Roman" w:hAnsi="Times New Roman"/>
          <w:color w:val="000000"/>
          <w:sz w:val="20"/>
        </w:rPr>
        <w:t>For the foregoing reasons, Plaintiffs respectfully request that judgment in the amount of $148,289,060, plus interest, costs and attorneys' fees and expenses be entered against AT&amp;T.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COOCH AND TAYLOR, P.A.</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By: </w:t>
      </w:r>
      <w:r>
        <w:rPr>
          <w:rFonts w:ascii="Times New Roman" w:hAnsi="Times New Roman"/>
          <w:i/>
          <w:color w:val="000000"/>
          <w:sz w:val="20"/>
          <w:u w:val="single" w:color="000000"/>
        </w:rPr>
        <w:t>/s/ Carmella P. Keener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Carmella P. Keener (#2810)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Nemours Building</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1007 North Orange Street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Suite 1120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Wilmington, Delaware 19801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(302) 984-3816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OF COUNSEL:</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AJAMIE LLP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Thomas R. Ajamie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David S. Siegel</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Ryan van Steenis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Pennzoil Place, South Tower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711 Louisiana Street, Suite 2150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Houston, Texas 77002</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(713) 860-1600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Michael A. Pullara</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1111 Hermann Drive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Suite 21A</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Houston, Texas 77004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(713) 522-0733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i/>
          <w:color w:val="000000"/>
          <w:sz w:val="20"/>
        </w:rPr>
        <w:t>Attorneys for APR Plaintiffs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Dated: April 28, 2021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PRICKETT, JONES &amp; ELLIOTT, P.A.</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By: </w:t>
      </w:r>
      <w:r>
        <w:rPr>
          <w:rFonts w:ascii="Times New Roman" w:hAnsi="Times New Roman"/>
          <w:i/>
          <w:color w:val="000000"/>
          <w:sz w:val="20"/>
          <w:u w:val="single" w:color="000000"/>
        </w:rPr>
        <w:t>/s/Marcus E. Montetejo</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Marcus E. Montejo (#4890)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Kevin H. Davenport (#5327)</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John G. Day (#6023)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1310 King Street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Wilmington, Delaware 19801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(302) 888-6500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i/>
          <w:color w:val="000000"/>
          <w:sz w:val="20"/>
        </w:rPr>
        <w:t>Attorneys for Prickett Plaintiffs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b/>
          <w:color w:val="000000"/>
          <w:sz w:val="20"/>
        </w:rPr>
        <w:t>Words: 17,995</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b/>
          <w:color w:val="000000"/>
          <w:sz w:val="20"/>
        </w:rPr>
        <w:t>(Limit exceeded per Order governing Post-Trial briefing.)</w:t>
      </w:r>
    </w:p>
    <w:p>
      <w:pPr>
        <w:spacing w:before="0" w:after="0" w:line="275" w:lineRule="atLeast"/>
        <w:jc w:val="both"/>
      </w:pPr>
      <w:r>
        <w:rPr>
          <w:rFonts w:ascii="Times New Roman" w:hAnsi="Times New Roman"/>
          <w:color w:val="000000"/>
          <w:sz w:val="20"/>
        </w:rPr>
        <w:t> </w:t>
      </w:r>
    </w:p>
    <w:p>
      <w:pPr>
        <w:spacing w:before="0" w:after="0" w:line="240" w:lineRule="auto"/>
        <w:rPr>
          <w:sz w:val="60"/>
        </w:rPr>
      </w:pPr>
    </w:p>
    <w:tbl>
      <w:tblPr>
        <w:tblLayout w:type="fixed"/>
      </w:tblPr>
      <w:tblGrid>
        <w:gridCol w:w="600"/>
        <w:gridCol w:w="9450"/>
      </w:tblGrid>
      <w:bookmarkStart w:id="393" w:name="co_footnoteSection_1"/>
      <w:tr>
        <w:tblPrEx/>
        <w:trPr/>
        <w:tc>
          <w:tcPr>
            <w:hMerge w:val="restart"/>
            <w:tcMar>
              <w:bottom w:w="300" w:type="dxa"/>
            </w:tcMar>
            <w:vAlign w:val="top"/>
          </w:tcPr>
          <w:p>
            <w:pPr>
              <w:spacing w:before="0" w:after="0" w:line="275" w:lineRule="atLeast"/>
              <w:jc w:val="center"/>
            </w:pPr>
            <w:r>
              <w:rPr>
                <w:rFonts w:ascii="Times New Roman" w:hAnsi="Times New Roman"/>
                <w:b/>
                <w:color w:val="000000"/>
                <w:sz w:val="22"/>
              </w:rPr>
              <w:t>Footnotes</w:t>
            </w:r>
          </w:p>
        </w:tc>
        <w:tc>
          <w:tcPr>
            <w:hMerge w:val="continue"/>
            <w:tcMar>
              <w:bottom w:w="300" w:type="dxa"/>
            </w:tcMar>
            <w:vAlign w:val="top"/>
          </w:tcPr>
          <w:p>
            <w:pPr>
              <w:spacing w:before="0" w:after="0" w:line="240" w:lineRule="auto"/>
              <w:rPr>
                <w:rFonts w:ascii="Times New Roman" w:hAnsi="Times New Roman"/>
                <w:b/>
                <w:color w:val="000000"/>
                <w:sz w:val="22"/>
              </w:rPr>
            </w:pPr>
          </w:p>
        </w:tc>
      </w:tr>
      <w:bookmarkEnd w:id="393"/>
      <w:tr>
        <w:tblPrEx/>
        <w:trPr/>
        <w:tc>
          <w:tcPr>
            <w:vAlign w:val="top"/>
          </w:tcPr>
          <w:p>
            <w:pPr>
              <w:spacing w:before="0" w:after="0" w:line="275" w:lineRule="atLeast"/>
            </w:pPr>
            <w:hyperlink w:anchor="co_tablefootnote_1_1">
              <w:r>
                <w:rPr>
                  <w:rFonts w:ascii="Times New Roman" w:hAnsi="Times New Roman"/>
                  <w:color w:val="000000"/>
                  <w:sz w:val="20"/>
                  <w:vertAlign w:val="superscript"/>
                </w:rPr>
                <w:t>1</w:t>
              </w:r>
            </w:hyperlink>
          </w:p>
        </w:tc>
        <w:tc>
          <w:tcPr>
            <w:vAlign w:val="top"/>
          </w:tcPr>
          <w:p>
            <w:pPr>
              <w:pBdr>
                <w:bottom w:val="none" w:space="8"/>
              </w:pBdr>
              <w:spacing w:before="0" w:after="0" w:line="275" w:lineRule="atLeast"/>
              <w:jc w:val="both"/>
            </w:pPr>
            <w:r>
              <w:rPr>
                <w:rFonts w:ascii="Times New Roman" w:hAnsi="Times New Roman"/>
                <w:color w:val="000000"/>
                <w:sz w:val="20"/>
              </w:rPr>
              <w:t>Capitalized terms not otherwise defined herein have the same meaning as set forth in the Joint PreTrial Stipulation and Order (Trans. ID 66179385) (“PTO”). Citations to evidence from the Joint Exhibit List are made as “JX-___.” Citations to depositions lodged with the Court pursuant to ¶ 533 of the PTO are made as “[Witness Last Name] Dep. Tr ___.” Citations to the trial transcript are made as “Tr..” Defendants' Opening Post-Trial Brief on the Asset Sale Transactions (Trans. ID 66403733) is referred to herein as “Defs. OPTB.” Plaintiffs' Post-Trial Opening Brief in Support of their Breach of Contract Claims (Trans. ID 66400697) is referred to herein as “Pls. OPTB.”</w:t>
            </w:r>
          </w:p>
        </w:tc>
      </w:tr>
      <w:tr>
        <w:tblPrEx/>
        <w:trPr/>
        <w:tc>
          <w:tcPr>
            <w:vAlign w:val="top"/>
          </w:tcPr>
          <w:p>
            <w:pPr>
              <w:spacing w:before="0" w:after="0" w:line="275" w:lineRule="atLeast"/>
            </w:pPr>
            <w:hyperlink w:anchor="co_tablefootnote_2_1">
              <w:r>
                <w:rPr>
                  <w:rFonts w:ascii="Times New Roman" w:hAnsi="Times New Roman"/>
                  <w:color w:val="000000"/>
                  <w:sz w:val="20"/>
                  <w:vertAlign w:val="superscript"/>
                </w:rPr>
                <w:t>2</w:t>
              </w:r>
            </w:hyperlink>
          </w:p>
        </w:tc>
        <w:tc>
          <w:tcPr>
            <w:vAlign w:val="top"/>
          </w:tcPr>
          <w:p>
            <w:pPr>
              <w:pBdr>
                <w:bottom w:val="none" w:space="8"/>
              </w:pBdr>
              <w:spacing w:before="0" w:after="0" w:line="275" w:lineRule="atLeast"/>
              <w:jc w:val="both"/>
            </w:pPr>
            <w:r>
              <w:rPr>
                <w:rFonts w:ascii="Times New Roman" w:hAnsi="Times New Roman"/>
                <w:color w:val="000000"/>
                <w:sz w:val="20"/>
              </w:rPr>
              <w:t>JX-2590 at 7 (“A buyout would result in an avoidance of $186M in distribution and dividend payments over 10 years: $113M on a DCF basis over 10 years; Total savings of $243M in perpetuity”).</w:t>
            </w:r>
          </w:p>
        </w:tc>
      </w:tr>
      <w:tr>
        <w:tblPrEx/>
        <w:trPr/>
        <w:tc>
          <w:tcPr>
            <w:vAlign w:val="top"/>
          </w:tcPr>
          <w:p>
            <w:pPr>
              <w:spacing w:before="0" w:after="0" w:line="275" w:lineRule="atLeast"/>
            </w:pPr>
            <w:hyperlink w:anchor="co_tablefootnote_3_1">
              <w:r>
                <w:rPr>
                  <w:rFonts w:ascii="Times New Roman" w:hAnsi="Times New Roman"/>
                  <w:color w:val="000000"/>
                  <w:sz w:val="20"/>
                  <w:vertAlign w:val="superscript"/>
                </w:rPr>
                <w:t>3</w:t>
              </w:r>
            </w:hyperlink>
          </w:p>
        </w:tc>
        <w:tc>
          <w:tcPr>
            <w:vAlign w:val="top"/>
          </w:tcPr>
          <w:p>
            <w:pPr>
              <w:pBdr>
                <w:bottom w:val="none" w:space="8"/>
              </w:pBdr>
              <w:spacing w:before="0" w:after="0" w:line="275" w:lineRule="atLeast"/>
              <w:jc w:val="both"/>
            </w:pPr>
            <w:r>
              <w:rPr>
                <w:rFonts w:ascii="Times New Roman" w:hAnsi="Times New Roman"/>
                <w:color w:val="000000"/>
                <w:sz w:val="20"/>
              </w:rPr>
              <w:t>Tr. 584:13-585:13 (Teske-Cross).</w:t>
            </w:r>
          </w:p>
        </w:tc>
      </w:tr>
      <w:tr>
        <w:tblPrEx/>
        <w:trPr/>
        <w:tc>
          <w:tcPr>
            <w:vAlign w:val="top"/>
          </w:tcPr>
          <w:p>
            <w:pPr>
              <w:spacing w:before="0" w:after="0" w:line="275" w:lineRule="atLeast"/>
            </w:pPr>
            <w:hyperlink w:anchor="co_tablefootnote_4_1">
              <w:r>
                <w:rPr>
                  <w:rFonts w:ascii="Times New Roman" w:hAnsi="Times New Roman"/>
                  <w:color w:val="000000"/>
                  <w:sz w:val="20"/>
                  <w:vertAlign w:val="superscript"/>
                </w:rPr>
                <w:t>4</w:t>
              </w:r>
            </w:hyperlink>
          </w:p>
        </w:tc>
        <w:tc>
          <w:tcPr>
            <w:vAlign w:val="top"/>
          </w:tcPr>
          <w:p>
            <w:pPr>
              <w:pBdr>
                <w:bottom w:val="none" w:space="8"/>
              </w:pBdr>
              <w:spacing w:before="0" w:after="0" w:line="275" w:lineRule="atLeast"/>
              <w:jc w:val="both"/>
            </w:pPr>
            <w:r>
              <w:rPr>
                <w:rFonts w:ascii="Times New Roman" w:hAnsi="Times New Roman"/>
                <w:color w:val="000000"/>
                <w:sz w:val="20"/>
              </w:rPr>
              <w:t>Tr. 585:14-18 (Teske-Cross).</w:t>
            </w:r>
          </w:p>
        </w:tc>
      </w:tr>
      <w:tr>
        <w:tblPrEx/>
        <w:trPr/>
        <w:tc>
          <w:tcPr>
            <w:vAlign w:val="top"/>
          </w:tcPr>
          <w:p>
            <w:pPr>
              <w:spacing w:before="0" w:after="0" w:line="275" w:lineRule="atLeast"/>
            </w:pPr>
            <w:hyperlink w:anchor="co_tablefootnote_5_1">
              <w:r>
                <w:rPr>
                  <w:rFonts w:ascii="Times New Roman" w:hAnsi="Times New Roman"/>
                  <w:color w:val="000000"/>
                  <w:sz w:val="20"/>
                  <w:vertAlign w:val="superscript"/>
                </w:rPr>
                <w:t>5</w:t>
              </w:r>
            </w:hyperlink>
          </w:p>
        </w:tc>
        <w:tc>
          <w:tcPr>
            <w:vAlign w:val="top"/>
          </w:tcPr>
          <w:p>
            <w:pPr>
              <w:pBdr>
                <w:bottom w:val="none" w:space="8"/>
              </w:pBdr>
              <w:spacing w:before="0" w:after="0" w:line="275" w:lineRule="atLeast"/>
              <w:jc w:val="both"/>
            </w:pPr>
            <w:r>
              <w:rPr>
                <w:rFonts w:ascii="Times New Roman" w:hAnsi="Times New Roman"/>
                <w:color w:val="000000"/>
                <w:sz w:val="20"/>
              </w:rPr>
              <w:t>JX-616 at 2.</w:t>
            </w:r>
          </w:p>
        </w:tc>
      </w:tr>
      <w:tr>
        <w:tblPrEx/>
        <w:trPr/>
        <w:tc>
          <w:tcPr>
            <w:vAlign w:val="top"/>
          </w:tcPr>
          <w:p>
            <w:pPr>
              <w:spacing w:before="0" w:after="0" w:line="275" w:lineRule="atLeast"/>
            </w:pPr>
            <w:hyperlink w:anchor="co_tablefootnote_6_1">
              <w:r>
                <w:rPr>
                  <w:rFonts w:ascii="Times New Roman" w:hAnsi="Times New Roman"/>
                  <w:color w:val="000000"/>
                  <w:sz w:val="20"/>
                  <w:vertAlign w:val="superscript"/>
                </w:rPr>
                <w:t>6</w:t>
              </w:r>
            </w:hyperlink>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JX-1473 (showing the minority interest expense attributable to the Partnerships was the fastest growing part); Tr. 665:17-666:8 (Teske-Cross) (“Q. And they were reporting to you telling you that the 21 proposed buyouts were growing 3 percent quicker than all the other minority entities; right? A. That is what this says, yes.”).</w:t>
            </w:r>
          </w:p>
        </w:tc>
      </w:tr>
      <w:tr>
        <w:tblPrEx/>
        <w:trPr/>
        <w:tc>
          <w:tcPr>
            <w:vAlign w:val="top"/>
          </w:tcPr>
          <w:p>
            <w:pPr>
              <w:spacing w:before="0" w:after="0" w:line="275" w:lineRule="atLeast"/>
            </w:pPr>
            <w:hyperlink w:anchor="co_tablefootnote_7_1">
              <w:r>
                <w:rPr>
                  <w:rFonts w:ascii="Times New Roman" w:hAnsi="Times New Roman"/>
                  <w:color w:val="000000"/>
                  <w:sz w:val="20"/>
                  <w:vertAlign w:val="superscript"/>
                </w:rPr>
                <w:t>7</w:t>
              </w:r>
            </w:hyperlink>
          </w:p>
        </w:tc>
        <w:tc>
          <w:tcPr>
            <w:vAlign w:val="top"/>
          </w:tcPr>
          <w:p>
            <w:pPr>
              <w:pBdr>
                <w:bottom w:val="none" w:space="8"/>
              </w:pBdr>
              <w:spacing w:before="0" w:after="0" w:line="275" w:lineRule="atLeast"/>
              <w:jc w:val="both"/>
            </w:pPr>
            <w:hyperlink r:id="r66">
              <w:r>
                <w:rPr>
                  <w:rFonts w:ascii="Times New Roman" w:hAnsi="Times New Roman"/>
                  <w:i/>
                  <w:color w:val="000000"/>
                  <w:sz w:val="20"/>
                </w:rPr>
                <w:t>In re Pure Res., Inc. S'holders Litig.,</w:t>
              </w:r>
              <w:r>
                <w:rPr>
                  <w:rFonts w:ascii="Times New Roman" w:hAnsi="Times New Roman"/>
                  <w:color w:val="000000"/>
                  <w:sz w:val="20"/>
                </w:rPr>
                <w:t xml:space="preserve"> 808 A.2d 421, 436 (Del. Ch. 2002)</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8_1">
              <w:r>
                <w:rPr>
                  <w:rFonts w:ascii="Times New Roman" w:hAnsi="Times New Roman"/>
                  <w:color w:val="000000"/>
                  <w:sz w:val="20"/>
                  <w:vertAlign w:val="superscript"/>
                </w:rPr>
                <w:t>8</w:t>
              </w:r>
            </w:hyperlink>
          </w:p>
        </w:tc>
        <w:tc>
          <w:tcPr>
            <w:vAlign w:val="top"/>
          </w:tcPr>
          <w:p>
            <w:pPr>
              <w:pBdr>
                <w:bottom w:val="none" w:space="8"/>
              </w:pBdr>
              <w:spacing w:before="0" w:after="0" w:line="275" w:lineRule="atLeast"/>
              <w:jc w:val="both"/>
            </w:pPr>
            <w:r>
              <w:rPr>
                <w:rFonts w:ascii="Times New Roman" w:hAnsi="Times New Roman"/>
                <w:color w:val="000000"/>
                <w:sz w:val="20"/>
              </w:rPr>
              <w:t>JX-2522 at 2 (“These are the only entities where we can execute purchase without partner consent”); JX-616 at 6 (“Clear legal path forward on buyout...”), 12 (8x 2008 EBITDA). In fact, the first of the transactions were the short-form corporate mergers at issue in the Appraisal Action because they were the easiest for AT&amp;T to execute. Tr. 583:7-10 (Teske-Cross) (“Q. Right. Because all along, AT&amp;T knew that those were the easiest to execute and the first to go, isn't that right, Mr. Teske? A. Yes.”)</w:t>
            </w:r>
          </w:p>
        </w:tc>
      </w:tr>
      <w:tr>
        <w:tblPrEx/>
        <w:trPr/>
        <w:tc>
          <w:tcPr>
            <w:vAlign w:val="top"/>
          </w:tcPr>
          <w:p>
            <w:pPr>
              <w:spacing w:before="0" w:after="0" w:line="275" w:lineRule="atLeast"/>
            </w:pPr>
            <w:hyperlink w:anchor="co_tablefootnote_9_1">
              <w:r>
                <w:rPr>
                  <w:rFonts w:ascii="Times New Roman" w:hAnsi="Times New Roman"/>
                  <w:color w:val="000000"/>
                  <w:sz w:val="20"/>
                  <w:vertAlign w:val="superscript"/>
                </w:rPr>
                <w:t>9</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265:9-15 (Wages-Cross) (testifying that it was the avoided distributions that were a “byproduct of the transactions”); </w:t>
            </w:r>
            <w:r>
              <w:rPr>
                <w:rFonts w:ascii="Times New Roman" w:hAnsi="Times New Roman"/>
                <w:i/>
                <w:color w:val="000000"/>
                <w:sz w:val="20"/>
              </w:rPr>
              <w:t>see also infra,</w:t>
            </w:r>
            <w:r>
              <w:rPr>
                <w:rFonts w:ascii="Times New Roman" w:hAnsi="Times New Roman"/>
                <w:color w:val="000000"/>
                <w:sz w:val="20"/>
              </w:rPr>
              <w:t xml:space="preserve"> Sections I.A. 1-2.</w:t>
            </w:r>
          </w:p>
        </w:tc>
      </w:tr>
      <w:tr>
        <w:tblPrEx/>
        <w:trPr/>
        <w:tc>
          <w:tcPr>
            <w:vAlign w:val="top"/>
          </w:tcPr>
          <w:p>
            <w:pPr>
              <w:spacing w:before="0" w:after="0" w:line="275" w:lineRule="atLeast"/>
            </w:pPr>
            <w:hyperlink w:anchor="co_tablefootnote_10_1">
              <w:r>
                <w:rPr>
                  <w:rFonts w:ascii="Times New Roman" w:hAnsi="Times New Roman"/>
                  <w:color w:val="000000"/>
                  <w:sz w:val="20"/>
                  <w:vertAlign w:val="superscript"/>
                </w:rPr>
                <w:t>10</w:t>
              </w:r>
            </w:hyperlink>
          </w:p>
        </w:tc>
        <w:tc>
          <w:tcPr>
            <w:vAlign w:val="top"/>
          </w:tcPr>
          <w:p>
            <w:pPr>
              <w:pBdr>
                <w:bottom w:val="none" w:space="8"/>
              </w:pBdr>
              <w:spacing w:before="0" w:after="0" w:line="275" w:lineRule="atLeast"/>
              <w:jc w:val="both"/>
            </w:pPr>
            <w:r>
              <w:rPr>
                <w:rFonts w:ascii="Times New Roman" w:hAnsi="Times New Roman"/>
                <w:color w:val="000000"/>
                <w:sz w:val="20"/>
              </w:rPr>
              <w:t>JX-3516 ($57.8 million in avoided distributions less $10.2 million of additional taxes on avoided distributions).</w:t>
            </w:r>
          </w:p>
        </w:tc>
      </w:tr>
      <w:tr>
        <w:tblPrEx/>
        <w:trPr/>
        <w:tc>
          <w:tcPr>
            <w:vAlign w:val="top"/>
          </w:tcPr>
          <w:p>
            <w:pPr>
              <w:spacing w:before="0" w:after="0" w:line="275" w:lineRule="atLeast"/>
            </w:pPr>
            <w:hyperlink w:anchor="co_tablefootnote_11_1">
              <w:r>
                <w:rPr>
                  <w:rFonts w:ascii="Times New Roman" w:hAnsi="Times New Roman"/>
                  <w:color w:val="000000"/>
                  <w:sz w:val="20"/>
                  <w:vertAlign w:val="superscript"/>
                </w:rPr>
                <w:t>11</w:t>
              </w:r>
            </w:hyperlink>
          </w:p>
        </w:tc>
        <w:tc>
          <w:tcPr>
            <w:vAlign w:val="top"/>
          </w:tcPr>
          <w:p>
            <w:pPr>
              <w:pBdr>
                <w:bottom w:val="none" w:space="8"/>
              </w:pBdr>
              <w:spacing w:before="0" w:after="0" w:line="275" w:lineRule="atLeast"/>
              <w:jc w:val="both"/>
            </w:pPr>
            <w:r>
              <w:rPr>
                <w:rFonts w:ascii="Times New Roman" w:hAnsi="Times New Roman"/>
                <w:i/>
                <w:color w:val="000000"/>
                <w:sz w:val="20"/>
              </w:rPr>
              <w:t>Id.</w:t>
            </w:r>
          </w:p>
        </w:tc>
      </w:tr>
      <w:tr>
        <w:tblPrEx/>
        <w:trPr/>
        <w:tc>
          <w:tcPr>
            <w:vAlign w:val="top"/>
          </w:tcPr>
          <w:p>
            <w:pPr>
              <w:spacing w:before="0" w:after="0" w:line="275" w:lineRule="atLeast"/>
            </w:pPr>
            <w:hyperlink w:anchor="co_tablefootnote_12_1">
              <w:r>
                <w:rPr>
                  <w:rFonts w:ascii="Times New Roman" w:hAnsi="Times New Roman"/>
                  <w:color w:val="000000"/>
                  <w:sz w:val="20"/>
                  <w:vertAlign w:val="superscript"/>
                </w:rPr>
                <w:t>12</w:t>
              </w:r>
            </w:hyperlink>
          </w:p>
        </w:tc>
        <w:tc>
          <w:tcPr>
            <w:vAlign w:val="top"/>
          </w:tcPr>
          <w:p>
            <w:pPr>
              <w:pBdr>
                <w:bottom w:val="none" w:space="8"/>
              </w:pBdr>
              <w:spacing w:before="0" w:after="0" w:line="275" w:lineRule="atLeast"/>
              <w:jc w:val="both"/>
            </w:pPr>
            <w:r>
              <w:rPr>
                <w:rFonts w:ascii="Times New Roman" w:hAnsi="Times New Roman"/>
                <w:i/>
                <w:color w:val="000000"/>
                <w:sz w:val="20"/>
              </w:rPr>
              <w:t>Id.</w:t>
            </w:r>
          </w:p>
        </w:tc>
      </w:tr>
      <w:tr>
        <w:tblPrEx/>
        <w:trPr/>
        <w:tc>
          <w:tcPr>
            <w:vAlign w:val="top"/>
          </w:tcPr>
          <w:p>
            <w:pPr>
              <w:spacing w:before="0" w:after="0" w:line="275" w:lineRule="atLeast"/>
            </w:pPr>
            <w:hyperlink w:anchor="co_tablefootnote_13_1">
              <w:r>
                <w:rPr>
                  <w:rFonts w:ascii="Times New Roman" w:hAnsi="Times New Roman"/>
                  <w:color w:val="000000"/>
                  <w:sz w:val="20"/>
                  <w:vertAlign w:val="superscript"/>
                </w:rPr>
                <w:t>13</w:t>
              </w:r>
            </w:hyperlink>
          </w:p>
        </w:tc>
        <w:tc>
          <w:tcPr>
            <w:vAlign w:val="top"/>
          </w:tcPr>
          <w:p>
            <w:pPr>
              <w:pBdr>
                <w:bottom w:val="none" w:space="8"/>
              </w:pBdr>
              <w:spacing w:before="0" w:after="0" w:line="275" w:lineRule="atLeast"/>
              <w:jc w:val="both"/>
            </w:pPr>
            <w:r>
              <w:rPr>
                <w:rFonts w:ascii="Times New Roman" w:hAnsi="Times New Roman"/>
                <w:color w:val="000000"/>
                <w:sz w:val="20"/>
              </w:rPr>
              <w:t>JX-2113 at 263-64 (Appraisal Action Trial Tr. (Wages-Direct)).</w:t>
            </w:r>
          </w:p>
        </w:tc>
      </w:tr>
      <w:tr>
        <w:tblPrEx/>
        <w:trPr/>
        <w:tc>
          <w:tcPr>
            <w:vAlign w:val="top"/>
          </w:tcPr>
          <w:p>
            <w:pPr>
              <w:spacing w:before="0" w:after="0" w:line="275" w:lineRule="atLeast"/>
            </w:pPr>
            <w:hyperlink w:anchor="co_tablefootnote_14_1">
              <w:r>
                <w:rPr>
                  <w:rFonts w:ascii="Times New Roman" w:hAnsi="Times New Roman"/>
                  <w:color w:val="000000"/>
                  <w:sz w:val="20"/>
                  <w:vertAlign w:val="superscript"/>
                </w:rPr>
                <w:t>14</w:t>
              </w:r>
            </w:hyperlink>
          </w:p>
        </w:tc>
        <w:tc>
          <w:tcPr>
            <w:vAlign w:val="top"/>
          </w:tcPr>
          <w:p>
            <w:pPr>
              <w:pBdr>
                <w:bottom w:val="none" w:space="8"/>
              </w:pBdr>
              <w:spacing w:before="0" w:after="0" w:line="275" w:lineRule="atLeast"/>
              <w:jc w:val="both"/>
            </w:pPr>
            <w:r>
              <w:rPr>
                <w:rFonts w:ascii="Times New Roman" w:hAnsi="Times New Roman"/>
                <w:color w:val="000000"/>
                <w:sz w:val="20"/>
              </w:rPr>
              <w:t>Tr. 31:14-23 (Stephens-Direct) (“Q. We're going to talk about it in detail in a minute, but at some point, did Project LESS get applied to these partnerships that are at issue in this case? A. Oh, yes. The opportunities to reduce the partnership entities, the opportunity to buy out the partners, was definitely part of that thought process of simplification, of everything. This is an opportunity to simplify and provide a more efficient operation.”).</w:t>
            </w:r>
          </w:p>
        </w:tc>
      </w:tr>
      <w:tr>
        <w:tblPrEx/>
        <w:trPr/>
        <w:tc>
          <w:tcPr>
            <w:vAlign w:val="top"/>
          </w:tcPr>
          <w:p>
            <w:pPr>
              <w:spacing w:before="0" w:after="0" w:line="275" w:lineRule="atLeast"/>
            </w:pPr>
            <w:hyperlink w:anchor="co_tablefootnote_15_1">
              <w:r>
                <w:rPr>
                  <w:rFonts w:ascii="Times New Roman" w:hAnsi="Times New Roman"/>
                  <w:color w:val="000000"/>
                  <w:sz w:val="20"/>
                  <w:vertAlign w:val="superscript"/>
                </w:rPr>
                <w:t>15</w:t>
              </w:r>
            </w:hyperlink>
          </w:p>
        </w:tc>
        <w:tc>
          <w:tcPr>
            <w:vAlign w:val="top"/>
          </w:tcPr>
          <w:p>
            <w:pPr>
              <w:pBdr>
                <w:bottom w:val="none" w:space="8"/>
              </w:pBdr>
              <w:spacing w:before="0" w:after="0" w:line="275" w:lineRule="atLeast"/>
              <w:jc w:val="both"/>
            </w:pPr>
            <w:r>
              <w:rPr>
                <w:rFonts w:ascii="Times New Roman" w:hAnsi="Times New Roman"/>
                <w:color w:val="000000"/>
                <w:sz w:val="20"/>
              </w:rPr>
              <w:t>Tr. 598:3-10 (Teske-Cross) (“Q. I just want to make sure that when I say ‘administrative efficiencies,’ at least I thought I understood that to be everything you believed Project LESS was about. Isn't that right? A. In connection with this particular initiative, yes.”).</w:t>
            </w:r>
          </w:p>
        </w:tc>
      </w:tr>
      <w:tr>
        <w:tblPrEx/>
        <w:trPr/>
        <w:tc>
          <w:tcPr>
            <w:vAlign w:val="top"/>
          </w:tcPr>
          <w:p>
            <w:pPr>
              <w:spacing w:before="0" w:after="0" w:line="275" w:lineRule="atLeast"/>
            </w:pPr>
            <w:hyperlink w:anchor="co_tablefootnote_16_1">
              <w:r>
                <w:rPr>
                  <w:rFonts w:ascii="Times New Roman" w:hAnsi="Times New Roman"/>
                  <w:color w:val="000000"/>
                  <w:sz w:val="20"/>
                  <w:vertAlign w:val="superscript"/>
                </w:rPr>
                <w:t>16</w:t>
              </w:r>
            </w:hyperlink>
          </w:p>
        </w:tc>
        <w:tc>
          <w:tcPr>
            <w:vAlign w:val="top"/>
          </w:tcPr>
          <w:p>
            <w:pPr>
              <w:pBdr>
                <w:bottom w:val="none" w:space="8"/>
              </w:pBdr>
              <w:spacing w:before="0" w:after="0" w:line="275" w:lineRule="atLeast"/>
              <w:jc w:val="both"/>
            </w:pPr>
            <w:r>
              <w:rPr>
                <w:rFonts w:ascii="Times New Roman" w:hAnsi="Times New Roman"/>
                <w:color w:val="000000"/>
                <w:sz w:val="20"/>
              </w:rPr>
              <w:t>Tr. 1073:14-20 (Hall-Direct) (“Q. Was Project LESS applied to the partnerships at issue here in this case? A. Yes. We had communicated that, you now, we had to retain a staff and do a lot of extra work and go through a lot of processes and costs, and including audits, and that we might be able to reduce some of those costs.”).</w:t>
            </w:r>
          </w:p>
        </w:tc>
      </w:tr>
      <w:tr>
        <w:tblPrEx/>
        <w:trPr/>
        <w:tc>
          <w:tcPr>
            <w:vAlign w:val="top"/>
          </w:tcPr>
          <w:p>
            <w:pPr>
              <w:spacing w:before="0" w:after="0" w:line="275" w:lineRule="atLeast"/>
            </w:pPr>
            <w:hyperlink w:anchor="co_tablefootnote_17_1">
              <w:r>
                <w:rPr>
                  <w:rFonts w:ascii="Times New Roman" w:hAnsi="Times New Roman"/>
                  <w:color w:val="000000"/>
                  <w:sz w:val="20"/>
                  <w:vertAlign w:val="superscript"/>
                </w:rPr>
                <w:t>17</w:t>
              </w:r>
            </w:hyperlink>
          </w:p>
        </w:tc>
        <w:tc>
          <w:tcPr>
            <w:vAlign w:val="top"/>
          </w:tcPr>
          <w:p>
            <w:pPr>
              <w:pBdr>
                <w:bottom w:val="none" w:space="8"/>
              </w:pBdr>
              <w:spacing w:before="0" w:after="0" w:line="275" w:lineRule="atLeast"/>
              <w:jc w:val="both"/>
            </w:pPr>
            <w:r>
              <w:rPr>
                <w:rFonts w:ascii="Times New Roman" w:hAnsi="Times New Roman"/>
                <w:color w:val="000000"/>
                <w:sz w:val="20"/>
              </w:rPr>
              <w:t>Tr. 263:13-20 (Wages-Cross) (“Q. What question would [the Court] have needed to ask, a transparently honest man, a man steeled with candor, a man who was attempting to be devoid of deception, in order to get that particular piece of information? A. So I didn't think about the avoidance of distributions as being a reason that we undertook these activities and these changes.”).</w:t>
            </w:r>
          </w:p>
        </w:tc>
      </w:tr>
      <w:tr>
        <w:tblPrEx/>
        <w:trPr/>
        <w:tc>
          <w:tcPr>
            <w:vAlign w:val="top"/>
          </w:tcPr>
          <w:p>
            <w:pPr>
              <w:spacing w:before="0" w:after="0" w:line="275" w:lineRule="atLeast"/>
            </w:pPr>
            <w:hyperlink w:anchor="co_tablefootnote_18_1">
              <w:r>
                <w:rPr>
                  <w:rFonts w:ascii="Times New Roman" w:hAnsi="Times New Roman"/>
                  <w:color w:val="000000"/>
                  <w:sz w:val="20"/>
                  <w:vertAlign w:val="superscript"/>
                </w:rPr>
                <w:t>18</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15-19, 31 (“The evidence is clear that - consistent with the goal of Project LESS more generally - the Transactions were pursued to reduce costs and improve efficiencies.”).</w:t>
            </w:r>
          </w:p>
        </w:tc>
      </w:tr>
      <w:tr>
        <w:tblPrEx/>
        <w:trPr/>
        <w:tc>
          <w:tcPr>
            <w:vAlign w:val="top"/>
          </w:tcPr>
          <w:p>
            <w:pPr>
              <w:spacing w:before="0" w:after="0" w:line="275" w:lineRule="atLeast"/>
            </w:pPr>
            <w:hyperlink w:anchor="co_tablefootnote_19_1">
              <w:r>
                <w:rPr>
                  <w:rFonts w:ascii="Times New Roman" w:hAnsi="Times New Roman"/>
                  <w:color w:val="000000"/>
                  <w:sz w:val="20"/>
                  <w:vertAlign w:val="superscript"/>
                </w:rPr>
                <w:t>19</w:t>
              </w:r>
            </w:hyperlink>
          </w:p>
        </w:tc>
        <w:tc>
          <w:tcPr>
            <w:vAlign w:val="top"/>
          </w:tcPr>
          <w:p>
            <w:pPr>
              <w:pBdr>
                <w:bottom w:val="none" w:space="8"/>
              </w:pBdr>
              <w:spacing w:before="0" w:after="0" w:line="275" w:lineRule="atLeast"/>
              <w:jc w:val="both"/>
            </w:pPr>
            <w:r>
              <w:rPr>
                <w:rFonts w:ascii="Times New Roman" w:hAnsi="Times New Roman"/>
                <w:i/>
                <w:color w:val="000000"/>
                <w:sz w:val="20"/>
              </w:rPr>
              <w:t>Compare</w:t>
            </w:r>
            <w:r>
              <w:rPr>
                <w:rFonts w:ascii="Times New Roman" w:hAnsi="Times New Roman"/>
                <w:color w:val="000000"/>
                <w:sz w:val="20"/>
              </w:rPr>
              <w:t xml:space="preserve"> Defs. OPTB at 4 </w:t>
            </w:r>
            <w:r>
              <w:rPr>
                <w:rFonts w:ascii="Times New Roman" w:hAnsi="Times New Roman"/>
                <w:i/>
                <w:color w:val="000000"/>
                <w:sz w:val="20"/>
              </w:rPr>
              <w:t>with</w:t>
            </w:r>
            <w:r>
              <w:rPr>
                <w:rFonts w:ascii="Times New Roman" w:hAnsi="Times New Roman"/>
                <w:color w:val="000000"/>
                <w:sz w:val="20"/>
              </w:rPr>
              <w:t xml:space="preserve"> Pls. OPTB. Defendants cite JX-119 as support for contending “[y]ears before the Transactions, the executive committees delegated management of the Partnerships to the majority partner or its affiliates.” Defs. OPTB at 4. The Cellular System Operating Agreement and Switch Share Agreement included in JX-119 were replaced by the MNSAs. Pls. OPTB at 12-14 and 24-25.</w:t>
            </w:r>
          </w:p>
        </w:tc>
      </w:tr>
      <w:tr>
        <w:tblPrEx/>
        <w:trPr/>
        <w:tc>
          <w:tcPr>
            <w:vAlign w:val="top"/>
          </w:tcPr>
          <w:p>
            <w:pPr>
              <w:spacing w:before="0" w:after="0" w:line="275" w:lineRule="atLeast"/>
            </w:pPr>
            <w:hyperlink w:anchor="co_tablefootnote_20_1">
              <w:r>
                <w:rPr>
                  <w:rFonts w:ascii="Times New Roman" w:hAnsi="Times New Roman"/>
                  <w:color w:val="000000"/>
                  <w:sz w:val="20"/>
                  <w:vertAlign w:val="superscript"/>
                </w:rPr>
                <w:t>20</w:t>
              </w:r>
            </w:hyperlink>
          </w:p>
        </w:tc>
        <w:tc>
          <w:tcPr>
            <w:vAlign w:val="top"/>
          </w:tcPr>
          <w:p>
            <w:pPr>
              <w:pBdr>
                <w:bottom w:val="none" w:space="8"/>
              </w:pBdr>
              <w:spacing w:before="0" w:after="0" w:line="275" w:lineRule="atLeast"/>
              <w:jc w:val="both"/>
            </w:pPr>
            <w:r>
              <w:rPr>
                <w:rFonts w:ascii="Times New Roman" w:hAnsi="Times New Roman"/>
                <w:i/>
                <w:color w:val="000000"/>
                <w:sz w:val="20"/>
              </w:rPr>
              <w:t>Compare</w:t>
            </w:r>
            <w:r>
              <w:rPr>
                <w:rFonts w:ascii="Times New Roman" w:hAnsi="Times New Roman"/>
                <w:color w:val="000000"/>
                <w:sz w:val="20"/>
              </w:rPr>
              <w:t xml:space="preserve"> Defs. OPTB at 12-13 </w:t>
            </w:r>
            <w:r>
              <w:rPr>
                <w:rFonts w:ascii="Times New Roman" w:hAnsi="Times New Roman"/>
                <w:i/>
                <w:color w:val="000000"/>
                <w:sz w:val="20"/>
              </w:rPr>
              <w:t>with</w:t>
            </w:r>
            <w:r>
              <w:rPr>
                <w:rFonts w:ascii="Times New Roman" w:hAnsi="Times New Roman"/>
                <w:color w:val="000000"/>
                <w:sz w:val="20"/>
              </w:rPr>
              <w:t xml:space="preserve"> Tr. 406:16-407:6 (Wages-Cross).</w:t>
            </w:r>
          </w:p>
        </w:tc>
      </w:tr>
      <w:tr>
        <w:tblPrEx/>
        <w:trPr/>
        <w:tc>
          <w:tcPr>
            <w:vAlign w:val="top"/>
          </w:tcPr>
          <w:p>
            <w:pPr>
              <w:spacing w:before="0" w:after="0" w:line="275" w:lineRule="atLeast"/>
            </w:pPr>
            <w:hyperlink w:anchor="co_tablefootnote_21_1">
              <w:r>
                <w:rPr>
                  <w:rFonts w:ascii="Times New Roman" w:hAnsi="Times New Roman"/>
                  <w:color w:val="000000"/>
                  <w:sz w:val="20"/>
                  <w:vertAlign w:val="superscript"/>
                </w:rPr>
                <w:t>21</w:t>
              </w:r>
            </w:hyperlink>
          </w:p>
        </w:tc>
        <w:tc>
          <w:tcPr>
            <w:vAlign w:val="top"/>
          </w:tcPr>
          <w:p>
            <w:pPr>
              <w:pBdr>
                <w:bottom w:val="none" w:space="8"/>
              </w:pBdr>
              <w:spacing w:before="0" w:after="0" w:line="275" w:lineRule="atLeast"/>
              <w:jc w:val="both"/>
            </w:pPr>
            <w:r>
              <w:rPr>
                <w:rFonts w:ascii="Times New Roman" w:hAnsi="Times New Roman"/>
                <w:color w:val="000000"/>
                <w:sz w:val="20"/>
              </w:rPr>
              <w:t>Tr. 364:6-370:2 (Wages-Cross).</w:t>
            </w:r>
          </w:p>
        </w:tc>
      </w:tr>
      <w:tr>
        <w:tblPrEx/>
        <w:trPr/>
        <w:tc>
          <w:tcPr>
            <w:vAlign w:val="top"/>
          </w:tcPr>
          <w:p>
            <w:pPr>
              <w:spacing w:before="0" w:after="0" w:line="275" w:lineRule="atLeast"/>
            </w:pPr>
            <w:hyperlink w:anchor="co_tablefootnote_22_1">
              <w:r>
                <w:rPr>
                  <w:rFonts w:ascii="Times New Roman" w:hAnsi="Times New Roman"/>
                  <w:color w:val="000000"/>
                  <w:sz w:val="20"/>
                  <w:vertAlign w:val="superscript"/>
                </w:rPr>
                <w:t>22</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11-12. Verizon ported “pristine blocks” of NPA-NXX ranges to Mobility. JX-1251 at 41-42. Blocks of NPA-NXX ranges that had numbers in use (</w:t>
            </w:r>
            <w:r>
              <w:rPr>
                <w:rFonts w:ascii="Times New Roman" w:hAnsi="Times New Roman"/>
                <w:i/>
                <w:color w:val="000000"/>
                <w:sz w:val="20"/>
              </w:rPr>
              <w:t>i.e.,</w:t>
            </w:r>
            <w:r>
              <w:rPr>
                <w:rFonts w:ascii="Times New Roman" w:hAnsi="Times New Roman"/>
                <w:color w:val="000000"/>
                <w:sz w:val="20"/>
              </w:rPr>
              <w:t xml:space="preserve"> assigned to a subscriber) - “contaminated blocks” - were ported by SPID Migration. </w:t>
            </w:r>
            <w:r>
              <w:rPr>
                <w:rFonts w:ascii="Times New Roman" w:hAnsi="Times New Roman"/>
                <w:i/>
                <w:color w:val="000000"/>
                <w:sz w:val="20"/>
              </w:rPr>
              <w:t xml:space="preserve">See </w:t>
            </w:r>
            <w:r>
              <w:rPr>
                <w:rFonts w:ascii="Times New Roman" w:hAnsi="Times New Roman"/>
                <w:i/>
                <w:color w:val="000000"/>
                <w:sz w:val="20"/>
              </w:rPr>
              <w:t>id.</w:t>
            </w:r>
            <w:r>
              <w:rPr>
                <w:rFonts w:ascii="Times New Roman" w:hAnsi="Times New Roman"/>
                <w:color w:val="000000"/>
                <w:sz w:val="20"/>
              </w:rPr>
              <w:t xml:space="preserve"> at 42 and 91 § 9.0: Customer Migration. Ms. Taylor - AT&amp;T's wireless “expert” - had no idea that “contaminated blocks” were blocks of NPA-NXXs that had numbers assigned to subscribers. </w:t>
            </w:r>
            <w:r>
              <w:rPr>
                <w:rFonts w:ascii="Times New Roman" w:hAnsi="Times New Roman"/>
                <w:i/>
                <w:color w:val="000000"/>
                <w:sz w:val="20"/>
              </w:rPr>
              <w:t>Compare</w:t>
            </w:r>
            <w:r>
              <w:rPr>
                <w:rFonts w:ascii="Times New Roman" w:hAnsi="Times New Roman"/>
                <w:color w:val="000000"/>
                <w:sz w:val="20"/>
              </w:rPr>
              <w:t xml:space="preserve"> JX-3596 at 2 (“ ‘Contamination’ refers to the fact that some telephone numbers are working in the block.”) </w:t>
            </w:r>
            <w:r>
              <w:rPr>
                <w:rFonts w:ascii="Times New Roman" w:hAnsi="Times New Roman"/>
                <w:i/>
                <w:color w:val="000000"/>
                <w:sz w:val="20"/>
              </w:rPr>
              <w:t>with</w:t>
            </w:r>
            <w:r>
              <w:rPr>
                <w:rFonts w:ascii="Times New Roman" w:hAnsi="Times New Roman"/>
                <w:color w:val="000000"/>
                <w:sz w:val="20"/>
              </w:rPr>
              <w:t xml:space="preserve"> Taylor Dep. Tr. 143:4-6 (“Q. What about ‘contaminated’? A. Yeah, that's where you've got problems with the blocks. Q. What type of problems? A. Some reason that they're not usable.”).</w:t>
            </w:r>
          </w:p>
        </w:tc>
      </w:tr>
      <w:tr>
        <w:tblPrEx/>
        <w:trPr/>
        <w:tc>
          <w:tcPr>
            <w:vAlign w:val="top"/>
          </w:tcPr>
          <w:p>
            <w:pPr>
              <w:spacing w:before="0" w:after="0" w:line="275" w:lineRule="atLeast"/>
            </w:pPr>
            <w:hyperlink w:anchor="co_tablefootnote_23_1">
              <w:r>
                <w:rPr>
                  <w:rFonts w:ascii="Times New Roman" w:hAnsi="Times New Roman"/>
                  <w:color w:val="000000"/>
                  <w:sz w:val="20"/>
                  <w:vertAlign w:val="superscript"/>
                </w:rPr>
                <w:t>23</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Defs. OPTB at 12; </w:t>
            </w:r>
            <w:r>
              <w:rPr>
                <w:rFonts w:ascii="Times New Roman" w:hAnsi="Times New Roman"/>
                <w:i/>
                <w:color w:val="000000"/>
                <w:sz w:val="20"/>
              </w:rPr>
              <w:t>Compare</w:t>
            </w:r>
            <w:r>
              <w:rPr>
                <w:rFonts w:ascii="Times New Roman" w:hAnsi="Times New Roman"/>
                <w:color w:val="000000"/>
                <w:sz w:val="20"/>
              </w:rPr>
              <w:t xml:space="preserve"> Tr. 963:2-6 (Taylor-Cross) </w:t>
            </w:r>
            <w:r>
              <w:rPr>
                <w:rFonts w:ascii="Times New Roman" w:hAnsi="Times New Roman"/>
                <w:i/>
                <w:color w:val="000000"/>
                <w:sz w:val="20"/>
              </w:rPr>
              <w:t>with id.</w:t>
            </w:r>
            <w:r>
              <w:rPr>
                <w:rFonts w:ascii="Times New Roman" w:hAnsi="Times New Roman"/>
                <w:color w:val="000000"/>
                <w:sz w:val="20"/>
              </w:rPr>
              <w:t xml:space="preserve"> 964:15-965:11 (Taylor-Cross).</w:t>
            </w:r>
          </w:p>
        </w:tc>
      </w:tr>
      <w:tr>
        <w:tblPrEx/>
        <w:trPr/>
        <w:tc>
          <w:tcPr>
            <w:vAlign w:val="top"/>
          </w:tcPr>
          <w:p>
            <w:pPr>
              <w:spacing w:before="0" w:after="0" w:line="275" w:lineRule="atLeast"/>
            </w:pPr>
            <w:hyperlink w:anchor="co_tablefootnote_24_1">
              <w:r>
                <w:rPr>
                  <w:rFonts w:ascii="Times New Roman" w:hAnsi="Times New Roman"/>
                  <w:color w:val="000000"/>
                  <w:sz w:val="20"/>
                  <w:vertAlign w:val="superscript"/>
                </w:rPr>
                <w:t>24</w:t>
              </w:r>
            </w:hyperlink>
          </w:p>
        </w:tc>
        <w:tc>
          <w:tcPr>
            <w:vAlign w:val="top"/>
          </w:tcPr>
          <w:p>
            <w:pPr>
              <w:pBdr>
                <w:bottom w:val="none" w:space="8"/>
              </w:pBdr>
              <w:spacing w:before="0" w:after="0" w:line="275" w:lineRule="atLeast"/>
              <w:jc w:val="both"/>
            </w:pPr>
            <w:r>
              <w:rPr>
                <w:rFonts w:ascii="Times New Roman" w:hAnsi="Times New Roman"/>
                <w:color w:val="000000"/>
                <w:sz w:val="20"/>
              </w:rPr>
              <w:t>Tr. 406:16-407:6 (Wages-Cross). Ignoring its own testimony at trial, AT&amp;T instead cites to the Special Discovery Master's report that concerned nothing but AT&amp;T's purported “burden” of responding to Plaintiffs' discovery. The report does not even mention the contractual agreements by which the Partnerships were to be managed, let alone what defined “Shared Revenue” and how “Shared Revenue” was to be allocated under those agreements.</w:t>
            </w:r>
          </w:p>
        </w:tc>
      </w:tr>
      <w:tr>
        <w:tblPrEx/>
        <w:trPr/>
        <w:tc>
          <w:tcPr>
            <w:vAlign w:val="top"/>
          </w:tcPr>
          <w:p>
            <w:pPr>
              <w:spacing w:before="0" w:after="0" w:line="275" w:lineRule="atLeast"/>
            </w:pPr>
            <w:hyperlink w:anchor="co_tablefootnote_25_1">
              <w:r>
                <w:rPr>
                  <w:rFonts w:ascii="Times New Roman" w:hAnsi="Times New Roman"/>
                  <w:color w:val="000000"/>
                  <w:sz w:val="20"/>
                  <w:vertAlign w:val="superscript"/>
                </w:rPr>
                <w:t>25</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Defs. OPTB at 9; Tr. 1150:12-22 (Hall-Cross) (discussing AT&amp;T's history of mistreating its partners, including the substantial $5.3 million in switching expenses charged by AT&amp;T to Salem in 2007 compared to the significantly lower cost of the Partnership instead acquiring a switch); </w:t>
            </w:r>
            <w:r>
              <w:rPr>
                <w:rFonts w:ascii="Times New Roman" w:hAnsi="Times New Roman"/>
                <w:i/>
                <w:color w:val="000000"/>
                <w:sz w:val="20"/>
              </w:rPr>
              <w:t>see also</w:t>
            </w:r>
            <w:r>
              <w:rPr>
                <w:rFonts w:ascii="Times New Roman" w:hAnsi="Times New Roman"/>
                <w:color w:val="000000"/>
                <w:sz w:val="20"/>
              </w:rPr>
              <w:t xml:space="preserve"> JX-298.</w:t>
            </w:r>
          </w:p>
        </w:tc>
      </w:tr>
      <w:tr>
        <w:tblPrEx/>
        <w:trPr/>
        <w:tc>
          <w:tcPr>
            <w:vAlign w:val="top"/>
          </w:tcPr>
          <w:p>
            <w:pPr>
              <w:spacing w:before="0" w:after="0" w:line="275" w:lineRule="atLeast"/>
            </w:pPr>
            <w:hyperlink w:anchor="co_tablefootnote_26_1">
              <w:r>
                <w:rPr>
                  <w:rFonts w:ascii="Times New Roman" w:hAnsi="Times New Roman"/>
                  <w:color w:val="000000"/>
                  <w:sz w:val="20"/>
                  <w:vertAlign w:val="superscript"/>
                </w:rPr>
                <w:t>26</w:t>
              </w:r>
            </w:hyperlink>
          </w:p>
        </w:tc>
        <w:tc>
          <w:tcPr>
            <w:vAlign w:val="top"/>
          </w:tcPr>
          <w:p>
            <w:pPr>
              <w:pBdr>
                <w:bottom w:val="none" w:space="8"/>
              </w:pBdr>
              <w:spacing w:before="0" w:after="0" w:line="275" w:lineRule="atLeast"/>
              <w:jc w:val="both"/>
            </w:pPr>
            <w:hyperlink r:id="r67">
              <w:r>
                <w:rPr>
                  <w:rFonts w:ascii="Times New Roman" w:hAnsi="Times New Roman"/>
                  <w:i/>
                  <w:color w:val="000000"/>
                  <w:sz w:val="20"/>
                </w:rPr>
                <w:t>In re Radiology Assocs., Inc. Litig.,</w:t>
              </w:r>
              <w:r>
                <w:rPr>
                  <w:rFonts w:ascii="Times New Roman" w:hAnsi="Times New Roman"/>
                  <w:color w:val="000000"/>
                  <w:sz w:val="20"/>
                </w:rPr>
                <w:t xml:space="preserve"> 611 A.2d 485 (Del. Ch. 1991)</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27_1">
              <w:r>
                <w:rPr>
                  <w:rFonts w:ascii="Times New Roman" w:hAnsi="Times New Roman"/>
                  <w:color w:val="000000"/>
                  <w:sz w:val="20"/>
                  <w:vertAlign w:val="superscript"/>
                </w:rPr>
                <w:t>27</w:t>
              </w:r>
            </w:hyperlink>
          </w:p>
        </w:tc>
        <w:tc>
          <w:tcPr>
            <w:vAlign w:val="top"/>
          </w:tcPr>
          <w:p>
            <w:pPr>
              <w:pBdr>
                <w:bottom w:val="none" w:space="8"/>
              </w:pBdr>
              <w:spacing w:before="0" w:after="0" w:line="275" w:lineRule="atLeast"/>
              <w:jc w:val="both"/>
            </w:pPr>
            <w:r>
              <w:rPr>
                <w:rFonts w:ascii="Times New Roman" w:hAnsi="Times New Roman"/>
                <w:color w:val="000000"/>
                <w:sz w:val="20"/>
              </w:rPr>
              <w:t>To avoid redundancy and given the fact-intensive nature of entire fairness review, Plaintiffs state facts supporting AT&amp;T's unfair dealing and unfair price in the arguments below. Plaintiffs also set forth detailed facts in their pretrial brief that stand uncontested. Prickett Pls. Pretrial Br. at 3-22.</w:t>
            </w:r>
          </w:p>
        </w:tc>
      </w:tr>
      <w:tr>
        <w:tblPrEx/>
        <w:trPr/>
        <w:tc>
          <w:tcPr>
            <w:vAlign w:val="top"/>
          </w:tcPr>
          <w:p>
            <w:pPr>
              <w:spacing w:before="0" w:after="0" w:line="275" w:lineRule="atLeast"/>
            </w:pPr>
            <w:hyperlink w:anchor="co_tablefootnote_28_1">
              <w:r>
                <w:rPr>
                  <w:rFonts w:ascii="Times New Roman" w:hAnsi="Times New Roman"/>
                  <w:color w:val="000000"/>
                  <w:sz w:val="20"/>
                  <w:vertAlign w:val="superscript"/>
                </w:rPr>
                <w:t>28</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27.</w:t>
            </w:r>
          </w:p>
        </w:tc>
      </w:tr>
      <w:tr>
        <w:tblPrEx/>
        <w:trPr/>
        <w:tc>
          <w:tcPr>
            <w:vAlign w:val="top"/>
          </w:tcPr>
          <w:p>
            <w:pPr>
              <w:spacing w:before="0" w:after="0" w:line="275" w:lineRule="atLeast"/>
            </w:pPr>
            <w:hyperlink w:anchor="co_tablefootnote_29_1">
              <w:r>
                <w:rPr>
                  <w:rFonts w:ascii="Times New Roman" w:hAnsi="Times New Roman"/>
                  <w:color w:val="000000"/>
                  <w:sz w:val="20"/>
                  <w:vertAlign w:val="superscript"/>
                </w:rPr>
                <w:t>29</w:t>
              </w:r>
            </w:hyperlink>
          </w:p>
        </w:tc>
        <w:tc>
          <w:tcPr>
            <w:vAlign w:val="top"/>
          </w:tcPr>
          <w:p>
            <w:pPr>
              <w:pBdr>
                <w:bottom w:val="none" w:space="8"/>
              </w:pBdr>
              <w:spacing w:before="0" w:after="0" w:line="275" w:lineRule="atLeast"/>
              <w:jc w:val="both"/>
            </w:pPr>
            <w:hyperlink r:id="r68">
              <w:r>
                <w:rPr>
                  <w:rFonts w:ascii="Times New Roman" w:hAnsi="Times New Roman"/>
                  <w:i/>
                  <w:color w:val="000000"/>
                  <w:sz w:val="20"/>
                </w:rPr>
                <w:t>Americas Mining Corp. v. Theriault,</w:t>
              </w:r>
              <w:r>
                <w:rPr>
                  <w:rFonts w:ascii="Times New Roman" w:hAnsi="Times New Roman"/>
                  <w:color w:val="000000"/>
                  <w:sz w:val="20"/>
                </w:rPr>
                <w:t xml:space="preserve"> 51 A.3d 1213, 1239 (Del. 2012)</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30_1">
              <w:r>
                <w:rPr>
                  <w:rFonts w:ascii="Times New Roman" w:hAnsi="Times New Roman"/>
                  <w:color w:val="000000"/>
                  <w:sz w:val="20"/>
                  <w:vertAlign w:val="superscript"/>
                </w:rPr>
                <w:t>30</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29-34.</w:t>
            </w:r>
          </w:p>
        </w:tc>
      </w:tr>
      <w:tr>
        <w:tblPrEx/>
        <w:trPr/>
        <w:tc>
          <w:tcPr>
            <w:vAlign w:val="top"/>
          </w:tcPr>
          <w:p>
            <w:pPr>
              <w:spacing w:before="0" w:after="0" w:line="275" w:lineRule="atLeast"/>
            </w:pPr>
            <w:hyperlink w:anchor="co_tablefootnote_31_1">
              <w:r>
                <w:rPr>
                  <w:rFonts w:ascii="Times New Roman" w:hAnsi="Times New Roman"/>
                  <w:color w:val="000000"/>
                  <w:sz w:val="20"/>
                  <w:vertAlign w:val="superscript"/>
                </w:rPr>
                <w:t>31</w:t>
              </w:r>
            </w:hyperlink>
          </w:p>
        </w:tc>
        <w:tc>
          <w:tcPr>
            <w:vAlign w:val="top"/>
          </w:tcPr>
          <w:p>
            <w:pPr>
              <w:pBdr>
                <w:bottom w:val="none" w:space="8"/>
              </w:pBdr>
              <w:spacing w:before="0" w:after="0" w:line="275" w:lineRule="atLeast"/>
              <w:jc w:val="both"/>
            </w:pPr>
            <w:r>
              <w:rPr>
                <w:rFonts w:ascii="Times New Roman" w:hAnsi="Times New Roman"/>
                <w:i/>
                <w:color w:val="000000"/>
                <w:sz w:val="20"/>
              </w:rPr>
              <w:t xml:space="preserve">See, e.g., </w:t>
            </w:r>
            <w:hyperlink r:id="r69">
              <w:r>
                <w:rPr>
                  <w:rFonts w:ascii="Times New Roman" w:hAnsi="Times New Roman"/>
                  <w:i/>
                  <w:color w:val="000000"/>
                  <w:sz w:val="20"/>
                </w:rPr>
                <w:t>Kahn v. Lynch Commc'n Sys., Inc.,</w:t>
              </w:r>
              <w:r>
                <w:rPr>
                  <w:rFonts w:ascii="Times New Roman" w:hAnsi="Times New Roman"/>
                  <w:color w:val="000000"/>
                  <w:sz w:val="20"/>
                </w:rPr>
                <w:t xml:space="preserve"> 638 A.2d 1110, 1117-21 (Del. 1994)</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32_1">
              <w:r>
                <w:rPr>
                  <w:rFonts w:ascii="Times New Roman" w:hAnsi="Times New Roman"/>
                  <w:color w:val="000000"/>
                  <w:sz w:val="20"/>
                  <w:vertAlign w:val="superscript"/>
                </w:rPr>
                <w:t>32</w:t>
              </w:r>
            </w:hyperlink>
          </w:p>
        </w:tc>
        <w:tc>
          <w:tcPr>
            <w:vAlign w:val="top"/>
          </w:tcPr>
          <w:p>
            <w:pPr>
              <w:pBdr>
                <w:bottom w:val="none" w:space="8"/>
              </w:pBdr>
              <w:spacing w:before="0" w:after="0" w:line="275" w:lineRule="atLeast"/>
              <w:jc w:val="both"/>
            </w:pPr>
            <w:r>
              <w:rPr>
                <w:rFonts w:ascii="Times New Roman" w:hAnsi="Times New Roman"/>
                <w:color w:val="000000"/>
                <w:sz w:val="20"/>
              </w:rPr>
              <w:t>Tr. 277:17-20 (Wages-Cross).</w:t>
            </w:r>
          </w:p>
        </w:tc>
      </w:tr>
      <w:tr>
        <w:tblPrEx/>
        <w:trPr/>
        <w:tc>
          <w:tcPr>
            <w:vAlign w:val="top"/>
          </w:tcPr>
          <w:p>
            <w:pPr>
              <w:spacing w:before="0" w:after="0" w:line="275" w:lineRule="atLeast"/>
            </w:pPr>
            <w:hyperlink w:anchor="co_tablefootnote_33_1">
              <w:r>
                <w:rPr>
                  <w:rFonts w:ascii="Times New Roman" w:hAnsi="Times New Roman"/>
                  <w:color w:val="000000"/>
                  <w:sz w:val="20"/>
                  <w:vertAlign w:val="superscript"/>
                </w:rPr>
                <w:t>33</w:t>
              </w:r>
            </w:hyperlink>
          </w:p>
        </w:tc>
        <w:tc>
          <w:tcPr>
            <w:vAlign w:val="top"/>
          </w:tcPr>
          <w:p>
            <w:pPr>
              <w:pBdr>
                <w:bottom w:val="none" w:space="8"/>
              </w:pBdr>
              <w:spacing w:before="0" w:after="0" w:line="275" w:lineRule="atLeast"/>
              <w:jc w:val="both"/>
            </w:pPr>
            <w:r>
              <w:rPr>
                <w:rFonts w:ascii="Times New Roman" w:hAnsi="Times New Roman"/>
                <w:color w:val="000000"/>
                <w:sz w:val="20"/>
              </w:rPr>
              <w:t>JX-344 at 2 (“These are the only entities where we can execute a purchase without partner consent.”)</w:t>
            </w:r>
          </w:p>
        </w:tc>
      </w:tr>
      <w:tr>
        <w:tblPrEx/>
        <w:trPr/>
        <w:tc>
          <w:tcPr>
            <w:vAlign w:val="top"/>
          </w:tcPr>
          <w:p>
            <w:pPr>
              <w:spacing w:before="0" w:after="0" w:line="275" w:lineRule="atLeast"/>
            </w:pPr>
            <w:hyperlink w:anchor="co_tablefootnote_34_1">
              <w:r>
                <w:rPr>
                  <w:rFonts w:ascii="Times New Roman" w:hAnsi="Times New Roman"/>
                  <w:color w:val="000000"/>
                  <w:sz w:val="20"/>
                  <w:vertAlign w:val="superscript"/>
                </w:rPr>
                <w:t>34</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27 n. 17.</w:t>
            </w:r>
          </w:p>
        </w:tc>
      </w:tr>
      <w:tr>
        <w:tblPrEx/>
        <w:trPr/>
        <w:tc>
          <w:tcPr>
            <w:vAlign w:val="top"/>
          </w:tcPr>
          <w:p>
            <w:pPr>
              <w:spacing w:before="0" w:after="0" w:line="275" w:lineRule="atLeast"/>
            </w:pPr>
            <w:hyperlink w:anchor="co_tablefootnote_35_1">
              <w:r>
                <w:rPr>
                  <w:rFonts w:ascii="Times New Roman" w:hAnsi="Times New Roman"/>
                  <w:color w:val="000000"/>
                  <w:sz w:val="20"/>
                  <w:vertAlign w:val="superscript"/>
                </w:rPr>
                <w:t>35</w:t>
              </w:r>
            </w:hyperlink>
          </w:p>
        </w:tc>
        <w:tc>
          <w:tcPr>
            <w:vAlign w:val="top"/>
          </w:tcPr>
          <w:p>
            <w:pPr>
              <w:pBdr>
                <w:bottom w:val="none" w:space="8"/>
              </w:pBdr>
              <w:spacing w:before="0" w:after="0" w:line="275" w:lineRule="atLeast"/>
              <w:jc w:val="both"/>
            </w:pPr>
            <w:hyperlink r:id="r70">
              <w:r>
                <w:rPr>
                  <w:rFonts w:ascii="Times New Roman" w:hAnsi="Times New Roman"/>
                  <w:color w:val="000000"/>
                  <w:sz w:val="20"/>
                </w:rPr>
                <w:t>2005 WL 1126924 (W.D. Wash. May 10, 2005)</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36_1">
              <w:r>
                <w:rPr>
                  <w:rFonts w:ascii="Times New Roman" w:hAnsi="Times New Roman"/>
                  <w:color w:val="000000"/>
                  <w:sz w:val="20"/>
                  <w:vertAlign w:val="superscript"/>
                </w:rPr>
                <w:t>36</w:t>
              </w:r>
            </w:hyperlink>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Defs. OPTB at 29-30.</w:t>
            </w:r>
          </w:p>
        </w:tc>
      </w:tr>
      <w:tr>
        <w:tblPrEx/>
        <w:trPr/>
        <w:tc>
          <w:tcPr>
            <w:vAlign w:val="top"/>
          </w:tcPr>
          <w:p>
            <w:pPr>
              <w:spacing w:before="0" w:after="0" w:line="275" w:lineRule="atLeast"/>
            </w:pPr>
            <w:hyperlink w:anchor="co_tablefootnote_37_1">
              <w:r>
                <w:rPr>
                  <w:rFonts w:ascii="Times New Roman" w:hAnsi="Times New Roman"/>
                  <w:color w:val="000000"/>
                  <w:sz w:val="20"/>
                  <w:vertAlign w:val="superscript"/>
                </w:rPr>
                <w:t>37</w:t>
              </w:r>
            </w:hyperlink>
          </w:p>
        </w:tc>
        <w:tc>
          <w:tcPr>
            <w:vAlign w:val="top"/>
          </w:tcPr>
          <w:p>
            <w:pPr>
              <w:pBdr>
                <w:bottom w:val="none" w:space="8"/>
              </w:pBdr>
              <w:spacing w:before="0" w:after="0" w:line="275" w:lineRule="atLeast"/>
              <w:jc w:val="both"/>
            </w:pPr>
            <w:hyperlink r:id="r71">
              <w:r>
                <w:rPr>
                  <w:rFonts w:ascii="Times New Roman" w:hAnsi="Times New Roman"/>
                  <w:i/>
                  <w:color w:val="000000"/>
                  <w:sz w:val="20"/>
                </w:rPr>
                <w:t>J&amp;J Celcom,</w:t>
              </w:r>
              <w:r>
                <w:rPr>
                  <w:rFonts w:ascii="Times New Roman" w:hAnsi="Times New Roman"/>
                  <w:color w:val="000000"/>
                  <w:sz w:val="20"/>
                </w:rPr>
                <w:t xml:space="preserve"> 2005 WL 1126924, at *14</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38_1">
              <w:r>
                <w:rPr>
                  <w:rFonts w:ascii="Times New Roman" w:hAnsi="Times New Roman"/>
                  <w:color w:val="000000"/>
                  <w:sz w:val="20"/>
                  <w:vertAlign w:val="superscript"/>
                </w:rPr>
                <w:t>38</w:t>
              </w:r>
            </w:hyperlink>
          </w:p>
        </w:tc>
        <w:tc>
          <w:tcPr>
            <w:vAlign w:val="top"/>
          </w:tcPr>
          <w:p>
            <w:pPr>
              <w:pBdr>
                <w:bottom w:val="none" w:space="8"/>
              </w:pBdr>
              <w:spacing w:before="0" w:after="0" w:line="275" w:lineRule="atLeast"/>
              <w:jc w:val="both"/>
            </w:pPr>
            <w:hyperlink r:id="r72">
              <w:r>
                <w:rPr>
                  <w:rFonts w:ascii="Times New Roman" w:hAnsi="Times New Roman"/>
                  <w:i/>
                  <w:color w:val="000000"/>
                  <w:sz w:val="20"/>
                </w:rPr>
                <w:t>In re Dell Techs. Inc. Class VS'holders Litig.,</w:t>
              </w:r>
              <w:r>
                <w:rPr>
                  <w:rFonts w:ascii="Times New Roman" w:hAnsi="Times New Roman"/>
                  <w:color w:val="000000"/>
                  <w:sz w:val="20"/>
                </w:rPr>
                <w:t xml:space="preserve"> 2020 WL 3096748, at *33 (Del. Ch. June 11, 2010)</w:t>
              </w:r>
            </w:hyperlink>
            <w:r>
              <w:rPr>
                <w:rFonts w:ascii="Times New Roman" w:hAnsi="Times New Roman"/>
                <w:color w:val="000000"/>
                <w:sz w:val="20"/>
              </w:rPr>
              <w:t xml:space="preserve"> (quoting A.A. Berle, Jr., </w:t>
            </w:r>
            <w:hyperlink r:id="r73">
              <w:r>
                <w:rPr>
                  <w:rFonts w:ascii="Times New Roman" w:hAnsi="Times New Roman"/>
                  <w:i/>
                  <w:color w:val="000000"/>
                  <w:sz w:val="20"/>
                </w:rPr>
                <w:t>Corporate Powers as Powers in Trust,</w:t>
              </w:r>
              <w:r>
                <w:rPr>
                  <w:rFonts w:ascii="Times New Roman" w:hAnsi="Times New Roman"/>
                  <w:color w:val="000000"/>
                  <w:sz w:val="20"/>
                </w:rPr>
                <w:t xml:space="preserve"> 44 Harv. L. Rev. 1049, 1049 (1931)</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39_1">
              <w:r>
                <w:rPr>
                  <w:rFonts w:ascii="Times New Roman" w:hAnsi="Times New Roman"/>
                  <w:color w:val="000000"/>
                  <w:sz w:val="20"/>
                  <w:vertAlign w:val="superscript"/>
                </w:rPr>
                <w:t>39</w:t>
              </w:r>
            </w:hyperlink>
          </w:p>
        </w:tc>
        <w:tc>
          <w:tcPr>
            <w:vAlign w:val="top"/>
          </w:tcPr>
          <w:p>
            <w:pPr>
              <w:pBdr>
                <w:bottom w:val="none" w:space="8"/>
              </w:pBdr>
              <w:spacing w:before="0" w:after="0" w:line="275" w:lineRule="atLeast"/>
              <w:jc w:val="both"/>
            </w:pPr>
            <w:hyperlink r:id="r74">
              <w:r>
                <w:rPr>
                  <w:rFonts w:ascii="Times New Roman" w:hAnsi="Times New Roman"/>
                  <w:i/>
                  <w:color w:val="000000"/>
                  <w:sz w:val="20"/>
                </w:rPr>
                <w:t>Schnell v. Chris-Craft Indus., Inc.,</w:t>
              </w:r>
              <w:r>
                <w:rPr>
                  <w:rFonts w:ascii="Times New Roman" w:hAnsi="Times New Roman"/>
                  <w:color w:val="000000"/>
                  <w:sz w:val="20"/>
                </w:rPr>
                <w:t xml:space="preserve"> 285 A.2d 437, 439 (Del. 1971)</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40_1">
              <w:r>
                <w:rPr>
                  <w:rFonts w:ascii="Times New Roman" w:hAnsi="Times New Roman"/>
                  <w:color w:val="000000"/>
                  <w:sz w:val="20"/>
                  <w:vertAlign w:val="superscript"/>
                </w:rPr>
                <w:t>40</w:t>
              </w:r>
            </w:hyperlink>
          </w:p>
        </w:tc>
        <w:tc>
          <w:tcPr>
            <w:vAlign w:val="top"/>
          </w:tcPr>
          <w:p>
            <w:pPr>
              <w:pBdr>
                <w:bottom w:val="none" w:space="8"/>
              </w:pBdr>
              <w:spacing w:before="0" w:after="0" w:line="275" w:lineRule="atLeast"/>
              <w:jc w:val="both"/>
            </w:pPr>
            <w:hyperlink r:id="r75">
              <w:r>
                <w:rPr>
                  <w:rFonts w:ascii="Times New Roman" w:hAnsi="Times New Roman"/>
                  <w:i/>
                  <w:color w:val="000000"/>
                  <w:sz w:val="20"/>
                </w:rPr>
                <w:t>Weinberger v. UOP, Inc.,</w:t>
              </w:r>
              <w:r>
                <w:rPr>
                  <w:rFonts w:ascii="Times New Roman" w:hAnsi="Times New Roman"/>
                  <w:color w:val="000000"/>
                  <w:sz w:val="20"/>
                </w:rPr>
                <w:t xml:space="preserve"> 457 A.2d 701, 711 (Del. 1983)</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41_1">
              <w:r>
                <w:rPr>
                  <w:rFonts w:ascii="Times New Roman" w:hAnsi="Times New Roman"/>
                  <w:color w:val="000000"/>
                  <w:sz w:val="20"/>
                  <w:vertAlign w:val="superscript"/>
                </w:rPr>
                <w:t>41</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32-33.</w:t>
            </w:r>
          </w:p>
        </w:tc>
      </w:tr>
      <w:tr>
        <w:tblPrEx/>
        <w:trPr/>
        <w:tc>
          <w:tcPr>
            <w:vAlign w:val="top"/>
          </w:tcPr>
          <w:p>
            <w:pPr>
              <w:spacing w:before="0" w:after="0" w:line="275" w:lineRule="atLeast"/>
            </w:pPr>
            <w:hyperlink w:anchor="co_tablefootnote_42_1">
              <w:r>
                <w:rPr>
                  <w:rFonts w:ascii="Times New Roman" w:hAnsi="Times New Roman"/>
                  <w:color w:val="000000"/>
                  <w:sz w:val="20"/>
                  <w:vertAlign w:val="superscript"/>
                </w:rPr>
                <w:t>42</w:t>
              </w:r>
            </w:hyperlink>
          </w:p>
        </w:tc>
        <w:tc>
          <w:tcPr>
            <w:vAlign w:val="top"/>
          </w:tcPr>
          <w:p>
            <w:pPr>
              <w:pBdr>
                <w:bottom w:val="none" w:space="8"/>
              </w:pBdr>
              <w:spacing w:before="0" w:after="0" w:line="275" w:lineRule="atLeast"/>
              <w:jc w:val="both"/>
            </w:pPr>
            <w:r>
              <w:rPr>
                <w:rFonts w:ascii="Times New Roman" w:hAnsi="Times New Roman"/>
                <w:i/>
                <w:color w:val="000000"/>
                <w:sz w:val="20"/>
              </w:rPr>
              <w:t>Id.</w:t>
            </w:r>
            <w:r>
              <w:rPr>
                <w:rFonts w:ascii="Times New Roman" w:hAnsi="Times New Roman"/>
                <w:color w:val="000000"/>
                <w:sz w:val="20"/>
              </w:rPr>
              <w:t xml:space="preserve"> at 30-31.</w:t>
            </w:r>
          </w:p>
        </w:tc>
      </w:tr>
      <w:tr>
        <w:tblPrEx/>
        <w:trPr/>
        <w:tc>
          <w:tcPr>
            <w:vAlign w:val="top"/>
          </w:tcPr>
          <w:p>
            <w:pPr>
              <w:spacing w:before="0" w:after="0" w:line="275" w:lineRule="atLeast"/>
            </w:pPr>
            <w:hyperlink w:anchor="co_tablefootnote_43_1">
              <w:r>
                <w:rPr>
                  <w:rFonts w:ascii="Times New Roman" w:hAnsi="Times New Roman"/>
                  <w:color w:val="000000"/>
                  <w:sz w:val="20"/>
                  <w:vertAlign w:val="superscript"/>
                </w:rPr>
                <w:t>43</w:t>
              </w:r>
            </w:hyperlink>
          </w:p>
        </w:tc>
        <w:tc>
          <w:tcPr>
            <w:vAlign w:val="top"/>
          </w:tcPr>
          <w:p>
            <w:pPr>
              <w:pBdr>
                <w:bottom w:val="none" w:space="8"/>
              </w:pBdr>
              <w:spacing w:before="0" w:after="0" w:line="275" w:lineRule="atLeast"/>
              <w:jc w:val="both"/>
            </w:pPr>
            <w:r>
              <w:rPr>
                <w:rFonts w:ascii="Times New Roman" w:hAnsi="Times New Roman"/>
                <w:i/>
                <w:color w:val="000000"/>
                <w:sz w:val="20"/>
              </w:rPr>
              <w:t>Id.</w:t>
            </w:r>
            <w:r>
              <w:rPr>
                <w:rFonts w:ascii="Times New Roman" w:hAnsi="Times New Roman"/>
                <w:color w:val="000000"/>
                <w:sz w:val="20"/>
              </w:rPr>
              <w:t xml:space="preserve"> at 32.</w:t>
            </w:r>
          </w:p>
        </w:tc>
      </w:tr>
      <w:tr>
        <w:tblPrEx/>
        <w:trPr/>
        <w:tc>
          <w:tcPr>
            <w:vAlign w:val="top"/>
          </w:tcPr>
          <w:p>
            <w:pPr>
              <w:spacing w:before="0" w:after="0" w:line="275" w:lineRule="atLeast"/>
            </w:pPr>
            <w:hyperlink w:anchor="co_tablefootnote_44_1">
              <w:r>
                <w:rPr>
                  <w:rFonts w:ascii="Times New Roman" w:hAnsi="Times New Roman"/>
                  <w:color w:val="000000"/>
                  <w:sz w:val="20"/>
                  <w:vertAlign w:val="superscript"/>
                </w:rPr>
                <w:t>44</w:t>
              </w:r>
            </w:hyperlink>
          </w:p>
        </w:tc>
        <w:tc>
          <w:tcPr>
            <w:vAlign w:val="top"/>
          </w:tcPr>
          <w:p>
            <w:pPr>
              <w:pBdr>
                <w:bottom w:val="none" w:space="8"/>
              </w:pBdr>
              <w:spacing w:before="0" w:after="0" w:line="275" w:lineRule="atLeast"/>
              <w:jc w:val="both"/>
            </w:pPr>
            <w:r>
              <w:rPr>
                <w:rFonts w:ascii="Times New Roman" w:hAnsi="Times New Roman"/>
                <w:i/>
                <w:color w:val="000000"/>
                <w:sz w:val="20"/>
              </w:rPr>
              <w:t>See, e.g.,</w:t>
            </w:r>
            <w:r>
              <w:rPr>
                <w:rFonts w:ascii="Times New Roman" w:hAnsi="Times New Roman"/>
                <w:color w:val="000000"/>
                <w:sz w:val="20"/>
              </w:rPr>
              <w:t xml:space="preserve"> JX-1011 at 3:18-5:01 (Mr. Lurie discussing 5, 6, 700% penetration rates with the “Internet of Things” connectivity).</w:t>
            </w:r>
          </w:p>
        </w:tc>
      </w:tr>
      <w:tr>
        <w:tblPrEx/>
        <w:trPr/>
        <w:tc>
          <w:tcPr>
            <w:vAlign w:val="top"/>
          </w:tcPr>
          <w:p>
            <w:pPr>
              <w:spacing w:before="0" w:after="0" w:line="275" w:lineRule="atLeast"/>
            </w:pPr>
            <w:hyperlink w:anchor="co_tablefootnote_45_1">
              <w:r>
                <w:rPr>
                  <w:rFonts w:ascii="Times New Roman" w:hAnsi="Times New Roman"/>
                  <w:color w:val="000000"/>
                  <w:sz w:val="20"/>
                  <w:vertAlign w:val="superscript"/>
                </w:rPr>
                <w:t>45</w:t>
              </w:r>
            </w:hyperlink>
          </w:p>
        </w:tc>
        <w:tc>
          <w:tcPr>
            <w:vAlign w:val="top"/>
          </w:tcPr>
          <w:p>
            <w:pPr>
              <w:pBdr>
                <w:bottom w:val="none" w:space="8"/>
              </w:pBdr>
              <w:spacing w:before="0" w:after="0" w:line="275" w:lineRule="atLeast"/>
              <w:jc w:val="both"/>
            </w:pPr>
            <w:r>
              <w:rPr>
                <w:rFonts w:ascii="Times New Roman" w:hAnsi="Times New Roman"/>
                <w:i/>
                <w:color w:val="000000"/>
                <w:sz w:val="20"/>
              </w:rPr>
              <w:t>See, e.g.,</w:t>
            </w:r>
            <w:r>
              <w:rPr>
                <w:rFonts w:ascii="Times New Roman" w:hAnsi="Times New Roman"/>
                <w:color w:val="000000"/>
                <w:sz w:val="20"/>
              </w:rPr>
              <w:t xml:space="preserve"> JX-876 at 1 (“[W]e noted that 3G was installed in 2008 and 2009. Additionally, 4G is expected to be installed in this market in mid-to-late 2013.”).</w:t>
            </w:r>
          </w:p>
        </w:tc>
      </w:tr>
      <w:tr>
        <w:tblPrEx/>
        <w:trPr/>
        <w:tc>
          <w:tcPr>
            <w:vAlign w:val="top"/>
          </w:tcPr>
          <w:p>
            <w:pPr>
              <w:spacing w:before="0" w:after="0" w:line="275" w:lineRule="atLeast"/>
            </w:pPr>
            <w:hyperlink w:anchor="co_tablefootnote_46_1">
              <w:r>
                <w:rPr>
                  <w:rFonts w:ascii="Times New Roman" w:hAnsi="Times New Roman"/>
                  <w:color w:val="000000"/>
                  <w:sz w:val="20"/>
                  <w:vertAlign w:val="superscript"/>
                </w:rPr>
                <w:t>46</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1191:15-24 (Musey-Direct); </w:t>
            </w:r>
            <w:r>
              <w:rPr>
                <w:rFonts w:ascii="Times New Roman" w:hAnsi="Times New Roman"/>
                <w:i/>
                <w:color w:val="000000"/>
                <w:sz w:val="20"/>
              </w:rPr>
              <w:t>id.</w:t>
            </w:r>
            <w:r>
              <w:rPr>
                <w:rFonts w:ascii="Times New Roman" w:hAnsi="Times New Roman"/>
                <w:color w:val="000000"/>
                <w:sz w:val="20"/>
              </w:rPr>
              <w:t xml:space="preserve"> 719:22-720:1 (Taylor-Direct) (testifying that “it was just starting with the new technology for 4G, that you might be able to [download] without waiting forever. So you are starting to get this explosion of data.”).</w:t>
            </w:r>
          </w:p>
        </w:tc>
      </w:tr>
      <w:tr>
        <w:tblPrEx/>
        <w:trPr/>
        <w:tc>
          <w:tcPr>
            <w:vAlign w:val="top"/>
          </w:tcPr>
          <w:p>
            <w:pPr>
              <w:spacing w:before="0" w:after="0" w:line="275" w:lineRule="atLeast"/>
            </w:pPr>
            <w:hyperlink w:anchor="co_tablefootnote_47_1">
              <w:r>
                <w:rPr>
                  <w:rFonts w:ascii="Times New Roman" w:hAnsi="Times New Roman"/>
                  <w:color w:val="000000"/>
                  <w:sz w:val="20"/>
                  <w:vertAlign w:val="superscript"/>
                </w:rPr>
                <w:t>47</w:t>
              </w:r>
            </w:hyperlink>
          </w:p>
        </w:tc>
        <w:tc>
          <w:tcPr>
            <w:vAlign w:val="top"/>
          </w:tcPr>
          <w:p>
            <w:pPr>
              <w:pBdr>
                <w:bottom w:val="none" w:space="8"/>
              </w:pBdr>
              <w:spacing w:before="0" w:after="0" w:line="275" w:lineRule="atLeast"/>
              <w:jc w:val="both"/>
            </w:pPr>
            <w:r>
              <w:rPr>
                <w:rFonts w:ascii="Times New Roman" w:hAnsi="Times New Roman"/>
                <w:color w:val="000000"/>
                <w:sz w:val="20"/>
              </w:rPr>
              <w:t>Tr. 1191:15-24 (Musey-Direct).</w:t>
            </w:r>
          </w:p>
        </w:tc>
      </w:tr>
      <w:tr>
        <w:tblPrEx/>
        <w:trPr/>
        <w:tc>
          <w:tcPr>
            <w:vAlign w:val="top"/>
          </w:tcPr>
          <w:p>
            <w:pPr>
              <w:spacing w:before="0" w:after="0" w:line="275" w:lineRule="atLeast"/>
            </w:pPr>
            <w:hyperlink w:anchor="co_tablefootnote_48_1">
              <w:r>
                <w:rPr>
                  <w:rFonts w:ascii="Times New Roman" w:hAnsi="Times New Roman"/>
                  <w:color w:val="000000"/>
                  <w:sz w:val="20"/>
                  <w:vertAlign w:val="superscript"/>
                </w:rPr>
                <w:t>48</w:t>
              </w:r>
            </w:hyperlink>
          </w:p>
        </w:tc>
        <w:tc>
          <w:tcPr>
            <w:vAlign w:val="top"/>
          </w:tcPr>
          <w:p>
            <w:pPr>
              <w:pBdr>
                <w:bottom w:val="none" w:space="8"/>
              </w:pBdr>
              <w:spacing w:before="0" w:after="0" w:line="275" w:lineRule="atLeast"/>
              <w:jc w:val="both"/>
            </w:pPr>
            <w:r>
              <w:rPr>
                <w:rFonts w:ascii="Times New Roman" w:hAnsi="Times New Roman"/>
                <w:i/>
                <w:color w:val="000000"/>
                <w:sz w:val="20"/>
              </w:rPr>
              <w:t>Id.</w:t>
            </w:r>
            <w:r>
              <w:rPr>
                <w:rFonts w:ascii="Times New Roman" w:hAnsi="Times New Roman"/>
                <w:color w:val="000000"/>
                <w:sz w:val="20"/>
              </w:rPr>
              <w:t xml:space="preserve"> at 1192:10-23.</w:t>
            </w:r>
          </w:p>
        </w:tc>
      </w:tr>
      <w:tr>
        <w:tblPrEx/>
        <w:trPr/>
        <w:tc>
          <w:tcPr>
            <w:vAlign w:val="top"/>
          </w:tcPr>
          <w:p>
            <w:pPr>
              <w:spacing w:before="0" w:after="0" w:line="275" w:lineRule="atLeast"/>
            </w:pPr>
            <w:hyperlink w:anchor="co_tablefootnote_49_1">
              <w:r>
                <w:rPr>
                  <w:rFonts w:ascii="Times New Roman" w:hAnsi="Times New Roman"/>
                  <w:color w:val="000000"/>
                  <w:sz w:val="20"/>
                  <w:vertAlign w:val="superscript"/>
                </w:rPr>
                <w:t>49</w:t>
              </w:r>
            </w:hyperlink>
          </w:p>
        </w:tc>
        <w:tc>
          <w:tcPr>
            <w:vAlign w:val="top"/>
          </w:tcPr>
          <w:p>
            <w:pPr>
              <w:pBdr>
                <w:bottom w:val="none" w:space="8"/>
              </w:pBdr>
              <w:spacing w:before="0" w:after="0" w:line="275" w:lineRule="atLeast"/>
              <w:jc w:val="both"/>
            </w:pPr>
            <w:r>
              <w:rPr>
                <w:rFonts w:ascii="Times New Roman" w:hAnsi="Times New Roman"/>
                <w:i/>
                <w:color w:val="000000"/>
                <w:sz w:val="20"/>
              </w:rPr>
              <w:t>Id.</w:t>
            </w:r>
            <w:r>
              <w:rPr>
                <w:rFonts w:ascii="Times New Roman" w:hAnsi="Times New Roman"/>
                <w:color w:val="000000"/>
                <w:sz w:val="20"/>
              </w:rPr>
              <w:t xml:space="preserve"> at 1192:24-1193:12.</w:t>
            </w:r>
          </w:p>
        </w:tc>
      </w:tr>
      <w:tr>
        <w:tblPrEx/>
        <w:trPr/>
        <w:tc>
          <w:tcPr>
            <w:vAlign w:val="top"/>
          </w:tcPr>
          <w:p>
            <w:pPr>
              <w:spacing w:before="0" w:after="0" w:line="275" w:lineRule="atLeast"/>
            </w:pPr>
            <w:hyperlink w:anchor="co_tablefootnote_50_1">
              <w:r>
                <w:rPr>
                  <w:rFonts w:ascii="Times New Roman" w:hAnsi="Times New Roman"/>
                  <w:color w:val="000000"/>
                  <w:sz w:val="20"/>
                  <w:vertAlign w:val="superscript"/>
                </w:rPr>
                <w:t>50</w:t>
              </w:r>
            </w:hyperlink>
          </w:p>
        </w:tc>
        <w:tc>
          <w:tcPr>
            <w:vAlign w:val="top"/>
          </w:tcPr>
          <w:p>
            <w:pPr>
              <w:pBdr>
                <w:bottom w:val="none" w:space="8"/>
              </w:pBdr>
              <w:spacing w:before="0" w:after="0" w:line="275" w:lineRule="atLeast"/>
              <w:jc w:val="both"/>
            </w:pPr>
            <w:r>
              <w:rPr>
                <w:rFonts w:ascii="Times New Roman" w:hAnsi="Times New Roman"/>
                <w:color w:val="000000"/>
                <w:sz w:val="20"/>
              </w:rPr>
              <w:t>JX-1902 at 8.</w:t>
            </w:r>
          </w:p>
        </w:tc>
      </w:tr>
      <w:tr>
        <w:tblPrEx/>
        <w:trPr/>
        <w:tc>
          <w:tcPr>
            <w:vAlign w:val="top"/>
          </w:tcPr>
          <w:p>
            <w:pPr>
              <w:spacing w:before="0" w:after="0" w:line="275" w:lineRule="atLeast"/>
            </w:pPr>
            <w:hyperlink w:anchor="co_tablefootnote_51_1">
              <w:r>
                <w:rPr>
                  <w:rFonts w:ascii="Times New Roman" w:hAnsi="Times New Roman"/>
                  <w:color w:val="000000"/>
                  <w:sz w:val="20"/>
                  <w:vertAlign w:val="superscript"/>
                </w:rPr>
                <w:t>51</w:t>
              </w:r>
            </w:hyperlink>
          </w:p>
        </w:tc>
        <w:tc>
          <w:tcPr>
            <w:vAlign w:val="top"/>
          </w:tcPr>
          <w:p>
            <w:pPr>
              <w:pBdr>
                <w:bottom w:val="none" w:space="8"/>
              </w:pBdr>
              <w:spacing w:before="0" w:after="0" w:line="275" w:lineRule="atLeast"/>
              <w:jc w:val="both"/>
            </w:pPr>
            <w:r>
              <w:rPr>
                <w:rFonts w:ascii="Times New Roman" w:hAnsi="Times New Roman"/>
                <w:color w:val="000000"/>
                <w:sz w:val="20"/>
              </w:rPr>
              <w:t>JX-532 at 16. EDO would support an entire class of subscribers of devices with no NPA-NXX number associated. Tr. 402:5-11 (Wages-Cross); JX-2468 at 8.</w:t>
            </w:r>
          </w:p>
        </w:tc>
      </w:tr>
      <w:tr>
        <w:tblPrEx/>
        <w:trPr/>
        <w:tc>
          <w:tcPr>
            <w:vAlign w:val="top"/>
          </w:tcPr>
          <w:p>
            <w:pPr>
              <w:spacing w:before="0" w:after="0" w:line="275" w:lineRule="atLeast"/>
            </w:pPr>
            <w:hyperlink w:anchor="co_tablefootnote_52_1">
              <w:r>
                <w:rPr>
                  <w:rFonts w:ascii="Times New Roman" w:hAnsi="Times New Roman"/>
                  <w:color w:val="000000"/>
                  <w:sz w:val="20"/>
                  <w:vertAlign w:val="superscript"/>
                </w:rPr>
                <w:t>52</w:t>
              </w:r>
            </w:hyperlink>
          </w:p>
        </w:tc>
        <w:tc>
          <w:tcPr>
            <w:vAlign w:val="top"/>
          </w:tcPr>
          <w:p>
            <w:pPr>
              <w:pBdr>
                <w:bottom w:val="none" w:space="8"/>
              </w:pBdr>
              <w:spacing w:before="0" w:after="0" w:line="275" w:lineRule="atLeast"/>
              <w:jc w:val="both"/>
            </w:pPr>
            <w:r>
              <w:rPr>
                <w:rFonts w:ascii="Times New Roman" w:hAnsi="Times New Roman"/>
                <w:i/>
                <w:color w:val="000000"/>
                <w:sz w:val="20"/>
              </w:rPr>
              <w:t>See, e.g.,</w:t>
            </w:r>
            <w:r>
              <w:rPr>
                <w:rFonts w:ascii="Times New Roman" w:hAnsi="Times New Roman"/>
                <w:color w:val="000000"/>
                <w:sz w:val="20"/>
              </w:rPr>
              <w:t xml:space="preserve"> JX-180 defining “Entire Network”; JX-532 at 13.</w:t>
            </w:r>
          </w:p>
        </w:tc>
      </w:tr>
      <w:tr>
        <w:tblPrEx/>
        <w:trPr/>
        <w:tc>
          <w:tcPr>
            <w:vAlign w:val="top"/>
          </w:tcPr>
          <w:p>
            <w:pPr>
              <w:spacing w:before="0" w:after="0" w:line="275" w:lineRule="atLeast"/>
            </w:pPr>
            <w:hyperlink w:anchor="co_tablefootnote_53_1">
              <w:r>
                <w:rPr>
                  <w:rFonts w:ascii="Times New Roman" w:hAnsi="Times New Roman"/>
                  <w:color w:val="000000"/>
                  <w:sz w:val="20"/>
                  <w:vertAlign w:val="superscript"/>
                </w:rPr>
                <w:t>53</w:t>
              </w:r>
            </w:hyperlink>
          </w:p>
        </w:tc>
        <w:tc>
          <w:tcPr>
            <w:vAlign w:val="top"/>
          </w:tcPr>
          <w:p>
            <w:pPr>
              <w:pBdr>
                <w:bottom w:val="none" w:space="8"/>
              </w:pBdr>
              <w:spacing w:before="0" w:after="0" w:line="275" w:lineRule="atLeast"/>
              <w:jc w:val="both"/>
            </w:pPr>
            <w:r>
              <w:rPr>
                <w:rFonts w:ascii="Times New Roman" w:hAnsi="Times New Roman"/>
                <w:color w:val="000000"/>
                <w:sz w:val="20"/>
              </w:rPr>
              <w:t>JX-3865.</w:t>
            </w:r>
          </w:p>
        </w:tc>
      </w:tr>
      <w:tr>
        <w:tblPrEx/>
        <w:trPr/>
        <w:tc>
          <w:tcPr>
            <w:vAlign w:val="top"/>
          </w:tcPr>
          <w:p>
            <w:pPr>
              <w:spacing w:before="0" w:after="0" w:line="275" w:lineRule="atLeast"/>
            </w:pPr>
            <w:hyperlink w:anchor="co_tablefootnote_54_1">
              <w:r>
                <w:rPr>
                  <w:rFonts w:ascii="Times New Roman" w:hAnsi="Times New Roman"/>
                  <w:color w:val="000000"/>
                  <w:sz w:val="20"/>
                  <w:vertAlign w:val="superscript"/>
                </w:rPr>
                <w:t>54</w:t>
              </w:r>
            </w:hyperlink>
          </w:p>
        </w:tc>
        <w:tc>
          <w:tcPr>
            <w:vAlign w:val="top"/>
          </w:tcPr>
          <w:p>
            <w:pPr>
              <w:pBdr>
                <w:bottom w:val="none" w:space="8"/>
              </w:pBdr>
              <w:spacing w:before="0" w:after="0" w:line="275" w:lineRule="atLeast"/>
              <w:jc w:val="both"/>
            </w:pPr>
            <w:r>
              <w:rPr>
                <w:rFonts w:ascii="Times New Roman" w:hAnsi="Times New Roman"/>
                <w:color w:val="000000"/>
                <w:sz w:val="20"/>
              </w:rPr>
              <w:t>JX-1340 at 1:45.</w:t>
            </w:r>
          </w:p>
        </w:tc>
      </w:tr>
      <w:tr>
        <w:tblPrEx/>
        <w:trPr/>
        <w:tc>
          <w:tcPr>
            <w:vAlign w:val="top"/>
          </w:tcPr>
          <w:p>
            <w:pPr>
              <w:spacing w:before="0" w:after="0" w:line="275" w:lineRule="atLeast"/>
            </w:pPr>
            <w:hyperlink w:anchor="co_tablefootnote_55_1">
              <w:r>
                <w:rPr>
                  <w:rFonts w:ascii="Times New Roman" w:hAnsi="Times New Roman"/>
                  <w:color w:val="000000"/>
                  <w:sz w:val="20"/>
                  <w:vertAlign w:val="superscript"/>
                </w:rPr>
                <w:t>55</w:t>
              </w:r>
            </w:hyperlink>
          </w:p>
        </w:tc>
        <w:tc>
          <w:tcPr>
            <w:vAlign w:val="top"/>
          </w:tcPr>
          <w:p>
            <w:pPr>
              <w:pBdr>
                <w:bottom w:val="none" w:space="8"/>
              </w:pBdr>
              <w:spacing w:before="0" w:after="0" w:line="275" w:lineRule="atLeast"/>
              <w:jc w:val="both"/>
            </w:pPr>
            <w:r>
              <w:rPr>
                <w:rFonts w:ascii="Times New Roman" w:hAnsi="Times New Roman"/>
                <w:i/>
                <w:color w:val="000000"/>
                <w:sz w:val="20"/>
              </w:rPr>
              <w:t>Id.</w:t>
            </w:r>
          </w:p>
        </w:tc>
      </w:tr>
      <w:tr>
        <w:tblPrEx/>
        <w:trPr/>
        <w:tc>
          <w:tcPr>
            <w:vAlign w:val="top"/>
          </w:tcPr>
          <w:p>
            <w:pPr>
              <w:spacing w:before="0" w:after="0" w:line="275" w:lineRule="atLeast"/>
            </w:pPr>
            <w:hyperlink w:anchor="co_tablefootnote_56_1">
              <w:r>
                <w:rPr>
                  <w:rFonts w:ascii="Times New Roman" w:hAnsi="Times New Roman"/>
                  <w:color w:val="000000"/>
                  <w:sz w:val="20"/>
                  <w:vertAlign w:val="superscript"/>
                </w:rPr>
                <w:t>56</w:t>
              </w:r>
            </w:hyperlink>
          </w:p>
        </w:tc>
        <w:tc>
          <w:tcPr>
            <w:vAlign w:val="top"/>
          </w:tcPr>
          <w:p>
            <w:pPr>
              <w:pBdr>
                <w:bottom w:val="none" w:space="8"/>
              </w:pBdr>
              <w:spacing w:before="0" w:after="0" w:line="275" w:lineRule="atLeast"/>
              <w:jc w:val="both"/>
            </w:pPr>
            <w:r>
              <w:rPr>
                <w:rFonts w:ascii="Times New Roman" w:hAnsi="Times New Roman"/>
                <w:color w:val="000000"/>
                <w:sz w:val="20"/>
              </w:rPr>
              <w:t>JX-1384.</w:t>
            </w:r>
          </w:p>
        </w:tc>
      </w:tr>
      <w:tr>
        <w:tblPrEx/>
        <w:trPr/>
        <w:tc>
          <w:tcPr>
            <w:vAlign w:val="top"/>
          </w:tcPr>
          <w:p>
            <w:pPr>
              <w:spacing w:before="0" w:after="0" w:line="275" w:lineRule="atLeast"/>
            </w:pPr>
            <w:hyperlink w:anchor="co_tablefootnote_57_1">
              <w:r>
                <w:rPr>
                  <w:rFonts w:ascii="Times New Roman" w:hAnsi="Times New Roman"/>
                  <w:color w:val="000000"/>
                  <w:sz w:val="20"/>
                  <w:vertAlign w:val="superscript"/>
                </w:rPr>
                <w:t>57</w:t>
              </w:r>
            </w:hyperlink>
          </w:p>
        </w:tc>
        <w:tc>
          <w:tcPr>
            <w:vAlign w:val="top"/>
          </w:tcPr>
          <w:p>
            <w:pPr>
              <w:pBdr>
                <w:bottom w:val="none" w:space="8"/>
              </w:pBdr>
              <w:spacing w:before="0" w:after="0" w:line="275" w:lineRule="atLeast"/>
              <w:jc w:val="both"/>
            </w:pPr>
            <w:r>
              <w:rPr>
                <w:rFonts w:ascii="Times New Roman" w:hAnsi="Times New Roman"/>
                <w:i/>
                <w:color w:val="000000"/>
                <w:sz w:val="20"/>
              </w:rPr>
              <w:t>See, e.g.,</w:t>
            </w:r>
            <w:r>
              <w:rPr>
                <w:rFonts w:ascii="Times New Roman" w:hAnsi="Times New Roman"/>
                <w:color w:val="000000"/>
                <w:sz w:val="20"/>
              </w:rPr>
              <w:t xml:space="preserve"> Defs. OPTB at 32 (“Revenue was not increasing with these increasing costs, in part because subscribers were switching to nationwide unlimited plans, which increased data usage without necessarily increasing data revenues.”).</w:t>
            </w:r>
          </w:p>
        </w:tc>
      </w:tr>
      <w:tr>
        <w:tblPrEx/>
        <w:trPr/>
        <w:tc>
          <w:tcPr>
            <w:vAlign w:val="top"/>
          </w:tcPr>
          <w:p>
            <w:pPr>
              <w:spacing w:before="0" w:after="0" w:line="275" w:lineRule="atLeast"/>
            </w:pPr>
            <w:hyperlink w:anchor="co_tablefootnote_58_1">
              <w:r>
                <w:rPr>
                  <w:rFonts w:ascii="Times New Roman" w:hAnsi="Times New Roman"/>
                  <w:color w:val="000000"/>
                  <w:sz w:val="20"/>
                  <w:vertAlign w:val="superscript"/>
                </w:rPr>
                <w:t>58</w:t>
              </w:r>
            </w:hyperlink>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JX-1384 at 4 (“For one thing, Apple and AT&amp;T almost certainly waited until AT&amp;T stopped offering iPhones with those unlimited data plans in June (existing customers were able to keep their unlimited plans), before approving a Netflix app that could stream over 3G.”).</w:t>
            </w:r>
          </w:p>
        </w:tc>
      </w:tr>
      <w:tr>
        <w:tblPrEx/>
        <w:trPr/>
        <w:tc>
          <w:tcPr>
            <w:vAlign w:val="top"/>
          </w:tcPr>
          <w:p>
            <w:pPr>
              <w:spacing w:before="0" w:after="0" w:line="275" w:lineRule="atLeast"/>
            </w:pPr>
            <w:hyperlink w:anchor="co_tablefootnote_59_1">
              <w:r>
                <w:rPr>
                  <w:rFonts w:ascii="Times New Roman" w:hAnsi="Times New Roman"/>
                  <w:color w:val="000000"/>
                  <w:sz w:val="20"/>
                  <w:vertAlign w:val="superscript"/>
                </w:rPr>
                <w:t>59</w:t>
              </w:r>
            </w:hyperlink>
          </w:p>
        </w:tc>
        <w:tc>
          <w:tcPr>
            <w:vAlign w:val="top"/>
          </w:tcPr>
          <w:p>
            <w:pPr>
              <w:pBdr>
                <w:bottom w:val="none" w:space="8"/>
              </w:pBdr>
              <w:spacing w:before="0" w:after="0" w:line="275" w:lineRule="atLeast"/>
              <w:jc w:val="both"/>
            </w:pPr>
            <w:r>
              <w:rPr>
                <w:rFonts w:ascii="Times New Roman" w:hAnsi="Times New Roman"/>
                <w:color w:val="000000"/>
                <w:sz w:val="20"/>
              </w:rPr>
              <w:t>JX-1435 at 66-70.</w:t>
            </w:r>
          </w:p>
        </w:tc>
      </w:tr>
      <w:tr>
        <w:tblPrEx/>
        <w:trPr/>
        <w:tc>
          <w:tcPr>
            <w:vAlign w:val="top"/>
          </w:tcPr>
          <w:p>
            <w:pPr>
              <w:spacing w:before="0" w:after="0" w:line="275" w:lineRule="atLeast"/>
            </w:pPr>
            <w:hyperlink w:anchor="co_tablefootnote_60_1">
              <w:r>
                <w:rPr>
                  <w:rFonts w:ascii="Times New Roman" w:hAnsi="Times New Roman"/>
                  <w:color w:val="000000"/>
                  <w:sz w:val="20"/>
                  <w:vertAlign w:val="superscript"/>
                </w:rPr>
                <w:t>60</w:t>
              </w:r>
            </w:hyperlink>
          </w:p>
        </w:tc>
        <w:tc>
          <w:tcPr>
            <w:vAlign w:val="top"/>
          </w:tcPr>
          <w:p>
            <w:pPr>
              <w:pBdr>
                <w:bottom w:val="none" w:space="8"/>
              </w:pBdr>
              <w:spacing w:before="0" w:after="0" w:line="275" w:lineRule="atLeast"/>
              <w:jc w:val="both"/>
            </w:pPr>
            <w:r>
              <w:rPr>
                <w:rFonts w:ascii="Times New Roman" w:hAnsi="Times New Roman"/>
                <w:color w:val="000000"/>
                <w:sz w:val="20"/>
              </w:rPr>
              <w:t>JX-532 at 5.</w:t>
            </w:r>
          </w:p>
        </w:tc>
      </w:tr>
      <w:tr>
        <w:tblPrEx/>
        <w:trPr/>
        <w:tc>
          <w:tcPr>
            <w:vAlign w:val="top"/>
          </w:tcPr>
          <w:p>
            <w:pPr>
              <w:spacing w:before="0" w:after="0" w:line="275" w:lineRule="atLeast"/>
            </w:pPr>
            <w:hyperlink w:anchor="co_tablefootnote_61_1">
              <w:r>
                <w:rPr>
                  <w:rFonts w:ascii="Times New Roman" w:hAnsi="Times New Roman"/>
                  <w:color w:val="000000"/>
                  <w:sz w:val="20"/>
                  <w:vertAlign w:val="superscript"/>
                </w:rPr>
                <w:t>61</w:t>
              </w:r>
            </w:hyperlink>
          </w:p>
        </w:tc>
        <w:tc>
          <w:tcPr>
            <w:vAlign w:val="top"/>
          </w:tcPr>
          <w:p>
            <w:pPr>
              <w:pBdr>
                <w:bottom w:val="none" w:space="8"/>
              </w:pBdr>
              <w:spacing w:before="0" w:after="0" w:line="275" w:lineRule="atLeast"/>
              <w:jc w:val="both"/>
            </w:pPr>
            <w:r>
              <w:rPr>
                <w:rFonts w:ascii="Times New Roman" w:hAnsi="Times New Roman"/>
                <w:color w:val="000000"/>
                <w:sz w:val="20"/>
              </w:rPr>
              <w:t>JX-1800 at 1:44-2:40.</w:t>
            </w:r>
          </w:p>
        </w:tc>
      </w:tr>
      <w:tr>
        <w:tblPrEx/>
        <w:trPr/>
        <w:tc>
          <w:tcPr>
            <w:vAlign w:val="top"/>
          </w:tcPr>
          <w:p>
            <w:pPr>
              <w:spacing w:before="0" w:after="0" w:line="275" w:lineRule="atLeast"/>
            </w:pPr>
            <w:hyperlink w:anchor="co_tablefootnote_62_1">
              <w:r>
                <w:rPr>
                  <w:rFonts w:ascii="Times New Roman" w:hAnsi="Times New Roman"/>
                  <w:color w:val="000000"/>
                  <w:sz w:val="20"/>
                  <w:vertAlign w:val="superscript"/>
                </w:rPr>
                <w:t>62</w:t>
              </w:r>
            </w:hyperlink>
          </w:p>
        </w:tc>
        <w:tc>
          <w:tcPr>
            <w:vAlign w:val="top"/>
          </w:tcPr>
          <w:p>
            <w:pPr>
              <w:pBdr>
                <w:bottom w:val="none" w:space="8"/>
              </w:pBdr>
              <w:spacing w:before="0" w:after="0" w:line="275" w:lineRule="atLeast"/>
              <w:jc w:val="both"/>
            </w:pPr>
            <w:r>
              <w:rPr>
                <w:rFonts w:ascii="Times New Roman" w:hAnsi="Times New Roman"/>
                <w:color w:val="000000"/>
                <w:sz w:val="20"/>
              </w:rPr>
              <w:t>JX-1436.</w:t>
            </w:r>
          </w:p>
        </w:tc>
      </w:tr>
      <w:tr>
        <w:tblPrEx/>
        <w:trPr/>
        <w:tc>
          <w:tcPr>
            <w:vAlign w:val="top"/>
          </w:tcPr>
          <w:p>
            <w:pPr>
              <w:spacing w:before="0" w:after="0" w:line="275" w:lineRule="atLeast"/>
            </w:pPr>
            <w:hyperlink w:anchor="co_tablefootnote_63_1">
              <w:r>
                <w:rPr>
                  <w:rFonts w:ascii="Times New Roman" w:hAnsi="Times New Roman"/>
                  <w:color w:val="000000"/>
                  <w:sz w:val="20"/>
                  <w:vertAlign w:val="superscript"/>
                </w:rPr>
                <w:t>63</w:t>
              </w:r>
            </w:hyperlink>
          </w:p>
        </w:tc>
        <w:tc>
          <w:tcPr>
            <w:vAlign w:val="top"/>
          </w:tcPr>
          <w:p>
            <w:pPr>
              <w:pBdr>
                <w:bottom w:val="none" w:space="8"/>
              </w:pBdr>
              <w:spacing w:before="0" w:after="0" w:line="275" w:lineRule="atLeast"/>
              <w:jc w:val="both"/>
            </w:pPr>
            <w:r>
              <w:rPr>
                <w:rFonts w:ascii="Times New Roman" w:hAnsi="Times New Roman"/>
                <w:color w:val="000000"/>
                <w:sz w:val="20"/>
              </w:rPr>
              <w:t>JX-1806.</w:t>
            </w:r>
          </w:p>
        </w:tc>
      </w:tr>
      <w:tr>
        <w:tblPrEx/>
        <w:trPr/>
        <w:tc>
          <w:tcPr>
            <w:vAlign w:val="top"/>
          </w:tcPr>
          <w:p>
            <w:pPr>
              <w:spacing w:before="0" w:after="0" w:line="275" w:lineRule="atLeast"/>
            </w:pPr>
            <w:hyperlink w:anchor="co_tablefootnote_64_1">
              <w:r>
                <w:rPr>
                  <w:rFonts w:ascii="Times New Roman" w:hAnsi="Times New Roman"/>
                  <w:color w:val="000000"/>
                  <w:sz w:val="20"/>
                  <w:vertAlign w:val="superscript"/>
                </w:rPr>
                <w:t>64</w:t>
              </w:r>
            </w:hyperlink>
          </w:p>
        </w:tc>
        <w:tc>
          <w:tcPr>
            <w:vAlign w:val="top"/>
          </w:tcPr>
          <w:p>
            <w:pPr>
              <w:pBdr>
                <w:bottom w:val="none" w:space="8"/>
              </w:pBdr>
              <w:spacing w:before="0" w:after="0" w:line="275" w:lineRule="atLeast"/>
              <w:jc w:val="both"/>
            </w:pPr>
            <w:r>
              <w:rPr>
                <w:rFonts w:ascii="Times New Roman" w:hAnsi="Times New Roman"/>
                <w:color w:val="000000"/>
                <w:sz w:val="20"/>
              </w:rPr>
              <w:t>JX-532 at 14.</w:t>
            </w:r>
          </w:p>
        </w:tc>
      </w:tr>
      <w:tr>
        <w:tblPrEx/>
        <w:trPr/>
        <w:tc>
          <w:tcPr>
            <w:vAlign w:val="top"/>
          </w:tcPr>
          <w:p>
            <w:pPr>
              <w:spacing w:before="0" w:after="0" w:line="275" w:lineRule="atLeast"/>
            </w:pPr>
            <w:hyperlink w:anchor="co_tablefootnote_65_1">
              <w:r>
                <w:rPr>
                  <w:rFonts w:ascii="Times New Roman" w:hAnsi="Times New Roman"/>
                  <w:color w:val="000000"/>
                  <w:sz w:val="20"/>
                  <w:vertAlign w:val="superscript"/>
                </w:rPr>
                <w:t>65</w:t>
              </w:r>
            </w:hyperlink>
          </w:p>
        </w:tc>
        <w:tc>
          <w:tcPr>
            <w:vAlign w:val="top"/>
          </w:tcPr>
          <w:p>
            <w:pPr>
              <w:pBdr>
                <w:bottom w:val="none" w:space="8"/>
              </w:pBdr>
              <w:spacing w:before="0" w:after="0" w:line="275" w:lineRule="atLeast"/>
              <w:jc w:val="both"/>
            </w:pPr>
            <w:r>
              <w:rPr>
                <w:rFonts w:ascii="Times New Roman" w:hAnsi="Times New Roman"/>
                <w:color w:val="000000"/>
                <w:sz w:val="20"/>
              </w:rPr>
              <w:t>JX-2461 at 13-14.</w:t>
            </w:r>
          </w:p>
        </w:tc>
      </w:tr>
      <w:tr>
        <w:tblPrEx/>
        <w:trPr/>
        <w:tc>
          <w:tcPr>
            <w:vAlign w:val="top"/>
          </w:tcPr>
          <w:p>
            <w:pPr>
              <w:spacing w:before="0" w:after="0" w:line="275" w:lineRule="atLeast"/>
            </w:pPr>
            <w:hyperlink w:anchor="co_tablefootnote_66_1">
              <w:r>
                <w:rPr>
                  <w:rFonts w:ascii="Times New Roman" w:hAnsi="Times New Roman"/>
                  <w:color w:val="000000"/>
                  <w:sz w:val="20"/>
                  <w:vertAlign w:val="superscript"/>
                </w:rPr>
                <w:t>66</w:t>
              </w:r>
            </w:hyperlink>
          </w:p>
        </w:tc>
        <w:tc>
          <w:tcPr>
            <w:vAlign w:val="top"/>
          </w:tcPr>
          <w:p>
            <w:pPr>
              <w:pBdr>
                <w:bottom w:val="none" w:space="8"/>
              </w:pBdr>
              <w:spacing w:before="0" w:after="0" w:line="275" w:lineRule="atLeast"/>
              <w:jc w:val="both"/>
            </w:pPr>
            <w:r>
              <w:rPr>
                <w:rFonts w:ascii="Times New Roman" w:hAnsi="Times New Roman"/>
                <w:i/>
                <w:color w:val="000000"/>
                <w:sz w:val="20"/>
              </w:rPr>
              <w:t>Id.</w:t>
            </w:r>
            <w:r>
              <w:rPr>
                <w:rFonts w:ascii="Times New Roman" w:hAnsi="Times New Roman"/>
                <w:color w:val="000000"/>
                <w:sz w:val="20"/>
              </w:rPr>
              <w:t xml:space="preserve"> at 15.</w:t>
            </w:r>
          </w:p>
        </w:tc>
      </w:tr>
      <w:tr>
        <w:tblPrEx/>
        <w:trPr/>
        <w:tc>
          <w:tcPr>
            <w:vAlign w:val="top"/>
          </w:tcPr>
          <w:p>
            <w:pPr>
              <w:spacing w:before="0" w:after="0" w:line="275" w:lineRule="atLeast"/>
            </w:pPr>
            <w:hyperlink w:anchor="co_tablefootnote_67_1">
              <w:r>
                <w:rPr>
                  <w:rFonts w:ascii="Times New Roman" w:hAnsi="Times New Roman"/>
                  <w:color w:val="000000"/>
                  <w:sz w:val="20"/>
                  <w:vertAlign w:val="superscript"/>
                </w:rPr>
                <w:t>67</w:t>
              </w:r>
            </w:hyperlink>
          </w:p>
        </w:tc>
        <w:tc>
          <w:tcPr>
            <w:vAlign w:val="top"/>
          </w:tcPr>
          <w:p>
            <w:pPr>
              <w:pBdr>
                <w:bottom w:val="none" w:space="8"/>
              </w:pBdr>
              <w:spacing w:before="0" w:after="0" w:line="275" w:lineRule="atLeast"/>
              <w:jc w:val="both"/>
            </w:pPr>
            <w:r>
              <w:rPr>
                <w:rFonts w:ascii="Times New Roman" w:hAnsi="Times New Roman"/>
                <w:i/>
                <w:color w:val="000000"/>
                <w:sz w:val="20"/>
              </w:rPr>
              <w:t>Id.</w:t>
            </w:r>
            <w:r>
              <w:rPr>
                <w:rFonts w:ascii="Times New Roman" w:hAnsi="Times New Roman"/>
                <w:color w:val="000000"/>
                <w:sz w:val="20"/>
              </w:rPr>
              <w:t xml:space="preserve"> at 16.</w:t>
            </w:r>
          </w:p>
        </w:tc>
      </w:tr>
      <w:tr>
        <w:tblPrEx/>
        <w:trPr/>
        <w:tc>
          <w:tcPr>
            <w:vAlign w:val="top"/>
          </w:tcPr>
          <w:p>
            <w:pPr>
              <w:spacing w:before="0" w:after="0" w:line="275" w:lineRule="atLeast"/>
            </w:pPr>
            <w:hyperlink w:anchor="co_tablefootnote_68_1">
              <w:r>
                <w:rPr>
                  <w:rFonts w:ascii="Times New Roman" w:hAnsi="Times New Roman"/>
                  <w:color w:val="000000"/>
                  <w:sz w:val="20"/>
                  <w:vertAlign w:val="superscript"/>
                </w:rPr>
                <w:t>68</w:t>
              </w:r>
            </w:hyperlink>
          </w:p>
        </w:tc>
        <w:tc>
          <w:tcPr>
            <w:vAlign w:val="top"/>
          </w:tcPr>
          <w:p>
            <w:pPr>
              <w:pBdr>
                <w:bottom w:val="none" w:space="8"/>
              </w:pBdr>
              <w:spacing w:before="0" w:after="0" w:line="275" w:lineRule="atLeast"/>
              <w:jc w:val="both"/>
            </w:pPr>
            <w:r>
              <w:rPr>
                <w:rFonts w:ascii="Times New Roman" w:hAnsi="Times New Roman"/>
                <w:i/>
                <w:color w:val="000000"/>
                <w:sz w:val="20"/>
              </w:rPr>
              <w:t>Id.</w:t>
            </w:r>
          </w:p>
        </w:tc>
      </w:tr>
      <w:tr>
        <w:tblPrEx/>
        <w:trPr/>
        <w:tc>
          <w:tcPr>
            <w:vAlign w:val="top"/>
          </w:tcPr>
          <w:p>
            <w:pPr>
              <w:spacing w:before="0" w:after="0" w:line="275" w:lineRule="atLeast"/>
            </w:pPr>
            <w:hyperlink w:anchor="co_tablefootnote_69_1">
              <w:r>
                <w:rPr>
                  <w:rFonts w:ascii="Times New Roman" w:hAnsi="Times New Roman"/>
                  <w:color w:val="000000"/>
                  <w:sz w:val="20"/>
                  <w:vertAlign w:val="superscript"/>
                </w:rPr>
                <w:t>69</w:t>
              </w:r>
            </w:hyperlink>
          </w:p>
        </w:tc>
        <w:tc>
          <w:tcPr>
            <w:vAlign w:val="top"/>
          </w:tcPr>
          <w:p>
            <w:pPr>
              <w:pBdr>
                <w:bottom w:val="none" w:space="8"/>
              </w:pBdr>
              <w:spacing w:before="0" w:after="0" w:line="275" w:lineRule="atLeast"/>
              <w:jc w:val="both"/>
            </w:pPr>
            <w:r>
              <w:rPr>
                <w:rFonts w:ascii="Times New Roman" w:hAnsi="Times New Roman"/>
                <w:color w:val="000000"/>
                <w:sz w:val="20"/>
              </w:rPr>
              <w:t>Tr. 585:14-18 (Teske-Cross).</w:t>
            </w:r>
          </w:p>
        </w:tc>
      </w:tr>
      <w:tr>
        <w:tblPrEx/>
        <w:trPr/>
        <w:tc>
          <w:tcPr>
            <w:vAlign w:val="top"/>
          </w:tcPr>
          <w:p>
            <w:pPr>
              <w:spacing w:before="0" w:after="0" w:line="275" w:lineRule="atLeast"/>
            </w:pPr>
            <w:hyperlink w:anchor="co_tablefootnote_70_1">
              <w:r>
                <w:rPr>
                  <w:rFonts w:ascii="Times New Roman" w:hAnsi="Times New Roman"/>
                  <w:color w:val="000000"/>
                  <w:sz w:val="20"/>
                  <w:vertAlign w:val="superscript"/>
                </w:rPr>
                <w:t>70</w:t>
              </w:r>
            </w:hyperlink>
          </w:p>
        </w:tc>
        <w:tc>
          <w:tcPr>
            <w:vAlign w:val="top"/>
          </w:tcPr>
          <w:p>
            <w:pPr>
              <w:pBdr>
                <w:bottom w:val="none" w:space="8"/>
              </w:pBdr>
              <w:spacing w:before="0" w:after="0" w:line="275" w:lineRule="atLeast"/>
              <w:jc w:val="both"/>
            </w:pPr>
            <w:r>
              <w:rPr>
                <w:rFonts w:ascii="Times New Roman" w:hAnsi="Times New Roman"/>
                <w:color w:val="000000"/>
                <w:sz w:val="20"/>
              </w:rPr>
              <w:t>JX-616 at 20 (increasing from $106 million in 2006 to $186 million in 2007); Tr. 610:12-612:18 (Teske-Cross).</w:t>
            </w:r>
          </w:p>
        </w:tc>
      </w:tr>
      <w:tr>
        <w:tblPrEx/>
        <w:trPr/>
        <w:tc>
          <w:tcPr>
            <w:vAlign w:val="top"/>
          </w:tcPr>
          <w:p>
            <w:pPr>
              <w:spacing w:before="0" w:after="0" w:line="275" w:lineRule="atLeast"/>
            </w:pPr>
            <w:hyperlink w:anchor="co_tablefootnote_71_1">
              <w:r>
                <w:rPr>
                  <w:rFonts w:ascii="Times New Roman" w:hAnsi="Times New Roman"/>
                  <w:color w:val="000000"/>
                  <w:sz w:val="20"/>
                  <w:vertAlign w:val="superscript"/>
                </w:rPr>
                <w:t>71</w:t>
              </w:r>
            </w:hyperlink>
          </w:p>
        </w:tc>
        <w:tc>
          <w:tcPr>
            <w:vAlign w:val="top"/>
          </w:tcPr>
          <w:p>
            <w:pPr>
              <w:pBdr>
                <w:bottom w:val="none" w:space="8"/>
              </w:pBdr>
              <w:spacing w:before="0" w:after="0" w:line="275" w:lineRule="atLeast"/>
              <w:jc w:val="both"/>
            </w:pPr>
            <w:r>
              <w:rPr>
                <w:rFonts w:ascii="Times New Roman" w:hAnsi="Times New Roman"/>
                <w:color w:val="000000"/>
                <w:sz w:val="20"/>
              </w:rPr>
              <w:t>JX-2522; Tr. 612:15-21 (Teske-Cross).</w:t>
            </w:r>
          </w:p>
        </w:tc>
      </w:tr>
      <w:tr>
        <w:tblPrEx/>
        <w:trPr/>
        <w:tc>
          <w:tcPr>
            <w:vAlign w:val="top"/>
          </w:tcPr>
          <w:p>
            <w:pPr>
              <w:spacing w:before="0" w:after="0" w:line="275" w:lineRule="atLeast"/>
            </w:pPr>
            <w:hyperlink w:anchor="co_tablefootnote_72_1">
              <w:r>
                <w:rPr>
                  <w:rFonts w:ascii="Times New Roman" w:hAnsi="Times New Roman"/>
                  <w:color w:val="000000"/>
                  <w:sz w:val="20"/>
                  <w:vertAlign w:val="superscript"/>
                </w:rPr>
                <w:t>72</w:t>
              </w:r>
            </w:hyperlink>
          </w:p>
        </w:tc>
        <w:tc>
          <w:tcPr>
            <w:vAlign w:val="top"/>
          </w:tcPr>
          <w:p>
            <w:pPr>
              <w:pBdr>
                <w:bottom w:val="none" w:space="8"/>
              </w:pBdr>
              <w:spacing w:before="0" w:after="0" w:line="275" w:lineRule="atLeast"/>
              <w:jc w:val="both"/>
            </w:pPr>
            <w:r>
              <w:rPr>
                <w:rFonts w:ascii="Times New Roman" w:hAnsi="Times New Roman"/>
                <w:color w:val="000000"/>
                <w:sz w:val="20"/>
              </w:rPr>
              <w:t>JX-2522 at 2.</w:t>
            </w:r>
          </w:p>
        </w:tc>
      </w:tr>
      <w:tr>
        <w:tblPrEx/>
        <w:trPr/>
        <w:tc>
          <w:tcPr>
            <w:vAlign w:val="top"/>
          </w:tcPr>
          <w:p>
            <w:pPr>
              <w:spacing w:before="0" w:after="0" w:line="275" w:lineRule="atLeast"/>
            </w:pPr>
            <w:hyperlink w:anchor="co_tablefootnote_73_1">
              <w:r>
                <w:rPr>
                  <w:rFonts w:ascii="Times New Roman" w:hAnsi="Times New Roman"/>
                  <w:color w:val="000000"/>
                  <w:sz w:val="20"/>
                  <w:vertAlign w:val="superscript"/>
                </w:rPr>
                <w:t>73</w:t>
              </w:r>
            </w:hyperlink>
          </w:p>
        </w:tc>
        <w:tc>
          <w:tcPr>
            <w:vAlign w:val="top"/>
          </w:tcPr>
          <w:p>
            <w:pPr>
              <w:pBdr>
                <w:bottom w:val="none" w:space="8"/>
              </w:pBdr>
              <w:spacing w:before="0" w:after="0" w:line="275" w:lineRule="atLeast"/>
              <w:jc w:val="both"/>
            </w:pPr>
            <w:r>
              <w:rPr>
                <w:rFonts w:ascii="Times New Roman" w:hAnsi="Times New Roman"/>
                <w:i/>
                <w:color w:val="000000"/>
                <w:sz w:val="20"/>
              </w:rPr>
              <w:t>Id.</w:t>
            </w:r>
            <w:r>
              <w:rPr>
                <w:rFonts w:ascii="Times New Roman" w:hAnsi="Times New Roman"/>
                <w:color w:val="000000"/>
                <w:sz w:val="20"/>
              </w:rPr>
              <w:t xml:space="preserve"> at 8.</w:t>
            </w:r>
          </w:p>
        </w:tc>
      </w:tr>
      <w:tr>
        <w:tblPrEx/>
        <w:trPr/>
        <w:tc>
          <w:tcPr>
            <w:vAlign w:val="top"/>
          </w:tcPr>
          <w:p>
            <w:pPr>
              <w:spacing w:before="0" w:after="0" w:line="275" w:lineRule="atLeast"/>
            </w:pPr>
            <w:hyperlink w:anchor="co_tablefootnote_74_1">
              <w:r>
                <w:rPr>
                  <w:rFonts w:ascii="Times New Roman" w:hAnsi="Times New Roman"/>
                  <w:color w:val="000000"/>
                  <w:sz w:val="20"/>
                  <w:vertAlign w:val="superscript"/>
                </w:rPr>
                <w:t>74</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JX-347 at 9; </w:t>
            </w:r>
            <w:r>
              <w:rPr>
                <w:rFonts w:ascii="Times New Roman" w:hAnsi="Times New Roman"/>
                <w:i/>
                <w:color w:val="000000"/>
                <w:sz w:val="20"/>
              </w:rPr>
              <w:t>see also</w:t>
            </w:r>
            <w:r>
              <w:rPr>
                <w:rFonts w:ascii="Times New Roman" w:hAnsi="Times New Roman"/>
                <w:color w:val="000000"/>
                <w:sz w:val="20"/>
              </w:rPr>
              <w:t xml:space="preserve"> Prickett Pls. Pretrial Br. at 11-17.</w:t>
            </w:r>
          </w:p>
        </w:tc>
      </w:tr>
      <w:tr>
        <w:tblPrEx/>
        <w:trPr/>
        <w:tc>
          <w:tcPr>
            <w:vAlign w:val="top"/>
          </w:tcPr>
          <w:p>
            <w:pPr>
              <w:spacing w:before="0" w:after="0" w:line="275" w:lineRule="atLeast"/>
            </w:pPr>
            <w:hyperlink w:anchor="co_tablefootnote_75_1">
              <w:r>
                <w:rPr>
                  <w:rFonts w:ascii="Times New Roman" w:hAnsi="Times New Roman"/>
                  <w:color w:val="000000"/>
                  <w:sz w:val="20"/>
                  <w:vertAlign w:val="superscript"/>
                </w:rPr>
                <w:t>75</w:t>
              </w:r>
            </w:hyperlink>
          </w:p>
        </w:tc>
        <w:tc>
          <w:tcPr>
            <w:vAlign w:val="top"/>
          </w:tcPr>
          <w:p>
            <w:pPr>
              <w:pBdr>
                <w:bottom w:val="none" w:space="8"/>
              </w:pBdr>
              <w:spacing w:before="0" w:after="0" w:line="275" w:lineRule="atLeast"/>
              <w:jc w:val="both"/>
            </w:pPr>
            <w:r>
              <w:rPr>
                <w:rFonts w:ascii="Times New Roman" w:hAnsi="Times New Roman"/>
                <w:color w:val="000000"/>
                <w:sz w:val="20"/>
              </w:rPr>
              <w:t>JX-310 at 10; JX-2522; JX-616.</w:t>
            </w:r>
          </w:p>
        </w:tc>
      </w:tr>
      <w:tr>
        <w:tblPrEx/>
        <w:trPr/>
        <w:tc>
          <w:tcPr>
            <w:vAlign w:val="top"/>
          </w:tcPr>
          <w:p>
            <w:pPr>
              <w:spacing w:before="0" w:after="0" w:line="275" w:lineRule="atLeast"/>
            </w:pPr>
            <w:hyperlink w:anchor="co_tablefootnote_76_1">
              <w:r>
                <w:rPr>
                  <w:rFonts w:ascii="Times New Roman" w:hAnsi="Times New Roman"/>
                  <w:color w:val="000000"/>
                  <w:sz w:val="20"/>
                  <w:vertAlign w:val="superscript"/>
                </w:rPr>
                <w:t>76</w:t>
              </w:r>
            </w:hyperlink>
          </w:p>
        </w:tc>
        <w:tc>
          <w:tcPr>
            <w:vAlign w:val="top"/>
          </w:tcPr>
          <w:p>
            <w:pPr>
              <w:pBdr>
                <w:bottom w:val="none" w:space="8"/>
              </w:pBdr>
              <w:spacing w:before="0" w:after="0" w:line="275" w:lineRule="atLeast"/>
              <w:jc w:val="both"/>
            </w:pPr>
            <w:r>
              <w:rPr>
                <w:rFonts w:ascii="Times New Roman" w:hAnsi="Times New Roman"/>
                <w:color w:val="000000"/>
                <w:sz w:val="20"/>
              </w:rPr>
              <w:t>JX-3515.</w:t>
            </w:r>
          </w:p>
        </w:tc>
      </w:tr>
      <w:tr>
        <w:tblPrEx/>
        <w:trPr/>
        <w:tc>
          <w:tcPr>
            <w:vAlign w:val="top"/>
          </w:tcPr>
          <w:p>
            <w:pPr>
              <w:spacing w:before="0" w:after="0" w:line="275" w:lineRule="atLeast"/>
            </w:pPr>
            <w:hyperlink w:anchor="co_tablefootnote_77_1">
              <w:r>
                <w:rPr>
                  <w:rFonts w:ascii="Times New Roman" w:hAnsi="Times New Roman"/>
                  <w:color w:val="000000"/>
                  <w:sz w:val="20"/>
                  <w:vertAlign w:val="superscript"/>
                </w:rPr>
                <w:t>77</w:t>
              </w:r>
            </w:hyperlink>
          </w:p>
        </w:tc>
        <w:tc>
          <w:tcPr>
            <w:vAlign w:val="top"/>
          </w:tcPr>
          <w:p>
            <w:pPr>
              <w:pBdr>
                <w:bottom w:val="none" w:space="8"/>
              </w:pBdr>
              <w:spacing w:before="0" w:after="0" w:line="275" w:lineRule="atLeast"/>
              <w:jc w:val="both"/>
            </w:pPr>
            <w:r>
              <w:rPr>
                <w:rFonts w:ascii="Times New Roman" w:hAnsi="Times New Roman"/>
                <w:i/>
                <w:color w:val="000000"/>
                <w:sz w:val="20"/>
              </w:rPr>
              <w:t>See, e.g.,</w:t>
            </w:r>
            <w:r>
              <w:rPr>
                <w:rFonts w:ascii="Times New Roman" w:hAnsi="Times New Roman"/>
                <w:color w:val="000000"/>
                <w:sz w:val="20"/>
              </w:rPr>
              <w:t xml:space="preserve"> JX-748 (announcing in February 2010 selection of LTE equipment suppliers).</w:t>
            </w:r>
          </w:p>
        </w:tc>
      </w:tr>
      <w:tr>
        <w:tblPrEx/>
        <w:trPr/>
        <w:tc>
          <w:tcPr>
            <w:vAlign w:val="top"/>
          </w:tcPr>
          <w:p>
            <w:pPr>
              <w:spacing w:before="0" w:after="0" w:line="275" w:lineRule="atLeast"/>
            </w:pPr>
            <w:hyperlink w:anchor="co_tablefootnote_78_1">
              <w:r>
                <w:rPr>
                  <w:rFonts w:ascii="Times New Roman" w:hAnsi="Times New Roman"/>
                  <w:color w:val="000000"/>
                  <w:sz w:val="20"/>
                  <w:vertAlign w:val="superscript"/>
                </w:rPr>
                <w:t>78</w:t>
              </w:r>
            </w:hyperlink>
          </w:p>
        </w:tc>
        <w:tc>
          <w:tcPr>
            <w:vAlign w:val="top"/>
          </w:tcPr>
          <w:p>
            <w:pPr>
              <w:pBdr>
                <w:bottom w:val="none" w:space="8"/>
              </w:pBdr>
              <w:spacing w:before="0" w:after="0" w:line="275" w:lineRule="atLeast"/>
              <w:jc w:val="both"/>
            </w:pPr>
            <w:r>
              <w:rPr>
                <w:rFonts w:ascii="Times New Roman" w:hAnsi="Times New Roman"/>
                <w:color w:val="000000"/>
                <w:sz w:val="20"/>
              </w:rPr>
              <w:t>JX-3896 at 10 (“In Fall 2009, the Emerging Devices Organization was formed... ”).</w:t>
            </w:r>
          </w:p>
        </w:tc>
      </w:tr>
      <w:tr>
        <w:tblPrEx/>
        <w:trPr/>
        <w:tc>
          <w:tcPr>
            <w:vAlign w:val="top"/>
          </w:tcPr>
          <w:p>
            <w:pPr>
              <w:spacing w:before="0" w:after="0" w:line="275" w:lineRule="atLeast"/>
            </w:pPr>
            <w:hyperlink w:anchor="co_tablefootnote_79_1">
              <w:r>
                <w:rPr>
                  <w:rFonts w:ascii="Times New Roman" w:hAnsi="Times New Roman"/>
                  <w:color w:val="000000"/>
                  <w:sz w:val="20"/>
                  <w:vertAlign w:val="superscript"/>
                </w:rPr>
                <w:t>79</w:t>
              </w:r>
            </w:hyperlink>
          </w:p>
        </w:tc>
        <w:tc>
          <w:tcPr>
            <w:vAlign w:val="top"/>
          </w:tcPr>
          <w:p>
            <w:pPr>
              <w:pBdr>
                <w:bottom w:val="none" w:space="8"/>
              </w:pBdr>
              <w:spacing w:before="0" w:after="0" w:line="275" w:lineRule="atLeast"/>
              <w:jc w:val="both"/>
            </w:pPr>
            <w:r>
              <w:rPr>
                <w:rFonts w:ascii="Times New Roman" w:hAnsi="Times New Roman"/>
                <w:color w:val="000000"/>
                <w:sz w:val="20"/>
              </w:rPr>
              <w:t>Tr. 599:15-20 (Teske-Cross).</w:t>
            </w:r>
          </w:p>
        </w:tc>
      </w:tr>
      <w:tr>
        <w:tblPrEx/>
        <w:trPr/>
        <w:tc>
          <w:tcPr>
            <w:vAlign w:val="top"/>
          </w:tcPr>
          <w:p>
            <w:pPr>
              <w:spacing w:before="0" w:after="0" w:line="275" w:lineRule="atLeast"/>
            </w:pPr>
            <w:hyperlink w:anchor="co_tablefootnote_80_1">
              <w:r>
                <w:rPr>
                  <w:rFonts w:ascii="Times New Roman" w:hAnsi="Times New Roman"/>
                  <w:color w:val="000000"/>
                  <w:sz w:val="20"/>
                  <w:vertAlign w:val="superscript"/>
                </w:rPr>
                <w:t>80</w:t>
              </w:r>
            </w:hyperlink>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JX-3587.</w:t>
            </w:r>
          </w:p>
        </w:tc>
      </w:tr>
      <w:tr>
        <w:tblPrEx/>
        <w:trPr/>
        <w:tc>
          <w:tcPr>
            <w:vAlign w:val="top"/>
          </w:tcPr>
          <w:p>
            <w:pPr>
              <w:spacing w:before="0" w:after="0" w:line="275" w:lineRule="atLeast"/>
            </w:pPr>
            <w:hyperlink w:anchor="co_tablefootnote_81_1">
              <w:r>
                <w:rPr>
                  <w:rFonts w:ascii="Times New Roman" w:hAnsi="Times New Roman"/>
                  <w:color w:val="000000"/>
                  <w:sz w:val="20"/>
                  <w:vertAlign w:val="superscript"/>
                </w:rPr>
                <w:t>81</w:t>
              </w:r>
            </w:hyperlink>
          </w:p>
        </w:tc>
        <w:tc>
          <w:tcPr>
            <w:vAlign w:val="top"/>
          </w:tcPr>
          <w:p>
            <w:pPr>
              <w:pBdr>
                <w:bottom w:val="none" w:space="8"/>
              </w:pBdr>
              <w:spacing w:before="0" w:after="0" w:line="275" w:lineRule="atLeast"/>
              <w:jc w:val="both"/>
            </w:pPr>
            <w:r>
              <w:rPr>
                <w:rFonts w:ascii="Times New Roman" w:hAnsi="Times New Roman"/>
                <w:color w:val="000000"/>
                <w:sz w:val="20"/>
              </w:rPr>
              <w:t>JX-616 at 5 and 6.</w:t>
            </w:r>
          </w:p>
        </w:tc>
      </w:tr>
      <w:tr>
        <w:tblPrEx/>
        <w:trPr/>
        <w:tc>
          <w:tcPr>
            <w:vAlign w:val="top"/>
          </w:tcPr>
          <w:p>
            <w:pPr>
              <w:spacing w:before="0" w:after="0" w:line="275" w:lineRule="atLeast"/>
            </w:pPr>
            <w:hyperlink w:anchor="co_tablefootnote_82_1">
              <w:r>
                <w:rPr>
                  <w:rFonts w:ascii="Times New Roman" w:hAnsi="Times New Roman"/>
                  <w:color w:val="000000"/>
                  <w:sz w:val="20"/>
                  <w:vertAlign w:val="superscript"/>
                </w:rPr>
                <w:t>82</w:t>
              </w:r>
            </w:hyperlink>
          </w:p>
        </w:tc>
        <w:tc>
          <w:tcPr>
            <w:vAlign w:val="top"/>
          </w:tcPr>
          <w:p>
            <w:pPr>
              <w:pBdr>
                <w:bottom w:val="none" w:space="8"/>
              </w:pBdr>
              <w:spacing w:before="0" w:after="0" w:line="275" w:lineRule="atLeast"/>
              <w:jc w:val="both"/>
            </w:pPr>
            <w:r>
              <w:rPr>
                <w:rFonts w:ascii="Times New Roman" w:hAnsi="Times New Roman"/>
                <w:i/>
                <w:color w:val="000000"/>
                <w:sz w:val="20"/>
              </w:rPr>
              <w:t>Id.</w:t>
            </w:r>
            <w:r>
              <w:rPr>
                <w:rFonts w:ascii="Times New Roman" w:hAnsi="Times New Roman"/>
                <w:color w:val="000000"/>
                <w:sz w:val="20"/>
              </w:rPr>
              <w:t xml:space="preserve"> at 5.</w:t>
            </w:r>
          </w:p>
        </w:tc>
      </w:tr>
      <w:tr>
        <w:tblPrEx/>
        <w:trPr/>
        <w:tc>
          <w:tcPr>
            <w:vAlign w:val="top"/>
          </w:tcPr>
          <w:p>
            <w:pPr>
              <w:spacing w:before="0" w:after="0" w:line="275" w:lineRule="atLeast"/>
            </w:pPr>
            <w:hyperlink w:anchor="co_tablefootnote_83_1">
              <w:r>
                <w:rPr>
                  <w:rFonts w:ascii="Times New Roman" w:hAnsi="Times New Roman"/>
                  <w:color w:val="000000"/>
                  <w:sz w:val="20"/>
                  <w:vertAlign w:val="superscript"/>
                </w:rPr>
                <w:t>83</w:t>
              </w:r>
            </w:hyperlink>
          </w:p>
        </w:tc>
        <w:tc>
          <w:tcPr>
            <w:vAlign w:val="top"/>
          </w:tcPr>
          <w:p>
            <w:pPr>
              <w:pBdr>
                <w:bottom w:val="none" w:space="8"/>
              </w:pBdr>
              <w:spacing w:before="0" w:after="0" w:line="275" w:lineRule="atLeast"/>
              <w:jc w:val="both"/>
            </w:pPr>
            <w:r>
              <w:rPr>
                <w:rFonts w:ascii="Times New Roman" w:hAnsi="Times New Roman"/>
                <w:color w:val="000000"/>
                <w:sz w:val="20"/>
              </w:rPr>
              <w:t>JX-2522 at 4.</w:t>
            </w:r>
          </w:p>
        </w:tc>
      </w:tr>
      <w:tr>
        <w:tblPrEx/>
        <w:trPr/>
        <w:tc>
          <w:tcPr>
            <w:vAlign w:val="top"/>
          </w:tcPr>
          <w:p>
            <w:pPr>
              <w:spacing w:before="0" w:after="0" w:line="275" w:lineRule="atLeast"/>
            </w:pPr>
            <w:hyperlink w:anchor="co_tablefootnote_84_1">
              <w:r>
                <w:rPr>
                  <w:rFonts w:ascii="Times New Roman" w:hAnsi="Times New Roman"/>
                  <w:color w:val="000000"/>
                  <w:sz w:val="20"/>
                  <w:vertAlign w:val="superscript"/>
                </w:rPr>
                <w:t>84</w:t>
              </w:r>
            </w:hyperlink>
          </w:p>
        </w:tc>
        <w:tc>
          <w:tcPr>
            <w:vAlign w:val="top"/>
          </w:tcPr>
          <w:p>
            <w:pPr>
              <w:pBdr>
                <w:bottom w:val="none" w:space="8"/>
              </w:pBdr>
              <w:spacing w:before="0" w:after="0" w:line="275" w:lineRule="atLeast"/>
              <w:jc w:val="both"/>
            </w:pPr>
            <w:r>
              <w:rPr>
                <w:rFonts w:ascii="Times New Roman" w:hAnsi="Times New Roman"/>
                <w:color w:val="000000"/>
                <w:sz w:val="20"/>
              </w:rPr>
              <w:t>JX-616 at 6.</w:t>
            </w:r>
          </w:p>
        </w:tc>
      </w:tr>
      <w:tr>
        <w:tblPrEx/>
        <w:trPr/>
        <w:tc>
          <w:tcPr>
            <w:vAlign w:val="top"/>
          </w:tcPr>
          <w:p>
            <w:pPr>
              <w:spacing w:before="0" w:after="0" w:line="275" w:lineRule="atLeast"/>
            </w:pPr>
            <w:hyperlink w:anchor="co_tablefootnote_85_1">
              <w:r>
                <w:rPr>
                  <w:rFonts w:ascii="Times New Roman" w:hAnsi="Times New Roman"/>
                  <w:color w:val="000000"/>
                  <w:sz w:val="20"/>
                  <w:vertAlign w:val="superscript"/>
                </w:rPr>
                <w:t>85</w:t>
              </w:r>
            </w:hyperlink>
          </w:p>
        </w:tc>
        <w:tc>
          <w:tcPr>
            <w:vAlign w:val="top"/>
          </w:tcPr>
          <w:p>
            <w:pPr>
              <w:pBdr>
                <w:bottom w:val="none" w:space="8"/>
              </w:pBdr>
              <w:spacing w:before="0" w:after="0" w:line="275" w:lineRule="atLeast"/>
              <w:jc w:val="both"/>
            </w:pPr>
            <w:r>
              <w:rPr>
                <w:rFonts w:ascii="Times New Roman" w:hAnsi="Times New Roman"/>
                <w:i/>
                <w:color w:val="000000"/>
                <w:sz w:val="20"/>
              </w:rPr>
              <w:t>Id.</w:t>
            </w:r>
            <w:r>
              <w:rPr>
                <w:rFonts w:ascii="Times New Roman" w:hAnsi="Times New Roman"/>
                <w:color w:val="000000"/>
                <w:sz w:val="20"/>
              </w:rPr>
              <w:t xml:space="preserve"> at6.</w:t>
            </w:r>
          </w:p>
        </w:tc>
      </w:tr>
      <w:tr>
        <w:tblPrEx/>
        <w:trPr/>
        <w:tc>
          <w:tcPr>
            <w:vAlign w:val="top"/>
          </w:tcPr>
          <w:p>
            <w:pPr>
              <w:spacing w:before="0" w:after="0" w:line="275" w:lineRule="atLeast"/>
            </w:pPr>
            <w:hyperlink w:anchor="co_tablefootnote_86_1">
              <w:r>
                <w:rPr>
                  <w:rFonts w:ascii="Times New Roman" w:hAnsi="Times New Roman"/>
                  <w:color w:val="000000"/>
                  <w:sz w:val="20"/>
                  <w:vertAlign w:val="superscript"/>
                </w:rPr>
                <w:t>86</w:t>
              </w:r>
            </w:hyperlink>
          </w:p>
        </w:tc>
        <w:tc>
          <w:tcPr>
            <w:vAlign w:val="top"/>
          </w:tcPr>
          <w:p>
            <w:pPr>
              <w:pBdr>
                <w:bottom w:val="none" w:space="8"/>
              </w:pBdr>
              <w:spacing w:before="0" w:after="0" w:line="275" w:lineRule="atLeast"/>
              <w:jc w:val="both"/>
            </w:pPr>
            <w:r>
              <w:rPr>
                <w:rFonts w:ascii="Times New Roman" w:hAnsi="Times New Roman"/>
                <w:i/>
                <w:color w:val="000000"/>
                <w:sz w:val="20"/>
              </w:rPr>
              <w:t>Id.</w:t>
            </w:r>
            <w:r>
              <w:rPr>
                <w:rFonts w:ascii="Times New Roman" w:hAnsi="Times New Roman"/>
                <w:color w:val="000000"/>
                <w:sz w:val="20"/>
              </w:rPr>
              <w:t xml:space="preserve"> at 19.</w:t>
            </w:r>
          </w:p>
        </w:tc>
      </w:tr>
      <w:tr>
        <w:tblPrEx/>
        <w:trPr/>
        <w:tc>
          <w:tcPr>
            <w:vAlign w:val="top"/>
          </w:tcPr>
          <w:p>
            <w:pPr>
              <w:spacing w:before="0" w:after="0" w:line="275" w:lineRule="atLeast"/>
            </w:pPr>
            <w:hyperlink w:anchor="co_tablefootnote_87_1">
              <w:r>
                <w:rPr>
                  <w:rFonts w:ascii="Times New Roman" w:hAnsi="Times New Roman"/>
                  <w:color w:val="000000"/>
                  <w:sz w:val="20"/>
                  <w:vertAlign w:val="superscript"/>
                </w:rPr>
                <w:t>87</w:t>
              </w:r>
            </w:hyperlink>
          </w:p>
        </w:tc>
        <w:tc>
          <w:tcPr>
            <w:vAlign w:val="top"/>
          </w:tcPr>
          <w:p>
            <w:pPr>
              <w:pBdr>
                <w:bottom w:val="none" w:space="8"/>
              </w:pBdr>
              <w:spacing w:before="0" w:after="0" w:line="275" w:lineRule="atLeast"/>
              <w:jc w:val="both"/>
            </w:pPr>
            <w:r>
              <w:rPr>
                <w:rFonts w:ascii="Times New Roman" w:hAnsi="Times New Roman"/>
                <w:color w:val="000000"/>
                <w:sz w:val="20"/>
              </w:rPr>
              <w:t>Tr. 27:2-15 (Stephens-Direct); JX-640.</w:t>
            </w:r>
          </w:p>
        </w:tc>
      </w:tr>
      <w:tr>
        <w:tblPrEx/>
        <w:trPr/>
        <w:tc>
          <w:tcPr>
            <w:vAlign w:val="top"/>
          </w:tcPr>
          <w:p>
            <w:pPr>
              <w:spacing w:before="0" w:after="0" w:line="275" w:lineRule="atLeast"/>
            </w:pPr>
            <w:hyperlink w:anchor="co_tablefootnote_88_1">
              <w:r>
                <w:rPr>
                  <w:rFonts w:ascii="Times New Roman" w:hAnsi="Times New Roman"/>
                  <w:color w:val="000000"/>
                  <w:sz w:val="20"/>
                  <w:vertAlign w:val="superscript"/>
                </w:rPr>
                <w:t>88</w:t>
              </w:r>
            </w:hyperlink>
          </w:p>
        </w:tc>
        <w:tc>
          <w:tcPr>
            <w:vAlign w:val="top"/>
          </w:tcPr>
          <w:p>
            <w:pPr>
              <w:pBdr>
                <w:bottom w:val="none" w:space="8"/>
              </w:pBdr>
              <w:spacing w:before="0" w:after="0" w:line="275" w:lineRule="atLeast"/>
              <w:jc w:val="both"/>
            </w:pPr>
            <w:r>
              <w:rPr>
                <w:rFonts w:ascii="Times New Roman" w:hAnsi="Times New Roman"/>
                <w:color w:val="000000"/>
                <w:sz w:val="20"/>
              </w:rPr>
              <w:t>Tr. 75:17-76:12 (Stephens Cross); id. at 599:21-600:13 (Teske-Cross).</w:t>
            </w:r>
          </w:p>
        </w:tc>
      </w:tr>
      <w:tr>
        <w:tblPrEx/>
        <w:trPr/>
        <w:tc>
          <w:tcPr>
            <w:vAlign w:val="top"/>
          </w:tcPr>
          <w:p>
            <w:pPr>
              <w:spacing w:before="0" w:after="0" w:line="275" w:lineRule="atLeast"/>
            </w:pPr>
            <w:hyperlink w:anchor="co_tablefootnote_89_1">
              <w:r>
                <w:rPr>
                  <w:rFonts w:ascii="Times New Roman" w:hAnsi="Times New Roman"/>
                  <w:color w:val="000000"/>
                  <w:sz w:val="20"/>
                  <w:vertAlign w:val="superscript"/>
                </w:rPr>
                <w:t>89</w:t>
              </w:r>
            </w:hyperlink>
          </w:p>
        </w:tc>
        <w:tc>
          <w:tcPr>
            <w:vAlign w:val="top"/>
          </w:tcPr>
          <w:p>
            <w:pPr>
              <w:pBdr>
                <w:bottom w:val="none" w:space="8"/>
              </w:pBdr>
              <w:spacing w:before="0" w:after="0" w:line="275" w:lineRule="atLeast"/>
              <w:jc w:val="both"/>
            </w:pPr>
            <w:r>
              <w:rPr>
                <w:rFonts w:ascii="Times New Roman" w:hAnsi="Times New Roman"/>
                <w:color w:val="000000"/>
                <w:sz w:val="20"/>
              </w:rPr>
              <w:t>JX-3514 at 1.</w:t>
            </w:r>
          </w:p>
        </w:tc>
      </w:tr>
      <w:tr>
        <w:tblPrEx/>
        <w:trPr/>
        <w:tc>
          <w:tcPr>
            <w:vAlign w:val="top"/>
          </w:tcPr>
          <w:p>
            <w:pPr>
              <w:spacing w:before="0" w:after="0" w:line="275" w:lineRule="atLeast"/>
            </w:pPr>
            <w:hyperlink w:anchor="co_tablefootnote_90_1">
              <w:r>
                <w:rPr>
                  <w:rFonts w:ascii="Times New Roman" w:hAnsi="Times New Roman"/>
                  <w:color w:val="000000"/>
                  <w:sz w:val="20"/>
                  <w:vertAlign w:val="superscript"/>
                </w:rPr>
                <w:t>90</w:t>
              </w:r>
            </w:hyperlink>
          </w:p>
        </w:tc>
        <w:tc>
          <w:tcPr>
            <w:vAlign w:val="top"/>
          </w:tcPr>
          <w:p>
            <w:pPr>
              <w:pBdr>
                <w:bottom w:val="none" w:space="8"/>
              </w:pBdr>
              <w:spacing w:before="0" w:after="0" w:line="275" w:lineRule="atLeast"/>
              <w:jc w:val="both"/>
            </w:pPr>
            <w:r>
              <w:rPr>
                <w:rFonts w:ascii="Times New Roman" w:hAnsi="Times New Roman"/>
                <w:color w:val="000000"/>
                <w:sz w:val="20"/>
              </w:rPr>
              <w:t>JX-2522 at 7; JX-3516.</w:t>
            </w:r>
          </w:p>
        </w:tc>
      </w:tr>
      <w:tr>
        <w:tblPrEx/>
        <w:trPr/>
        <w:tc>
          <w:tcPr>
            <w:vAlign w:val="top"/>
          </w:tcPr>
          <w:p>
            <w:pPr>
              <w:spacing w:before="0" w:after="0" w:line="275" w:lineRule="atLeast"/>
            </w:pPr>
            <w:hyperlink w:anchor="co_tablefootnote_91_1">
              <w:r>
                <w:rPr>
                  <w:rFonts w:ascii="Times New Roman" w:hAnsi="Times New Roman"/>
                  <w:color w:val="000000"/>
                  <w:sz w:val="20"/>
                  <w:vertAlign w:val="superscript"/>
                </w:rPr>
                <w:t>91</w:t>
              </w:r>
            </w:hyperlink>
          </w:p>
        </w:tc>
        <w:tc>
          <w:tcPr>
            <w:vAlign w:val="top"/>
          </w:tcPr>
          <w:p>
            <w:pPr>
              <w:pBdr>
                <w:bottom w:val="none" w:space="8"/>
              </w:pBdr>
              <w:spacing w:before="0" w:after="0" w:line="275" w:lineRule="atLeast"/>
              <w:jc w:val="both"/>
            </w:pPr>
            <w:r>
              <w:rPr>
                <w:rFonts w:ascii="Times New Roman" w:hAnsi="Times New Roman"/>
                <w:color w:val="000000"/>
                <w:sz w:val="20"/>
              </w:rPr>
              <w:t>Tr. 491:14-18 (Wages Cross) (“The document that you're showing here was an older document. And so I'm not aware that, you know, any of my attorneys you know, like external attorneys would have been a party to that document at all back in the time frame.”).</w:t>
            </w:r>
          </w:p>
        </w:tc>
      </w:tr>
      <w:tr>
        <w:tblPrEx/>
        <w:trPr/>
        <w:tc>
          <w:tcPr>
            <w:vAlign w:val="top"/>
          </w:tcPr>
          <w:p>
            <w:pPr>
              <w:spacing w:before="0" w:after="0" w:line="275" w:lineRule="atLeast"/>
            </w:pPr>
            <w:hyperlink w:anchor="co_tablefootnote_92_1">
              <w:r>
                <w:rPr>
                  <w:rFonts w:ascii="Times New Roman" w:hAnsi="Times New Roman"/>
                  <w:color w:val="000000"/>
                  <w:sz w:val="20"/>
                  <w:vertAlign w:val="superscript"/>
                </w:rPr>
                <w:t>92</w:t>
              </w:r>
            </w:hyperlink>
          </w:p>
        </w:tc>
        <w:tc>
          <w:tcPr>
            <w:vAlign w:val="top"/>
          </w:tcPr>
          <w:p>
            <w:pPr>
              <w:pBdr>
                <w:bottom w:val="none" w:space="8"/>
              </w:pBdr>
              <w:spacing w:before="0" w:after="0" w:line="275" w:lineRule="atLeast"/>
              <w:jc w:val="both"/>
            </w:pPr>
            <w:r>
              <w:rPr>
                <w:rFonts w:ascii="Times New Roman" w:hAnsi="Times New Roman"/>
                <w:color w:val="000000"/>
                <w:sz w:val="20"/>
              </w:rPr>
              <w:t>Tr. 91:5-11 (Stephens-Cross).</w:t>
            </w:r>
          </w:p>
        </w:tc>
      </w:tr>
      <w:tr>
        <w:tblPrEx/>
        <w:trPr/>
        <w:tc>
          <w:tcPr>
            <w:vAlign w:val="top"/>
          </w:tcPr>
          <w:p>
            <w:pPr>
              <w:spacing w:before="0" w:after="0" w:line="275" w:lineRule="atLeast"/>
            </w:pPr>
            <w:hyperlink w:anchor="co_tablefootnote_93_1">
              <w:r>
                <w:rPr>
                  <w:rFonts w:ascii="Times New Roman" w:hAnsi="Times New Roman"/>
                  <w:color w:val="000000"/>
                  <w:sz w:val="20"/>
                  <w:vertAlign w:val="superscript"/>
                </w:rPr>
                <w:t>93</w:t>
              </w:r>
            </w:hyperlink>
          </w:p>
        </w:tc>
        <w:tc>
          <w:tcPr>
            <w:vAlign w:val="top"/>
          </w:tcPr>
          <w:p>
            <w:pPr>
              <w:pBdr>
                <w:bottom w:val="none" w:space="8"/>
              </w:pBdr>
              <w:spacing w:before="0" w:after="0" w:line="275" w:lineRule="atLeast"/>
              <w:jc w:val="both"/>
            </w:pPr>
            <w:r>
              <w:rPr>
                <w:rFonts w:ascii="Times New Roman" w:hAnsi="Times New Roman"/>
                <w:color w:val="000000"/>
                <w:sz w:val="20"/>
              </w:rPr>
              <w:t>JX-3516.</w:t>
            </w:r>
          </w:p>
        </w:tc>
      </w:tr>
      <w:tr>
        <w:tblPrEx/>
        <w:trPr/>
        <w:tc>
          <w:tcPr>
            <w:vAlign w:val="top"/>
          </w:tcPr>
          <w:p>
            <w:pPr>
              <w:spacing w:before="0" w:after="0" w:line="275" w:lineRule="atLeast"/>
            </w:pPr>
            <w:hyperlink w:anchor="co_tablefootnote_94_1">
              <w:r>
                <w:rPr>
                  <w:rFonts w:ascii="Times New Roman" w:hAnsi="Times New Roman"/>
                  <w:color w:val="000000"/>
                  <w:sz w:val="20"/>
                  <w:vertAlign w:val="superscript"/>
                </w:rPr>
                <w:t>94</w:t>
              </w:r>
            </w:hyperlink>
          </w:p>
        </w:tc>
        <w:tc>
          <w:tcPr>
            <w:vAlign w:val="top"/>
          </w:tcPr>
          <w:p>
            <w:pPr>
              <w:pBdr>
                <w:bottom w:val="none" w:space="8"/>
              </w:pBdr>
              <w:spacing w:before="0" w:after="0" w:line="275" w:lineRule="atLeast"/>
              <w:jc w:val="both"/>
            </w:pPr>
            <w:r>
              <w:rPr>
                <w:rFonts w:ascii="Times New Roman" w:hAnsi="Times New Roman"/>
                <w:i/>
                <w:color w:val="000000"/>
                <w:sz w:val="20"/>
              </w:rPr>
              <w:t>Id.</w:t>
            </w:r>
          </w:p>
        </w:tc>
      </w:tr>
      <w:tr>
        <w:tblPrEx/>
        <w:trPr/>
        <w:tc>
          <w:tcPr>
            <w:vAlign w:val="top"/>
          </w:tcPr>
          <w:p>
            <w:pPr>
              <w:spacing w:before="0" w:after="0" w:line="275" w:lineRule="atLeast"/>
            </w:pPr>
            <w:hyperlink w:anchor="co_tablefootnote_95_1">
              <w:r>
                <w:rPr>
                  <w:rFonts w:ascii="Times New Roman" w:hAnsi="Times New Roman"/>
                  <w:color w:val="000000"/>
                  <w:sz w:val="20"/>
                  <w:vertAlign w:val="superscript"/>
                </w:rPr>
                <w:t>95</w:t>
              </w:r>
            </w:hyperlink>
          </w:p>
        </w:tc>
        <w:tc>
          <w:tcPr>
            <w:vAlign w:val="top"/>
          </w:tcPr>
          <w:p>
            <w:pPr>
              <w:pBdr>
                <w:bottom w:val="none" w:space="8"/>
              </w:pBdr>
              <w:spacing w:before="0" w:after="0" w:line="275" w:lineRule="atLeast"/>
              <w:jc w:val="both"/>
            </w:pPr>
            <w:r>
              <w:rPr>
                <w:rFonts w:ascii="Times New Roman" w:hAnsi="Times New Roman"/>
                <w:i/>
                <w:color w:val="000000"/>
                <w:sz w:val="20"/>
              </w:rPr>
              <w:t>Id.</w:t>
            </w:r>
          </w:p>
        </w:tc>
      </w:tr>
      <w:tr>
        <w:tblPrEx/>
        <w:trPr/>
        <w:tc>
          <w:tcPr>
            <w:vAlign w:val="top"/>
          </w:tcPr>
          <w:p>
            <w:pPr>
              <w:spacing w:before="0" w:after="0" w:line="275" w:lineRule="atLeast"/>
            </w:pPr>
            <w:hyperlink w:anchor="co_tablefootnote_96_1">
              <w:r>
                <w:rPr>
                  <w:rFonts w:ascii="Times New Roman" w:hAnsi="Times New Roman"/>
                  <w:color w:val="000000"/>
                  <w:sz w:val="20"/>
                  <w:vertAlign w:val="superscript"/>
                </w:rPr>
                <w:t>96</w:t>
              </w:r>
            </w:hyperlink>
          </w:p>
        </w:tc>
        <w:tc>
          <w:tcPr>
            <w:vAlign w:val="top"/>
          </w:tcPr>
          <w:p>
            <w:pPr>
              <w:pBdr>
                <w:bottom w:val="none" w:space="8"/>
              </w:pBdr>
              <w:spacing w:before="0" w:after="0" w:line="275" w:lineRule="atLeast"/>
              <w:jc w:val="both"/>
            </w:pPr>
            <w:r>
              <w:rPr>
                <w:rFonts w:ascii="Times New Roman" w:hAnsi="Times New Roman"/>
                <w:i/>
                <w:color w:val="000000"/>
                <w:sz w:val="20"/>
              </w:rPr>
              <w:t xml:space="preserve">Del. </w:t>
            </w:r>
            <w:hyperlink r:id="r76">
              <w:r>
                <w:rPr>
                  <w:rFonts w:ascii="Times New Roman" w:hAnsi="Times New Roman"/>
                  <w:i/>
                  <w:color w:val="000000"/>
                  <w:sz w:val="20"/>
                </w:rPr>
                <w:t>Open MRI Radiology Assocs., P.A. v. Kessler,</w:t>
              </w:r>
              <w:r>
                <w:rPr>
                  <w:rFonts w:ascii="Times New Roman" w:hAnsi="Times New Roman"/>
                  <w:color w:val="000000"/>
                  <w:sz w:val="20"/>
                </w:rPr>
                <w:t xml:space="preserve"> 898 A.2d 290 (Del. Ch. 2006)</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97_1">
              <w:r>
                <w:rPr>
                  <w:rFonts w:ascii="Times New Roman" w:hAnsi="Times New Roman"/>
                  <w:color w:val="000000"/>
                  <w:sz w:val="20"/>
                  <w:vertAlign w:val="superscript"/>
                </w:rPr>
                <w:t>97</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29.</w:t>
            </w:r>
          </w:p>
        </w:tc>
      </w:tr>
      <w:tr>
        <w:tblPrEx/>
        <w:trPr/>
        <w:tc>
          <w:tcPr>
            <w:vAlign w:val="top"/>
          </w:tcPr>
          <w:p>
            <w:pPr>
              <w:spacing w:before="0" w:after="0" w:line="275" w:lineRule="atLeast"/>
            </w:pPr>
            <w:hyperlink w:anchor="co_tablefootnote_98_1">
              <w:r>
                <w:rPr>
                  <w:rFonts w:ascii="Times New Roman" w:hAnsi="Times New Roman"/>
                  <w:color w:val="000000"/>
                  <w:sz w:val="20"/>
                  <w:vertAlign w:val="superscript"/>
                </w:rPr>
                <w:t>98</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JX-892; </w:t>
            </w:r>
            <w:r>
              <w:rPr>
                <w:rFonts w:ascii="Times New Roman" w:hAnsi="Times New Roman"/>
                <w:i/>
                <w:color w:val="000000"/>
                <w:sz w:val="20"/>
              </w:rPr>
              <w:t>see also</w:t>
            </w:r>
            <w:r>
              <w:rPr>
                <w:rFonts w:ascii="Times New Roman" w:hAnsi="Times New Roman"/>
                <w:color w:val="000000"/>
                <w:sz w:val="20"/>
              </w:rPr>
              <w:t xml:space="preserve"> Prickett Pls. Pretrial Br. at 20-21.</w:t>
            </w:r>
          </w:p>
        </w:tc>
      </w:tr>
      <w:tr>
        <w:tblPrEx/>
        <w:trPr/>
        <w:tc>
          <w:tcPr>
            <w:vAlign w:val="top"/>
          </w:tcPr>
          <w:p>
            <w:pPr>
              <w:spacing w:before="0" w:after="0" w:line="275" w:lineRule="atLeast"/>
            </w:pPr>
            <w:hyperlink w:anchor="co_tablefootnote_99_1">
              <w:r>
                <w:rPr>
                  <w:rFonts w:ascii="Times New Roman" w:hAnsi="Times New Roman"/>
                  <w:color w:val="000000"/>
                  <w:sz w:val="20"/>
                  <w:vertAlign w:val="superscript"/>
                </w:rPr>
                <w:t>99</w:t>
              </w:r>
            </w:hyperlink>
          </w:p>
        </w:tc>
        <w:tc>
          <w:tcPr>
            <w:vAlign w:val="top"/>
          </w:tcPr>
          <w:p>
            <w:pPr>
              <w:pBdr>
                <w:bottom w:val="none" w:space="8"/>
              </w:pBdr>
              <w:spacing w:before="0" w:after="0" w:line="275" w:lineRule="atLeast"/>
              <w:jc w:val="both"/>
            </w:pPr>
            <w:hyperlink r:id="r77">
              <w:r>
                <w:rPr>
                  <w:rFonts w:ascii="Times New Roman" w:hAnsi="Times New Roman"/>
                  <w:i/>
                  <w:color w:val="000000"/>
                  <w:sz w:val="20"/>
                </w:rPr>
                <w:t>Del. Open MRI,</w:t>
              </w:r>
              <w:r>
                <w:rPr>
                  <w:rFonts w:ascii="Times New Roman" w:hAnsi="Times New Roman"/>
                  <w:color w:val="000000"/>
                  <w:sz w:val="20"/>
                </w:rPr>
                <w:t xml:space="preserve"> 898 A.2d at 311-12</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00_1">
              <w:r>
                <w:rPr>
                  <w:rFonts w:ascii="Times New Roman" w:hAnsi="Times New Roman"/>
                  <w:color w:val="000000"/>
                  <w:sz w:val="20"/>
                  <w:vertAlign w:val="superscript"/>
                </w:rPr>
                <w:t>100</w:t>
              </w:r>
            </w:hyperlink>
          </w:p>
        </w:tc>
        <w:tc>
          <w:tcPr>
            <w:vAlign w:val="top"/>
          </w:tcPr>
          <w:p>
            <w:pPr>
              <w:pBdr>
                <w:bottom w:val="none" w:space="8"/>
              </w:pBdr>
              <w:spacing w:before="0" w:after="0" w:line="275" w:lineRule="atLeast"/>
              <w:jc w:val="both"/>
            </w:pPr>
            <w:r>
              <w:rPr>
                <w:rFonts w:ascii="Times New Roman" w:hAnsi="Times New Roman"/>
                <w:i/>
                <w:color w:val="000000"/>
                <w:sz w:val="20"/>
              </w:rPr>
              <w:t>Id.</w:t>
            </w:r>
            <w:r>
              <w:rPr>
                <w:rFonts w:ascii="Times New Roman" w:hAnsi="Times New Roman"/>
                <w:color w:val="000000"/>
                <w:sz w:val="20"/>
              </w:rPr>
              <w:t xml:space="preserve"> at 312.</w:t>
            </w:r>
          </w:p>
        </w:tc>
      </w:tr>
      <w:tr>
        <w:tblPrEx/>
        <w:trPr/>
        <w:tc>
          <w:tcPr>
            <w:vAlign w:val="top"/>
          </w:tcPr>
          <w:p>
            <w:pPr>
              <w:spacing w:before="0" w:after="0" w:line="275" w:lineRule="atLeast"/>
            </w:pPr>
            <w:hyperlink w:anchor="co_tablefootnote_101_1">
              <w:r>
                <w:rPr>
                  <w:rFonts w:ascii="Times New Roman" w:hAnsi="Times New Roman"/>
                  <w:color w:val="000000"/>
                  <w:sz w:val="20"/>
                  <w:vertAlign w:val="superscript"/>
                </w:rPr>
                <w:t>101</w:t>
              </w:r>
            </w:hyperlink>
          </w:p>
        </w:tc>
        <w:tc>
          <w:tcPr>
            <w:vAlign w:val="top"/>
          </w:tcPr>
          <w:p>
            <w:pPr>
              <w:pBdr>
                <w:bottom w:val="none" w:space="8"/>
              </w:pBdr>
              <w:spacing w:before="0" w:after="0" w:line="275" w:lineRule="atLeast"/>
              <w:jc w:val="both"/>
            </w:pPr>
            <w:hyperlink r:id="r78">
              <w:r>
                <w:rPr>
                  <w:rFonts w:ascii="Times New Roman" w:hAnsi="Times New Roman"/>
                  <w:i/>
                  <w:color w:val="000000"/>
                  <w:sz w:val="20"/>
                </w:rPr>
                <w:t>In re Dell Techs.,</w:t>
              </w:r>
              <w:r>
                <w:rPr>
                  <w:rFonts w:ascii="Times New Roman" w:hAnsi="Times New Roman"/>
                  <w:color w:val="000000"/>
                  <w:sz w:val="20"/>
                </w:rPr>
                <w:t xml:space="preserve"> 2020 WL 3096748, at *17-19</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02_1">
              <w:r>
                <w:rPr>
                  <w:rFonts w:ascii="Times New Roman" w:hAnsi="Times New Roman"/>
                  <w:color w:val="000000"/>
                  <w:sz w:val="20"/>
                  <w:vertAlign w:val="superscript"/>
                </w:rPr>
                <w:t>102</w:t>
              </w:r>
            </w:hyperlink>
          </w:p>
        </w:tc>
        <w:tc>
          <w:tcPr>
            <w:vAlign w:val="top"/>
          </w:tcPr>
          <w:p>
            <w:pPr>
              <w:pBdr>
                <w:bottom w:val="none" w:space="8"/>
              </w:pBdr>
              <w:spacing w:before="0" w:after="0" w:line="275" w:lineRule="atLeast"/>
              <w:jc w:val="both"/>
            </w:pPr>
            <w:r>
              <w:rPr>
                <w:rFonts w:ascii="Times New Roman" w:hAnsi="Times New Roman"/>
                <w:color w:val="000000"/>
                <w:sz w:val="20"/>
              </w:rPr>
              <w:t>Tr. 491:10 (Wages-Cross).</w:t>
            </w:r>
          </w:p>
        </w:tc>
      </w:tr>
      <w:tr>
        <w:tblPrEx/>
        <w:trPr/>
        <w:tc>
          <w:tcPr>
            <w:vAlign w:val="top"/>
          </w:tcPr>
          <w:p>
            <w:pPr>
              <w:spacing w:before="0" w:after="0" w:line="275" w:lineRule="atLeast"/>
            </w:pPr>
            <w:hyperlink w:anchor="co_tablefootnote_103_1">
              <w:r>
                <w:rPr>
                  <w:rFonts w:ascii="Times New Roman" w:hAnsi="Times New Roman"/>
                  <w:color w:val="000000"/>
                  <w:sz w:val="20"/>
                  <w:vertAlign w:val="superscript"/>
                </w:rPr>
                <w:t>103</w:t>
              </w:r>
            </w:hyperlink>
          </w:p>
        </w:tc>
        <w:tc>
          <w:tcPr>
            <w:vAlign w:val="top"/>
          </w:tcPr>
          <w:p>
            <w:pPr>
              <w:pBdr>
                <w:bottom w:val="none" w:space="8"/>
              </w:pBdr>
              <w:spacing w:before="0" w:after="0" w:line="275" w:lineRule="atLeast"/>
              <w:jc w:val="both"/>
            </w:pPr>
            <w:r>
              <w:rPr>
                <w:rFonts w:ascii="Times New Roman" w:hAnsi="Times New Roman"/>
                <w:i/>
                <w:color w:val="000000"/>
                <w:sz w:val="20"/>
              </w:rPr>
              <w:t>Id.</w:t>
            </w:r>
            <w:r>
              <w:rPr>
                <w:rFonts w:ascii="Times New Roman" w:hAnsi="Times New Roman"/>
                <w:color w:val="000000"/>
                <w:sz w:val="20"/>
              </w:rPr>
              <w:t xml:space="preserve"> at 406:4-22.</w:t>
            </w:r>
          </w:p>
        </w:tc>
      </w:tr>
      <w:tr>
        <w:tblPrEx/>
        <w:trPr/>
        <w:tc>
          <w:tcPr>
            <w:vAlign w:val="top"/>
          </w:tcPr>
          <w:p>
            <w:pPr>
              <w:spacing w:before="0" w:after="0" w:line="275" w:lineRule="atLeast"/>
            </w:pPr>
            <w:hyperlink w:anchor="co_tablefootnote_104_1">
              <w:r>
                <w:rPr>
                  <w:rFonts w:ascii="Times New Roman" w:hAnsi="Times New Roman"/>
                  <w:color w:val="000000"/>
                  <w:sz w:val="20"/>
                  <w:vertAlign w:val="superscript"/>
                </w:rPr>
                <w:t>104</w:t>
              </w:r>
            </w:hyperlink>
          </w:p>
        </w:tc>
        <w:tc>
          <w:tcPr>
            <w:vAlign w:val="top"/>
          </w:tcPr>
          <w:p>
            <w:pPr>
              <w:pBdr>
                <w:bottom w:val="none" w:space="8"/>
              </w:pBdr>
              <w:spacing w:before="0" w:after="0" w:line="275" w:lineRule="atLeast"/>
              <w:jc w:val="both"/>
            </w:pPr>
            <w:r>
              <w:rPr>
                <w:rFonts w:ascii="Times New Roman" w:hAnsi="Times New Roman"/>
                <w:color w:val="000000"/>
                <w:sz w:val="20"/>
              </w:rPr>
              <w:t>Pls. OPTB at 26-34.</w:t>
            </w:r>
          </w:p>
        </w:tc>
      </w:tr>
      <w:tr>
        <w:tblPrEx/>
        <w:trPr/>
        <w:tc>
          <w:tcPr>
            <w:vAlign w:val="top"/>
          </w:tcPr>
          <w:p>
            <w:pPr>
              <w:spacing w:before="0" w:after="0" w:line="275" w:lineRule="atLeast"/>
            </w:pPr>
            <w:hyperlink w:anchor="co_tablefootnote_105_1">
              <w:r>
                <w:rPr>
                  <w:rFonts w:ascii="Times New Roman" w:hAnsi="Times New Roman"/>
                  <w:color w:val="000000"/>
                  <w:sz w:val="20"/>
                  <w:vertAlign w:val="superscript"/>
                </w:rPr>
                <w:t>105</w:t>
              </w:r>
            </w:hyperlink>
          </w:p>
        </w:tc>
        <w:tc>
          <w:tcPr>
            <w:vAlign w:val="top"/>
          </w:tcPr>
          <w:p>
            <w:pPr>
              <w:pBdr>
                <w:bottom w:val="none" w:space="8"/>
              </w:pBdr>
              <w:spacing w:before="0" w:after="0" w:line="275" w:lineRule="atLeast"/>
              <w:jc w:val="both"/>
            </w:pPr>
            <w:r>
              <w:rPr>
                <w:rFonts w:ascii="Times New Roman" w:hAnsi="Times New Roman"/>
                <w:color w:val="000000"/>
                <w:sz w:val="20"/>
              </w:rPr>
              <w:t>JX-546; JX-547; JX-2522; JX-616; JX-3514; Tr. 672:4-16 (Teske-Cross).</w:t>
            </w:r>
          </w:p>
        </w:tc>
      </w:tr>
      <w:tr>
        <w:tblPrEx/>
        <w:trPr/>
        <w:tc>
          <w:tcPr>
            <w:vAlign w:val="top"/>
          </w:tcPr>
          <w:p>
            <w:pPr>
              <w:spacing w:before="0" w:after="0" w:line="275" w:lineRule="atLeast"/>
            </w:pPr>
            <w:hyperlink w:anchor="co_tablefootnote_106_1">
              <w:r>
                <w:rPr>
                  <w:rFonts w:ascii="Times New Roman" w:hAnsi="Times New Roman"/>
                  <w:color w:val="000000"/>
                  <w:sz w:val="20"/>
                  <w:vertAlign w:val="superscript"/>
                </w:rPr>
                <w:t>106</w:t>
              </w:r>
            </w:hyperlink>
          </w:p>
        </w:tc>
        <w:tc>
          <w:tcPr>
            <w:vAlign w:val="top"/>
          </w:tcPr>
          <w:p>
            <w:pPr>
              <w:pBdr>
                <w:bottom w:val="none" w:space="8"/>
              </w:pBdr>
              <w:spacing w:before="0" w:after="0" w:line="275" w:lineRule="atLeast"/>
              <w:jc w:val="both"/>
            </w:pPr>
            <w:r>
              <w:rPr>
                <w:rFonts w:ascii="Times New Roman" w:hAnsi="Times New Roman"/>
                <w:color w:val="000000"/>
                <w:sz w:val="20"/>
              </w:rPr>
              <w:t>JX-888.</w:t>
            </w:r>
          </w:p>
        </w:tc>
      </w:tr>
      <w:tr>
        <w:tblPrEx/>
        <w:trPr/>
        <w:tc>
          <w:tcPr>
            <w:vAlign w:val="top"/>
          </w:tcPr>
          <w:p>
            <w:pPr>
              <w:spacing w:before="0" w:after="0" w:line="275" w:lineRule="atLeast"/>
            </w:pPr>
            <w:hyperlink w:anchor="co_tablefootnote_107_1">
              <w:r>
                <w:rPr>
                  <w:rFonts w:ascii="Times New Roman" w:hAnsi="Times New Roman"/>
                  <w:color w:val="000000"/>
                  <w:sz w:val="20"/>
                  <w:vertAlign w:val="superscript"/>
                </w:rPr>
                <w:t>107</w:t>
              </w:r>
            </w:hyperlink>
          </w:p>
        </w:tc>
        <w:tc>
          <w:tcPr>
            <w:vAlign w:val="top"/>
          </w:tcPr>
          <w:p>
            <w:pPr>
              <w:pBdr>
                <w:bottom w:val="none" w:space="8"/>
              </w:pBdr>
              <w:spacing w:before="0" w:after="0" w:line="275" w:lineRule="atLeast"/>
              <w:jc w:val="both"/>
            </w:pPr>
            <w:r>
              <w:rPr>
                <w:rFonts w:ascii="Times New Roman" w:hAnsi="Times New Roman"/>
                <w:i/>
                <w:color w:val="000000"/>
                <w:sz w:val="20"/>
              </w:rPr>
              <w:t xml:space="preserve">See </w:t>
            </w:r>
            <w:hyperlink r:id="r79">
              <w:r>
                <w:rPr>
                  <w:rFonts w:ascii="Times New Roman" w:hAnsi="Times New Roman"/>
                  <w:i/>
                  <w:color w:val="000000"/>
                  <w:sz w:val="20"/>
                </w:rPr>
                <w:t>B&amp;L Cellular v. USCOC of Greater Iowa, LLC,</w:t>
              </w:r>
              <w:r>
                <w:rPr>
                  <w:rFonts w:ascii="Times New Roman" w:hAnsi="Times New Roman"/>
                  <w:color w:val="000000"/>
                  <w:sz w:val="20"/>
                </w:rPr>
                <w:t xml:space="preserve"> 2014 WL 5342715 (Del. Ch. Oct. 20, 2014)</w:t>
              </w:r>
            </w:hyperlink>
            <w:r>
              <w:rPr>
                <w:rFonts w:ascii="Times New Roman" w:hAnsi="Times New Roman"/>
                <w:color w:val="000000"/>
                <w:sz w:val="20"/>
              </w:rPr>
              <w:t xml:space="preserve"> (ruling identical conduct breach of contract).</w:t>
            </w:r>
          </w:p>
        </w:tc>
      </w:tr>
      <w:tr>
        <w:tblPrEx/>
        <w:trPr/>
        <w:tc>
          <w:tcPr>
            <w:vAlign w:val="top"/>
          </w:tcPr>
          <w:p>
            <w:pPr>
              <w:spacing w:before="0" w:after="0" w:line="275" w:lineRule="atLeast"/>
            </w:pPr>
            <w:hyperlink w:anchor="co_tablefootnote_108_1">
              <w:r>
                <w:rPr>
                  <w:rFonts w:ascii="Times New Roman" w:hAnsi="Times New Roman"/>
                  <w:color w:val="000000"/>
                  <w:sz w:val="20"/>
                  <w:vertAlign w:val="superscript"/>
                </w:rPr>
                <w:t>108</w:t>
              </w:r>
            </w:hyperlink>
          </w:p>
        </w:tc>
        <w:tc>
          <w:tcPr>
            <w:vAlign w:val="top"/>
          </w:tcPr>
          <w:p>
            <w:pPr>
              <w:pBdr>
                <w:bottom w:val="none" w:space="8"/>
              </w:pBdr>
              <w:spacing w:before="0" w:after="0" w:line="275" w:lineRule="atLeast"/>
              <w:jc w:val="both"/>
            </w:pPr>
            <w:r>
              <w:rPr>
                <w:rFonts w:ascii="Times New Roman" w:hAnsi="Times New Roman"/>
                <w:i/>
                <w:color w:val="000000"/>
                <w:sz w:val="20"/>
              </w:rPr>
              <w:t>See, e.g.,</w:t>
            </w:r>
            <w:r>
              <w:rPr>
                <w:rFonts w:ascii="Times New Roman" w:hAnsi="Times New Roman"/>
                <w:color w:val="000000"/>
                <w:sz w:val="20"/>
              </w:rPr>
              <w:t xml:space="preserve"> JX-1078.</w:t>
            </w:r>
          </w:p>
        </w:tc>
      </w:tr>
      <w:tr>
        <w:tblPrEx/>
        <w:trPr/>
        <w:tc>
          <w:tcPr>
            <w:vAlign w:val="top"/>
          </w:tcPr>
          <w:p>
            <w:pPr>
              <w:spacing w:before="0" w:after="0" w:line="275" w:lineRule="atLeast"/>
            </w:pPr>
            <w:hyperlink w:anchor="co_tablefootnote_109_1">
              <w:r>
                <w:rPr>
                  <w:rFonts w:ascii="Times New Roman" w:hAnsi="Times New Roman"/>
                  <w:color w:val="000000"/>
                  <w:sz w:val="20"/>
                  <w:vertAlign w:val="superscript"/>
                </w:rPr>
                <w:t>109</w:t>
              </w:r>
            </w:hyperlink>
          </w:p>
        </w:tc>
        <w:tc>
          <w:tcPr>
            <w:vAlign w:val="top"/>
          </w:tcPr>
          <w:p>
            <w:pPr>
              <w:pBdr>
                <w:bottom w:val="none" w:space="8"/>
              </w:pBdr>
              <w:spacing w:before="0" w:after="0" w:line="275" w:lineRule="atLeast"/>
              <w:jc w:val="both"/>
            </w:pPr>
            <w:r>
              <w:rPr>
                <w:rFonts w:ascii="Times New Roman" w:hAnsi="Times New Roman"/>
                <w:color w:val="000000"/>
                <w:sz w:val="20"/>
              </w:rPr>
              <w:t>JX-1123.</w:t>
            </w:r>
          </w:p>
        </w:tc>
      </w:tr>
      <w:tr>
        <w:tblPrEx/>
        <w:trPr/>
        <w:tc>
          <w:tcPr>
            <w:vAlign w:val="top"/>
          </w:tcPr>
          <w:p>
            <w:pPr>
              <w:spacing w:before="0" w:after="0" w:line="275" w:lineRule="atLeast"/>
            </w:pPr>
            <w:hyperlink w:anchor="co_tablefootnote_110_1">
              <w:r>
                <w:rPr>
                  <w:rFonts w:ascii="Times New Roman" w:hAnsi="Times New Roman"/>
                  <w:color w:val="000000"/>
                  <w:sz w:val="20"/>
                  <w:vertAlign w:val="superscript"/>
                </w:rPr>
                <w:t>110</w:t>
              </w:r>
            </w:hyperlink>
          </w:p>
        </w:tc>
        <w:tc>
          <w:tcPr>
            <w:vAlign w:val="top"/>
          </w:tcPr>
          <w:p>
            <w:pPr>
              <w:pBdr>
                <w:bottom w:val="none" w:space="8"/>
              </w:pBdr>
              <w:spacing w:before="0" w:after="0" w:line="275" w:lineRule="atLeast"/>
              <w:jc w:val="both"/>
            </w:pPr>
            <w:r>
              <w:rPr>
                <w:rFonts w:ascii="Times New Roman" w:hAnsi="Times New Roman"/>
                <w:color w:val="000000"/>
                <w:sz w:val="20"/>
              </w:rPr>
              <w:t>JX-611; JX-559.</w:t>
            </w:r>
          </w:p>
        </w:tc>
      </w:tr>
      <w:tr>
        <w:tblPrEx/>
        <w:trPr/>
        <w:tc>
          <w:tcPr>
            <w:vAlign w:val="top"/>
          </w:tcPr>
          <w:p>
            <w:pPr>
              <w:spacing w:before="0" w:after="0" w:line="275" w:lineRule="atLeast"/>
            </w:pPr>
            <w:hyperlink w:anchor="co_tablefootnote_111_1">
              <w:r>
                <w:rPr>
                  <w:rFonts w:ascii="Times New Roman" w:hAnsi="Times New Roman"/>
                  <w:color w:val="000000"/>
                  <w:sz w:val="20"/>
                  <w:vertAlign w:val="superscript"/>
                </w:rPr>
                <w:t>111</w:t>
              </w:r>
            </w:hyperlink>
          </w:p>
        </w:tc>
        <w:tc>
          <w:tcPr>
            <w:vAlign w:val="top"/>
          </w:tcPr>
          <w:p>
            <w:pPr>
              <w:pBdr>
                <w:bottom w:val="none" w:space="8"/>
              </w:pBdr>
              <w:spacing w:before="0" w:after="0" w:line="275" w:lineRule="atLeast"/>
              <w:jc w:val="both"/>
            </w:pPr>
            <w:r>
              <w:rPr>
                <w:rFonts w:ascii="Times New Roman" w:hAnsi="Times New Roman"/>
                <w:i/>
                <w:color w:val="000000"/>
                <w:sz w:val="20"/>
              </w:rPr>
              <w:t>Compare</w:t>
            </w:r>
            <w:r>
              <w:rPr>
                <w:rFonts w:ascii="Times New Roman" w:hAnsi="Times New Roman"/>
                <w:color w:val="000000"/>
                <w:sz w:val="20"/>
              </w:rPr>
              <w:t xml:space="preserve"> JX-1703 </w:t>
            </w:r>
            <w:r>
              <w:rPr>
                <w:rFonts w:ascii="Times New Roman" w:hAnsi="Times New Roman"/>
                <w:i/>
                <w:color w:val="000000"/>
                <w:sz w:val="20"/>
              </w:rPr>
              <w:t>with</w:t>
            </w:r>
            <w:r>
              <w:rPr>
                <w:rFonts w:ascii="Times New Roman" w:hAnsi="Times New Roman"/>
                <w:color w:val="000000"/>
                <w:sz w:val="20"/>
              </w:rPr>
              <w:t xml:space="preserve"> JX-3511.</w:t>
            </w:r>
          </w:p>
        </w:tc>
      </w:tr>
      <w:tr>
        <w:tblPrEx/>
        <w:trPr/>
        <w:tc>
          <w:tcPr>
            <w:vAlign w:val="top"/>
          </w:tcPr>
          <w:p>
            <w:pPr>
              <w:spacing w:before="0" w:after="0" w:line="275" w:lineRule="atLeast"/>
            </w:pPr>
            <w:hyperlink w:anchor="co_tablefootnote_112_1">
              <w:r>
                <w:rPr>
                  <w:rFonts w:ascii="Times New Roman" w:hAnsi="Times New Roman"/>
                  <w:color w:val="000000"/>
                  <w:sz w:val="20"/>
                  <w:vertAlign w:val="superscript"/>
                </w:rPr>
                <w:t>112</w:t>
              </w:r>
            </w:hyperlink>
          </w:p>
        </w:tc>
        <w:tc>
          <w:tcPr>
            <w:vAlign w:val="top"/>
          </w:tcPr>
          <w:p>
            <w:pPr>
              <w:pBdr>
                <w:bottom w:val="none" w:space="8"/>
              </w:pBdr>
              <w:spacing w:before="0" w:after="0" w:line="275" w:lineRule="atLeast"/>
              <w:jc w:val="both"/>
            </w:pPr>
            <w:r>
              <w:rPr>
                <w:rFonts w:ascii="Times New Roman" w:hAnsi="Times New Roman"/>
                <w:color w:val="000000"/>
                <w:sz w:val="20"/>
              </w:rPr>
              <w:t>Tr. 257:15-258:23 (Wages-Cross).</w:t>
            </w:r>
          </w:p>
        </w:tc>
      </w:tr>
      <w:tr>
        <w:tblPrEx/>
        <w:trPr/>
        <w:tc>
          <w:tcPr>
            <w:vAlign w:val="top"/>
          </w:tcPr>
          <w:p>
            <w:pPr>
              <w:spacing w:before="0" w:after="0" w:line="275" w:lineRule="atLeast"/>
            </w:pPr>
            <w:hyperlink w:anchor="co_tablefootnote_113_1">
              <w:r>
                <w:rPr>
                  <w:rFonts w:ascii="Times New Roman" w:hAnsi="Times New Roman"/>
                  <w:color w:val="000000"/>
                  <w:sz w:val="20"/>
                  <w:vertAlign w:val="superscript"/>
                </w:rPr>
                <w:t>113</w:t>
              </w:r>
            </w:hyperlink>
          </w:p>
        </w:tc>
        <w:tc>
          <w:tcPr>
            <w:vAlign w:val="top"/>
          </w:tcPr>
          <w:p>
            <w:pPr>
              <w:pBdr>
                <w:bottom w:val="none" w:space="8"/>
              </w:pBdr>
              <w:spacing w:before="0" w:after="0" w:line="275" w:lineRule="atLeast"/>
              <w:jc w:val="both"/>
            </w:pPr>
            <w:r>
              <w:rPr>
                <w:rFonts w:ascii="Times New Roman" w:hAnsi="Times New Roman"/>
                <w:color w:val="000000"/>
                <w:sz w:val="20"/>
              </w:rPr>
              <w:t>Tr. 260:1-263:12 (Wages-Cross).</w:t>
            </w:r>
          </w:p>
        </w:tc>
      </w:tr>
      <w:tr>
        <w:tblPrEx/>
        <w:trPr/>
        <w:tc>
          <w:tcPr>
            <w:vAlign w:val="top"/>
          </w:tcPr>
          <w:p>
            <w:pPr>
              <w:spacing w:before="0" w:after="0" w:line="275" w:lineRule="atLeast"/>
            </w:pPr>
            <w:hyperlink w:anchor="co_tablefootnote_114_1">
              <w:r>
                <w:rPr>
                  <w:rFonts w:ascii="Times New Roman" w:hAnsi="Times New Roman"/>
                  <w:color w:val="000000"/>
                  <w:sz w:val="20"/>
                  <w:vertAlign w:val="superscript"/>
                </w:rPr>
                <w:t>114</w:t>
              </w:r>
            </w:hyperlink>
          </w:p>
        </w:tc>
        <w:tc>
          <w:tcPr>
            <w:vAlign w:val="top"/>
          </w:tcPr>
          <w:p>
            <w:pPr>
              <w:pBdr>
                <w:bottom w:val="none" w:space="8"/>
              </w:pBdr>
              <w:spacing w:before="0" w:after="0" w:line="275" w:lineRule="atLeast"/>
              <w:jc w:val="both"/>
            </w:pPr>
            <w:hyperlink r:id="r80">
              <w:r>
                <w:rPr>
                  <w:rFonts w:ascii="Times New Roman" w:hAnsi="Times New Roman"/>
                  <w:i/>
                  <w:color w:val="000000"/>
                  <w:sz w:val="20"/>
                </w:rPr>
                <w:t>Delaware Open MRI,</w:t>
              </w:r>
              <w:r>
                <w:rPr>
                  <w:rFonts w:ascii="Times New Roman" w:hAnsi="Times New Roman"/>
                  <w:color w:val="000000"/>
                  <w:sz w:val="20"/>
                </w:rPr>
                <w:t xml:space="preserve"> 898 A.2d at 312</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15_1">
              <w:r>
                <w:rPr>
                  <w:rFonts w:ascii="Times New Roman" w:hAnsi="Times New Roman"/>
                  <w:color w:val="000000"/>
                  <w:sz w:val="20"/>
                  <w:vertAlign w:val="superscript"/>
                </w:rPr>
                <w:t>115</w:t>
              </w:r>
            </w:hyperlink>
          </w:p>
        </w:tc>
        <w:tc>
          <w:tcPr>
            <w:vAlign w:val="top"/>
          </w:tcPr>
          <w:p>
            <w:pPr>
              <w:pBdr>
                <w:bottom w:val="none" w:space="8"/>
              </w:pBdr>
              <w:spacing w:before="0" w:after="0" w:line="275" w:lineRule="atLeast"/>
              <w:jc w:val="both"/>
            </w:pPr>
            <w:hyperlink r:id="r81">
              <w:r>
                <w:rPr>
                  <w:rFonts w:ascii="Times New Roman" w:hAnsi="Times New Roman"/>
                  <w:color w:val="000000"/>
                  <w:sz w:val="20"/>
                </w:rPr>
                <w:t>2017 WL 3421142 (Del. Ch. July 17, 2017)</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16_1">
              <w:r>
                <w:rPr>
                  <w:rFonts w:ascii="Times New Roman" w:hAnsi="Times New Roman"/>
                  <w:color w:val="000000"/>
                  <w:sz w:val="20"/>
                  <w:vertAlign w:val="superscript"/>
                </w:rPr>
                <w:t>116</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31-32.</w:t>
            </w:r>
          </w:p>
        </w:tc>
      </w:tr>
      <w:tr>
        <w:tblPrEx/>
        <w:trPr/>
        <w:tc>
          <w:tcPr>
            <w:vAlign w:val="top"/>
          </w:tcPr>
          <w:p>
            <w:pPr>
              <w:spacing w:before="0" w:after="0" w:line="275" w:lineRule="atLeast"/>
            </w:pPr>
            <w:hyperlink w:anchor="co_tablefootnote_117_1">
              <w:r>
                <w:rPr>
                  <w:rFonts w:ascii="Times New Roman" w:hAnsi="Times New Roman"/>
                  <w:color w:val="000000"/>
                  <w:sz w:val="20"/>
                  <w:vertAlign w:val="superscript"/>
                </w:rPr>
                <w:t>117</w:t>
              </w:r>
            </w:hyperlink>
          </w:p>
        </w:tc>
        <w:tc>
          <w:tcPr>
            <w:vAlign w:val="top"/>
          </w:tcPr>
          <w:p>
            <w:pPr>
              <w:pBdr>
                <w:bottom w:val="none" w:space="8"/>
              </w:pBdr>
              <w:spacing w:before="0" w:after="0" w:line="275" w:lineRule="atLeast"/>
              <w:jc w:val="both"/>
            </w:pPr>
            <w:hyperlink r:id="r82">
              <w:r>
                <w:rPr>
                  <w:rFonts w:ascii="Times New Roman" w:hAnsi="Times New Roman"/>
                  <w:color w:val="000000"/>
                  <w:sz w:val="20"/>
                </w:rPr>
                <w:t>2017 WL 3421142, at *29</w:t>
              </w:r>
            </w:hyperlink>
            <w:r>
              <w:rPr>
                <w:rFonts w:ascii="Times New Roman" w:hAnsi="Times New Roman"/>
                <w:color w:val="000000"/>
                <w:sz w:val="20"/>
              </w:rPr>
              <w:t xml:space="preserve"> (emphasis added).</w:t>
            </w:r>
          </w:p>
        </w:tc>
      </w:tr>
      <w:tr>
        <w:tblPrEx/>
        <w:trPr/>
        <w:tc>
          <w:tcPr>
            <w:vAlign w:val="top"/>
          </w:tcPr>
          <w:p>
            <w:pPr>
              <w:spacing w:before="0" w:after="0" w:line="275" w:lineRule="atLeast"/>
            </w:pPr>
            <w:hyperlink w:anchor="co_tablefootnote_118_1">
              <w:r>
                <w:rPr>
                  <w:rFonts w:ascii="Times New Roman" w:hAnsi="Times New Roman"/>
                  <w:color w:val="000000"/>
                  <w:sz w:val="20"/>
                  <w:vertAlign w:val="superscript"/>
                </w:rPr>
                <w:t>118</w:t>
              </w:r>
            </w:hyperlink>
          </w:p>
        </w:tc>
        <w:tc>
          <w:tcPr>
            <w:vAlign w:val="top"/>
          </w:tcPr>
          <w:p>
            <w:pPr>
              <w:pBdr>
                <w:bottom w:val="none" w:space="8"/>
              </w:pBdr>
              <w:spacing w:before="0" w:after="0" w:line="275" w:lineRule="atLeast"/>
              <w:jc w:val="both"/>
            </w:pPr>
            <w:r>
              <w:rPr>
                <w:rFonts w:ascii="Times New Roman" w:hAnsi="Times New Roman"/>
                <w:color w:val="000000"/>
                <w:sz w:val="20"/>
              </w:rPr>
              <w:t>PTO ¶ 59.</w:t>
            </w:r>
          </w:p>
        </w:tc>
      </w:tr>
      <w:tr>
        <w:tblPrEx/>
        <w:trPr/>
        <w:tc>
          <w:tcPr>
            <w:vAlign w:val="top"/>
          </w:tcPr>
          <w:p>
            <w:pPr>
              <w:spacing w:before="0" w:after="0" w:line="275" w:lineRule="atLeast"/>
            </w:pPr>
            <w:hyperlink w:anchor="co_tablefootnote_119_1">
              <w:r>
                <w:rPr>
                  <w:rFonts w:ascii="Times New Roman" w:hAnsi="Times New Roman"/>
                  <w:color w:val="000000"/>
                  <w:sz w:val="20"/>
                  <w:vertAlign w:val="superscript"/>
                </w:rPr>
                <w:t>119</w:t>
              </w:r>
            </w:hyperlink>
          </w:p>
        </w:tc>
        <w:tc>
          <w:tcPr>
            <w:vAlign w:val="top"/>
          </w:tcPr>
          <w:p>
            <w:pPr>
              <w:pBdr>
                <w:bottom w:val="none" w:space="8"/>
              </w:pBdr>
              <w:spacing w:before="0" w:after="0" w:line="275" w:lineRule="atLeast"/>
              <w:jc w:val="both"/>
            </w:pPr>
            <w:r>
              <w:rPr>
                <w:rFonts w:ascii="Times New Roman" w:hAnsi="Times New Roman"/>
                <w:color w:val="000000"/>
                <w:sz w:val="20"/>
              </w:rPr>
              <w:t>JX-3511; Tr. 80:12-81:1 (Stephens-Cross).</w:t>
            </w:r>
          </w:p>
        </w:tc>
      </w:tr>
      <w:tr>
        <w:tblPrEx/>
        <w:trPr/>
        <w:tc>
          <w:tcPr>
            <w:vAlign w:val="top"/>
          </w:tcPr>
          <w:p>
            <w:pPr>
              <w:spacing w:before="0" w:after="0" w:line="275" w:lineRule="atLeast"/>
            </w:pPr>
            <w:hyperlink w:anchor="co_tablefootnote_120_1">
              <w:r>
                <w:rPr>
                  <w:rFonts w:ascii="Times New Roman" w:hAnsi="Times New Roman"/>
                  <w:color w:val="000000"/>
                  <w:sz w:val="20"/>
                  <w:vertAlign w:val="superscript"/>
                </w:rPr>
                <w:t>120</w:t>
              </w:r>
            </w:hyperlink>
          </w:p>
        </w:tc>
        <w:tc>
          <w:tcPr>
            <w:vAlign w:val="top"/>
          </w:tcPr>
          <w:p>
            <w:pPr>
              <w:pBdr>
                <w:bottom w:val="none" w:space="8"/>
              </w:pBdr>
              <w:spacing w:before="0" w:after="0" w:line="275" w:lineRule="atLeast"/>
              <w:jc w:val="both"/>
            </w:pPr>
            <w:r>
              <w:rPr>
                <w:rFonts w:ascii="Times New Roman" w:hAnsi="Times New Roman"/>
                <w:color w:val="000000"/>
                <w:sz w:val="20"/>
              </w:rPr>
              <w:t>JX-1306.</w:t>
            </w:r>
          </w:p>
        </w:tc>
      </w:tr>
      <w:tr>
        <w:tblPrEx/>
        <w:trPr/>
        <w:tc>
          <w:tcPr>
            <w:vAlign w:val="top"/>
          </w:tcPr>
          <w:p>
            <w:pPr>
              <w:spacing w:before="0" w:after="0" w:line="275" w:lineRule="atLeast"/>
            </w:pPr>
            <w:hyperlink w:anchor="co_tablefootnote_121_1">
              <w:r>
                <w:rPr>
                  <w:rFonts w:ascii="Times New Roman" w:hAnsi="Times New Roman"/>
                  <w:color w:val="000000"/>
                  <w:sz w:val="20"/>
                  <w:vertAlign w:val="superscript"/>
                </w:rPr>
                <w:t>121</w:t>
              </w:r>
            </w:hyperlink>
          </w:p>
        </w:tc>
        <w:tc>
          <w:tcPr>
            <w:vAlign w:val="top"/>
          </w:tcPr>
          <w:p>
            <w:pPr>
              <w:pBdr>
                <w:bottom w:val="none" w:space="8"/>
              </w:pBdr>
              <w:spacing w:before="0" w:after="0" w:line="275" w:lineRule="atLeast"/>
              <w:jc w:val="both"/>
            </w:pPr>
            <w:r>
              <w:rPr>
                <w:rFonts w:ascii="Times New Roman" w:hAnsi="Times New Roman"/>
                <w:color w:val="000000"/>
                <w:sz w:val="20"/>
              </w:rPr>
              <w:t>PTO ¶ 59.</w:t>
            </w:r>
          </w:p>
        </w:tc>
      </w:tr>
      <w:tr>
        <w:tblPrEx/>
        <w:trPr/>
        <w:tc>
          <w:tcPr>
            <w:vAlign w:val="top"/>
          </w:tcPr>
          <w:p>
            <w:pPr>
              <w:spacing w:before="0" w:after="0" w:line="275" w:lineRule="atLeast"/>
            </w:pPr>
            <w:hyperlink w:anchor="co_tablefootnote_122_1">
              <w:r>
                <w:rPr>
                  <w:rFonts w:ascii="Times New Roman" w:hAnsi="Times New Roman"/>
                  <w:color w:val="000000"/>
                  <w:sz w:val="20"/>
                  <w:vertAlign w:val="superscript"/>
                </w:rPr>
                <w:t>122</w:t>
              </w:r>
            </w:hyperlink>
          </w:p>
        </w:tc>
        <w:tc>
          <w:tcPr>
            <w:vAlign w:val="top"/>
          </w:tcPr>
          <w:p>
            <w:pPr>
              <w:pBdr>
                <w:bottom w:val="none" w:space="8"/>
              </w:pBdr>
              <w:spacing w:before="0" w:after="0" w:line="275" w:lineRule="atLeast"/>
              <w:jc w:val="both"/>
            </w:pPr>
            <w:r>
              <w:rPr>
                <w:rFonts w:ascii="Times New Roman" w:hAnsi="Times New Roman"/>
                <w:i/>
                <w:color w:val="000000"/>
                <w:sz w:val="20"/>
              </w:rPr>
              <w:t>See, e.g.,</w:t>
            </w:r>
            <w:r>
              <w:rPr>
                <w:rFonts w:ascii="Times New Roman" w:hAnsi="Times New Roman"/>
                <w:color w:val="000000"/>
                <w:sz w:val="20"/>
              </w:rPr>
              <w:t xml:space="preserve"> JX-1703 at 2.</w:t>
            </w:r>
          </w:p>
        </w:tc>
      </w:tr>
      <w:tr>
        <w:tblPrEx/>
        <w:trPr/>
        <w:tc>
          <w:tcPr>
            <w:vAlign w:val="top"/>
          </w:tcPr>
          <w:p>
            <w:pPr>
              <w:spacing w:before="0" w:after="0" w:line="275" w:lineRule="atLeast"/>
            </w:pPr>
            <w:hyperlink w:anchor="co_tablefootnote_123_1">
              <w:r>
                <w:rPr>
                  <w:rFonts w:ascii="Times New Roman" w:hAnsi="Times New Roman"/>
                  <w:color w:val="000000"/>
                  <w:sz w:val="20"/>
                  <w:vertAlign w:val="superscript"/>
                </w:rPr>
                <w:t>123</w:t>
              </w:r>
            </w:hyperlink>
          </w:p>
        </w:tc>
        <w:tc>
          <w:tcPr>
            <w:vAlign w:val="top"/>
          </w:tcPr>
          <w:p>
            <w:pPr>
              <w:pBdr>
                <w:bottom w:val="none" w:space="8"/>
              </w:pBdr>
              <w:spacing w:before="0" w:after="0" w:line="275" w:lineRule="atLeast"/>
              <w:jc w:val="both"/>
            </w:pPr>
            <w:r>
              <w:rPr>
                <w:rFonts w:ascii="Times New Roman" w:hAnsi="Times New Roman"/>
                <w:i/>
                <w:color w:val="000000"/>
                <w:sz w:val="20"/>
              </w:rPr>
              <w:t>Id.</w:t>
            </w:r>
          </w:p>
        </w:tc>
      </w:tr>
      <w:tr>
        <w:tblPrEx/>
        <w:trPr/>
        <w:tc>
          <w:tcPr>
            <w:vAlign w:val="top"/>
          </w:tcPr>
          <w:p>
            <w:pPr>
              <w:spacing w:before="0" w:after="0" w:line="275" w:lineRule="atLeast"/>
            </w:pPr>
            <w:hyperlink w:anchor="co_tablefootnote_124_1">
              <w:r>
                <w:rPr>
                  <w:rFonts w:ascii="Times New Roman" w:hAnsi="Times New Roman"/>
                  <w:color w:val="000000"/>
                  <w:sz w:val="20"/>
                  <w:vertAlign w:val="superscript"/>
                </w:rPr>
                <w:t>124</w:t>
              </w:r>
            </w:hyperlink>
          </w:p>
        </w:tc>
        <w:tc>
          <w:tcPr>
            <w:vAlign w:val="top"/>
          </w:tcPr>
          <w:p>
            <w:pPr>
              <w:pBdr>
                <w:bottom w:val="none" w:space="8"/>
              </w:pBdr>
              <w:spacing w:before="0" w:after="0" w:line="275" w:lineRule="atLeast"/>
              <w:jc w:val="both"/>
            </w:pPr>
            <w:r>
              <w:rPr>
                <w:rFonts w:ascii="Times New Roman" w:hAnsi="Times New Roman"/>
                <w:i/>
                <w:color w:val="000000"/>
                <w:sz w:val="20"/>
              </w:rPr>
              <w:t>See, e.g.,</w:t>
            </w:r>
            <w:r>
              <w:rPr>
                <w:rFonts w:ascii="Times New Roman" w:hAnsi="Times New Roman"/>
                <w:color w:val="000000"/>
                <w:sz w:val="20"/>
              </w:rPr>
              <w:t xml:space="preserve"> JX-1708 at 2.</w:t>
            </w:r>
          </w:p>
        </w:tc>
      </w:tr>
      <w:tr>
        <w:tblPrEx/>
        <w:trPr/>
        <w:tc>
          <w:tcPr>
            <w:vAlign w:val="top"/>
          </w:tcPr>
          <w:p>
            <w:pPr>
              <w:spacing w:before="0" w:after="0" w:line="275" w:lineRule="atLeast"/>
            </w:pPr>
            <w:hyperlink w:anchor="co_tablefootnote_125_1">
              <w:r>
                <w:rPr>
                  <w:rFonts w:ascii="Times New Roman" w:hAnsi="Times New Roman"/>
                  <w:color w:val="000000"/>
                  <w:sz w:val="20"/>
                  <w:vertAlign w:val="superscript"/>
                </w:rPr>
                <w:t>125</w:t>
              </w:r>
            </w:hyperlink>
          </w:p>
        </w:tc>
        <w:tc>
          <w:tcPr>
            <w:vAlign w:val="top"/>
          </w:tcPr>
          <w:p>
            <w:pPr>
              <w:pBdr>
                <w:bottom w:val="none" w:space="8"/>
              </w:pBdr>
              <w:spacing w:before="0" w:after="0" w:line="275" w:lineRule="atLeast"/>
              <w:jc w:val="both"/>
            </w:pPr>
            <w:r>
              <w:rPr>
                <w:rFonts w:ascii="Times New Roman" w:hAnsi="Times New Roman"/>
                <w:i/>
                <w:color w:val="000000"/>
                <w:sz w:val="20"/>
              </w:rPr>
              <w:t>See, e.g.,</w:t>
            </w:r>
            <w:r>
              <w:rPr>
                <w:rFonts w:ascii="Times New Roman" w:hAnsi="Times New Roman"/>
                <w:color w:val="000000"/>
                <w:sz w:val="20"/>
              </w:rPr>
              <w:t xml:space="preserve"> JX1529 at 2.</w:t>
            </w:r>
          </w:p>
        </w:tc>
      </w:tr>
      <w:tr>
        <w:tblPrEx/>
        <w:trPr/>
        <w:tc>
          <w:tcPr>
            <w:vAlign w:val="top"/>
          </w:tcPr>
          <w:p>
            <w:pPr>
              <w:spacing w:before="0" w:after="0" w:line="275" w:lineRule="atLeast"/>
            </w:pPr>
            <w:hyperlink w:anchor="co_tablefootnote_126_1">
              <w:r>
                <w:rPr>
                  <w:rFonts w:ascii="Times New Roman" w:hAnsi="Times New Roman"/>
                  <w:color w:val="000000"/>
                  <w:sz w:val="20"/>
                  <w:vertAlign w:val="superscript"/>
                </w:rPr>
                <w:t>126</w:t>
              </w:r>
            </w:hyperlink>
          </w:p>
        </w:tc>
        <w:tc>
          <w:tcPr>
            <w:vAlign w:val="top"/>
          </w:tcPr>
          <w:p>
            <w:pPr>
              <w:pBdr>
                <w:bottom w:val="none" w:space="8"/>
              </w:pBdr>
              <w:spacing w:before="0" w:after="0" w:line="275" w:lineRule="atLeast"/>
              <w:jc w:val="both"/>
            </w:pPr>
            <w:r>
              <w:rPr>
                <w:rFonts w:ascii="Times New Roman" w:hAnsi="Times New Roman"/>
                <w:color w:val="000000"/>
                <w:sz w:val="20"/>
              </w:rPr>
              <w:t>JX-1996 at 4.</w:t>
            </w:r>
          </w:p>
        </w:tc>
      </w:tr>
      <w:tr>
        <w:tblPrEx/>
        <w:trPr/>
        <w:tc>
          <w:tcPr>
            <w:vAlign w:val="top"/>
          </w:tcPr>
          <w:p>
            <w:pPr>
              <w:spacing w:before="0" w:after="0" w:line="275" w:lineRule="atLeast"/>
            </w:pPr>
            <w:hyperlink w:anchor="co_tablefootnote_127_1">
              <w:r>
                <w:rPr>
                  <w:rFonts w:ascii="Times New Roman" w:hAnsi="Times New Roman"/>
                  <w:color w:val="000000"/>
                  <w:sz w:val="20"/>
                  <w:vertAlign w:val="superscript"/>
                </w:rPr>
                <w:t>127</w:t>
              </w:r>
            </w:hyperlink>
          </w:p>
        </w:tc>
        <w:tc>
          <w:tcPr>
            <w:vAlign w:val="top"/>
          </w:tcPr>
          <w:p>
            <w:pPr>
              <w:pBdr>
                <w:bottom w:val="none" w:space="8"/>
              </w:pBdr>
              <w:spacing w:before="0" w:after="0" w:line="275" w:lineRule="atLeast"/>
              <w:jc w:val="both"/>
            </w:pPr>
            <w:r>
              <w:rPr>
                <w:rFonts w:ascii="Times New Roman" w:hAnsi="Times New Roman"/>
                <w:color w:val="000000"/>
                <w:sz w:val="20"/>
              </w:rPr>
              <w:t>Tr. 874:6-876:20 (Taylor-Cross); Taylor Dep. Tr. 263:6-18.</w:t>
            </w:r>
          </w:p>
        </w:tc>
      </w:tr>
      <w:tr>
        <w:tblPrEx/>
        <w:trPr/>
        <w:tc>
          <w:tcPr>
            <w:vAlign w:val="top"/>
          </w:tcPr>
          <w:p>
            <w:pPr>
              <w:spacing w:before="0" w:after="0" w:line="275" w:lineRule="atLeast"/>
            </w:pPr>
            <w:hyperlink w:anchor="co_tablefootnote_128_1">
              <w:r>
                <w:rPr>
                  <w:rFonts w:ascii="Times New Roman" w:hAnsi="Times New Roman"/>
                  <w:color w:val="000000"/>
                  <w:sz w:val="20"/>
                  <w:vertAlign w:val="superscript"/>
                </w:rPr>
                <w:t>128</w:t>
              </w:r>
            </w:hyperlink>
          </w:p>
        </w:tc>
        <w:tc>
          <w:tcPr>
            <w:vAlign w:val="top"/>
          </w:tcPr>
          <w:p>
            <w:pPr>
              <w:pBdr>
                <w:bottom w:val="none" w:space="8"/>
              </w:pBdr>
              <w:spacing w:before="0" w:after="0" w:line="275" w:lineRule="atLeast"/>
              <w:jc w:val="both"/>
            </w:pPr>
            <w:r>
              <w:rPr>
                <w:rFonts w:ascii="Times New Roman" w:hAnsi="Times New Roman"/>
                <w:color w:val="000000"/>
                <w:sz w:val="20"/>
              </w:rPr>
              <w:t>Taylor Dep. Tr. 222:2-23 and 261:6-262:12.</w:t>
            </w:r>
          </w:p>
        </w:tc>
      </w:tr>
      <w:tr>
        <w:tblPrEx/>
        <w:trPr/>
        <w:tc>
          <w:tcPr>
            <w:vAlign w:val="top"/>
          </w:tcPr>
          <w:p>
            <w:pPr>
              <w:spacing w:before="0" w:after="0" w:line="275" w:lineRule="atLeast"/>
            </w:pPr>
            <w:hyperlink w:anchor="co_tablefootnote_129_1">
              <w:r>
                <w:rPr>
                  <w:rFonts w:ascii="Times New Roman" w:hAnsi="Times New Roman"/>
                  <w:color w:val="000000"/>
                  <w:sz w:val="20"/>
                  <w:vertAlign w:val="superscript"/>
                </w:rPr>
                <w:t>129</w:t>
              </w:r>
            </w:hyperlink>
          </w:p>
        </w:tc>
        <w:tc>
          <w:tcPr>
            <w:vAlign w:val="top"/>
          </w:tcPr>
          <w:p>
            <w:pPr>
              <w:pBdr>
                <w:bottom w:val="none" w:space="8"/>
              </w:pBdr>
              <w:spacing w:before="0" w:after="0" w:line="275" w:lineRule="atLeast"/>
              <w:jc w:val="both"/>
            </w:pPr>
            <w:hyperlink r:id="r83">
              <w:r>
                <w:rPr>
                  <w:rFonts w:ascii="Times New Roman" w:hAnsi="Times New Roman"/>
                  <w:i/>
                  <w:color w:val="000000"/>
                  <w:sz w:val="20"/>
                </w:rPr>
                <w:t>AT&amp;T Mobility Wireless Operations Holdings LLC v. North American Cellular Telephone, Inc.,</w:t>
              </w:r>
              <w:r>
                <w:rPr>
                  <w:rFonts w:ascii="Times New Roman" w:hAnsi="Times New Roman"/>
                  <w:color w:val="000000"/>
                  <w:sz w:val="20"/>
                </w:rPr>
                <w:t xml:space="preserve"> 2013 WL 1213810, at *3 (Del. Ch. Mar. 25, 2013)</w:t>
              </w:r>
            </w:hyperlink>
            <w:r>
              <w:rPr>
                <w:rFonts w:ascii="Times New Roman" w:hAnsi="Times New Roman"/>
                <w:color w:val="000000"/>
                <w:sz w:val="20"/>
              </w:rPr>
              <w:t xml:space="preserve"> (ORDER); </w:t>
            </w:r>
            <w:r>
              <w:rPr>
                <w:rFonts w:ascii="Times New Roman" w:hAnsi="Times New Roman"/>
                <w:i/>
                <w:color w:val="000000"/>
                <w:sz w:val="20"/>
              </w:rPr>
              <w:t xml:space="preserve">see also </w:t>
            </w:r>
            <w:hyperlink r:id="r84">
              <w:r>
                <w:rPr>
                  <w:rFonts w:ascii="Times New Roman" w:hAnsi="Times New Roman"/>
                  <w:i/>
                  <w:color w:val="000000"/>
                  <w:sz w:val="20"/>
                </w:rPr>
                <w:t>ACP Master,</w:t>
              </w:r>
              <w:r>
                <w:rPr>
                  <w:rFonts w:ascii="Times New Roman" w:hAnsi="Times New Roman"/>
                  <w:color w:val="000000"/>
                  <w:sz w:val="20"/>
                </w:rPr>
                <w:t xml:space="preserve"> 2017 WL 3421142, at *19</w:t>
              </w:r>
            </w:hyperlink>
            <w:r>
              <w:rPr>
                <w:rFonts w:ascii="Times New Roman" w:hAnsi="Times New Roman"/>
                <w:color w:val="000000"/>
                <w:sz w:val="20"/>
              </w:rPr>
              <w:t xml:space="preserve">; </w:t>
            </w:r>
            <w:r>
              <w:rPr>
                <w:rFonts w:ascii="Times New Roman" w:hAnsi="Times New Roman"/>
                <w:i/>
                <w:color w:val="000000"/>
                <w:sz w:val="20"/>
              </w:rPr>
              <w:t xml:space="preserve">accord </w:t>
            </w:r>
            <w:hyperlink r:id="r85">
              <w:r>
                <w:rPr>
                  <w:rFonts w:ascii="Times New Roman" w:hAnsi="Times New Roman"/>
                  <w:i/>
                  <w:color w:val="000000"/>
                  <w:sz w:val="20"/>
                </w:rPr>
                <w:t>Bomarko, Inc. v. Int'l Telecharge, Inc.,</w:t>
              </w:r>
              <w:r>
                <w:rPr>
                  <w:rFonts w:ascii="Times New Roman" w:hAnsi="Times New Roman"/>
                  <w:color w:val="000000"/>
                  <w:sz w:val="20"/>
                </w:rPr>
                <w:t xml:space="preserve"> 794 A.2d 1161, 1183 (Del. Ch. 1999)</w:t>
              </w:r>
            </w:hyperlink>
            <w:r>
              <w:rPr>
                <w:rFonts w:ascii="Times New Roman" w:hAnsi="Times New Roman"/>
                <w:color w:val="000000"/>
                <w:sz w:val="20"/>
              </w:rPr>
              <w:t xml:space="preserve">, </w:t>
            </w:r>
            <w:r>
              <w:rPr>
                <w:rFonts w:ascii="Times New Roman" w:hAnsi="Times New Roman"/>
                <w:i/>
                <w:color w:val="000000"/>
                <w:sz w:val="20"/>
              </w:rPr>
              <w:t>aff'd,</w:t>
            </w:r>
            <w:r>
              <w:rPr>
                <w:rFonts w:ascii="Times New Roman" w:hAnsi="Times New Roman"/>
                <w:color w:val="000000"/>
                <w:sz w:val="20"/>
              </w:rPr>
              <w:t xml:space="preserve"> </w:t>
            </w:r>
            <w:hyperlink r:id="r86">
              <w:r>
                <w:rPr>
                  <w:rFonts w:ascii="Times New Roman" w:hAnsi="Times New Roman"/>
                  <w:color w:val="000000"/>
                  <w:sz w:val="20"/>
                </w:rPr>
                <w:t>766 A.2d 437 (Del. 2000)</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30_1">
              <w:r>
                <w:rPr>
                  <w:rFonts w:ascii="Times New Roman" w:hAnsi="Times New Roman"/>
                  <w:color w:val="000000"/>
                  <w:sz w:val="20"/>
                  <w:vertAlign w:val="superscript"/>
                </w:rPr>
                <w:t>130</w:t>
              </w:r>
            </w:hyperlink>
          </w:p>
        </w:tc>
        <w:tc>
          <w:tcPr>
            <w:vAlign w:val="top"/>
          </w:tcPr>
          <w:p>
            <w:pPr>
              <w:pBdr>
                <w:bottom w:val="none" w:space="8"/>
              </w:pBdr>
              <w:spacing w:before="0" w:after="0" w:line="275" w:lineRule="atLeast"/>
              <w:jc w:val="both"/>
            </w:pPr>
            <w:r>
              <w:rPr>
                <w:rFonts w:ascii="Times New Roman" w:hAnsi="Times New Roman"/>
                <w:color w:val="000000"/>
                <w:sz w:val="20"/>
              </w:rPr>
              <w:t>JX-3511.</w:t>
            </w:r>
          </w:p>
        </w:tc>
      </w:tr>
      <w:tr>
        <w:tblPrEx/>
        <w:trPr/>
        <w:tc>
          <w:tcPr>
            <w:vAlign w:val="top"/>
          </w:tcPr>
          <w:p>
            <w:pPr>
              <w:spacing w:before="0" w:after="0" w:line="275" w:lineRule="atLeast"/>
            </w:pPr>
            <w:hyperlink w:anchor="co_tablefootnote_131_1">
              <w:r>
                <w:rPr>
                  <w:rFonts w:ascii="Times New Roman" w:hAnsi="Times New Roman"/>
                  <w:color w:val="000000"/>
                  <w:sz w:val="20"/>
                  <w:vertAlign w:val="superscript"/>
                </w:rPr>
                <w:t>131</w:t>
              </w:r>
            </w:hyperlink>
          </w:p>
        </w:tc>
        <w:tc>
          <w:tcPr>
            <w:vAlign w:val="top"/>
          </w:tcPr>
          <w:p>
            <w:pPr>
              <w:pBdr>
                <w:bottom w:val="none" w:space="8"/>
              </w:pBdr>
              <w:spacing w:before="0" w:after="0" w:line="275" w:lineRule="atLeast"/>
              <w:jc w:val="both"/>
            </w:pPr>
            <w:r>
              <w:rPr>
                <w:rFonts w:ascii="Times New Roman" w:hAnsi="Times New Roman"/>
                <w:color w:val="000000"/>
                <w:sz w:val="20"/>
              </w:rPr>
              <w:t>JX-767.</w:t>
            </w:r>
          </w:p>
        </w:tc>
      </w:tr>
      <w:tr>
        <w:tblPrEx/>
        <w:trPr/>
        <w:tc>
          <w:tcPr>
            <w:vAlign w:val="top"/>
          </w:tcPr>
          <w:p>
            <w:pPr>
              <w:spacing w:before="0" w:after="0" w:line="275" w:lineRule="atLeast"/>
            </w:pPr>
            <w:hyperlink w:anchor="co_tablefootnote_132_1">
              <w:r>
                <w:rPr>
                  <w:rFonts w:ascii="Times New Roman" w:hAnsi="Times New Roman"/>
                  <w:color w:val="000000"/>
                  <w:sz w:val="20"/>
                  <w:vertAlign w:val="superscript"/>
                </w:rPr>
                <w:t>132</w:t>
              </w:r>
            </w:hyperlink>
          </w:p>
        </w:tc>
        <w:tc>
          <w:tcPr>
            <w:vAlign w:val="top"/>
          </w:tcPr>
          <w:p>
            <w:pPr>
              <w:pBdr>
                <w:bottom w:val="none" w:space="8"/>
              </w:pBdr>
              <w:spacing w:before="0" w:after="0" w:line="275" w:lineRule="atLeast"/>
              <w:jc w:val="both"/>
            </w:pPr>
            <w:r>
              <w:rPr>
                <w:rFonts w:ascii="Times New Roman" w:hAnsi="Times New Roman"/>
                <w:color w:val="000000"/>
                <w:sz w:val="20"/>
              </w:rPr>
              <w:t>Tr. 641-3-8 (Teske-Cross) (“Q.... Before PwC began its work, you sent Mr. Gilcreast AT&amp;T's valuations previously prepared by Duff &amp; Phelps, right? A. I did send them the valuations that were done in connection with the annual impairment tests.”).</w:t>
            </w:r>
          </w:p>
        </w:tc>
      </w:tr>
      <w:tr>
        <w:tblPrEx/>
        <w:trPr/>
        <w:tc>
          <w:tcPr>
            <w:vAlign w:val="top"/>
          </w:tcPr>
          <w:p>
            <w:pPr>
              <w:spacing w:before="0" w:after="0" w:line="275" w:lineRule="atLeast"/>
            </w:pPr>
            <w:hyperlink w:anchor="co_tablefootnote_133_1">
              <w:r>
                <w:rPr>
                  <w:rFonts w:ascii="Times New Roman" w:hAnsi="Times New Roman"/>
                  <w:color w:val="000000"/>
                  <w:sz w:val="20"/>
                  <w:vertAlign w:val="superscript"/>
                </w:rPr>
                <w:t>133</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651:8-12 (Teske-Cross) (“Q. Mr. Teske, you provided PwC with perpetuity growth rate of 1 percent and a WACC of 7.7 per cent from Mr. Kobos, right? A. I did pass that information along to PwC.”); </w:t>
            </w:r>
            <w:r>
              <w:rPr>
                <w:rFonts w:ascii="Times New Roman" w:hAnsi="Times New Roman"/>
                <w:i/>
                <w:color w:val="000000"/>
                <w:sz w:val="20"/>
              </w:rPr>
              <w:t>id.</w:t>
            </w:r>
            <w:r>
              <w:rPr>
                <w:rFonts w:ascii="Times New Roman" w:hAnsi="Times New Roman"/>
                <w:color w:val="000000"/>
                <w:sz w:val="20"/>
              </w:rPr>
              <w:t xml:space="preserve"> 651:13-18 (Teske-Cross) (“Q. Did you also pass along to PwC information about what AT&amp;T consider to be a hurdle rate for an investment? A. I recall that in PwC's discussions with members of the treasury team, that they may have referenced a hurdle rate.”); </w:t>
            </w:r>
            <w:r>
              <w:rPr>
                <w:rFonts w:ascii="Times New Roman" w:hAnsi="Times New Roman"/>
                <w:i/>
                <w:color w:val="000000"/>
                <w:sz w:val="20"/>
              </w:rPr>
              <w:t>id.</w:t>
            </w:r>
            <w:r>
              <w:rPr>
                <w:rFonts w:ascii="Times New Roman" w:hAnsi="Times New Roman"/>
                <w:color w:val="000000"/>
                <w:sz w:val="20"/>
              </w:rPr>
              <w:t xml:space="preserve"> 652:5-10 (Teske-Cross) (“Q. Let me try a difference way at this. The hurdle rate that we're talking about, that's AT&amp;T's desired return, right? A. In the deposition last year, I did mention to you that I would think of the hurdle rate as a desired rate of return.”); </w:t>
            </w:r>
            <w:r>
              <w:rPr>
                <w:rFonts w:ascii="Times New Roman" w:hAnsi="Times New Roman"/>
                <w:i/>
                <w:color w:val="000000"/>
                <w:sz w:val="20"/>
              </w:rPr>
              <w:t>id.</w:t>
            </w:r>
            <w:r>
              <w:rPr>
                <w:rFonts w:ascii="Times New Roman" w:hAnsi="Times New Roman"/>
                <w:color w:val="000000"/>
                <w:sz w:val="20"/>
              </w:rPr>
              <w:t xml:space="preserve"> 669:2-4 (“Q. In fact, Mr. Summerford told PwC, ‘You should use 38.5 percent [tax rate];’ right? A. I do recall the 38 1/2 percent.”); </w:t>
            </w:r>
            <w:r>
              <w:rPr>
                <w:rFonts w:ascii="Times New Roman" w:hAnsi="Times New Roman"/>
                <w:i/>
                <w:color w:val="000000"/>
                <w:sz w:val="20"/>
              </w:rPr>
              <w:t>see also</w:t>
            </w:r>
            <w:r>
              <w:rPr>
                <w:rFonts w:ascii="Times New Roman" w:hAnsi="Times New Roman"/>
                <w:color w:val="000000"/>
                <w:sz w:val="20"/>
              </w:rPr>
              <w:t xml:space="preserve"> Prickett Pls. Pretrial Br. at 17-22.</w:t>
            </w:r>
          </w:p>
        </w:tc>
      </w:tr>
      <w:tr>
        <w:tblPrEx/>
        <w:trPr/>
        <w:tc>
          <w:tcPr>
            <w:vAlign w:val="top"/>
          </w:tcPr>
          <w:p>
            <w:pPr>
              <w:spacing w:before="0" w:after="0" w:line="275" w:lineRule="atLeast"/>
            </w:pPr>
            <w:hyperlink w:anchor="co_tablefootnote_134_1">
              <w:r>
                <w:rPr>
                  <w:rFonts w:ascii="Times New Roman" w:hAnsi="Times New Roman"/>
                  <w:color w:val="000000"/>
                  <w:sz w:val="20"/>
                  <w:vertAlign w:val="superscript"/>
                </w:rPr>
                <w:t>134</w:t>
              </w:r>
            </w:hyperlink>
          </w:p>
        </w:tc>
        <w:tc>
          <w:tcPr>
            <w:vAlign w:val="top"/>
          </w:tcPr>
          <w:p>
            <w:pPr>
              <w:pBdr>
                <w:bottom w:val="none" w:space="8"/>
              </w:pBdr>
              <w:spacing w:before="0" w:after="0" w:line="275" w:lineRule="atLeast"/>
              <w:jc w:val="both"/>
            </w:pPr>
            <w:r>
              <w:rPr>
                <w:rFonts w:ascii="Times New Roman" w:hAnsi="Times New Roman"/>
                <w:color w:val="000000"/>
                <w:sz w:val="20"/>
              </w:rPr>
              <w:t>JX-889.</w:t>
            </w:r>
          </w:p>
        </w:tc>
      </w:tr>
      <w:tr>
        <w:tblPrEx/>
        <w:trPr/>
        <w:tc>
          <w:tcPr>
            <w:vAlign w:val="top"/>
          </w:tcPr>
          <w:p>
            <w:pPr>
              <w:spacing w:before="0" w:after="0" w:line="275" w:lineRule="atLeast"/>
            </w:pPr>
            <w:hyperlink w:anchor="co_tablefootnote_135_1">
              <w:r>
                <w:rPr>
                  <w:rFonts w:ascii="Times New Roman" w:hAnsi="Times New Roman"/>
                  <w:color w:val="000000"/>
                  <w:sz w:val="20"/>
                  <w:vertAlign w:val="superscript"/>
                </w:rPr>
                <w:t>135</w:t>
              </w:r>
            </w:hyperlink>
          </w:p>
        </w:tc>
        <w:tc>
          <w:tcPr>
            <w:vAlign w:val="top"/>
          </w:tcPr>
          <w:p>
            <w:pPr>
              <w:pBdr>
                <w:bottom w:val="none" w:space="8"/>
              </w:pBdr>
              <w:spacing w:before="0" w:after="0" w:line="275" w:lineRule="atLeast"/>
              <w:jc w:val="both"/>
            </w:pPr>
            <w:r>
              <w:rPr>
                <w:rFonts w:ascii="Times New Roman" w:hAnsi="Times New Roman"/>
                <w:i/>
                <w:color w:val="000000"/>
                <w:sz w:val="20"/>
              </w:rPr>
              <w:t>Id.</w:t>
            </w:r>
          </w:p>
        </w:tc>
      </w:tr>
      <w:tr>
        <w:tblPrEx/>
        <w:trPr/>
        <w:tc>
          <w:tcPr>
            <w:vAlign w:val="top"/>
          </w:tcPr>
          <w:p>
            <w:pPr>
              <w:spacing w:before="0" w:after="0" w:line="275" w:lineRule="atLeast"/>
            </w:pPr>
            <w:hyperlink w:anchor="co_tablefootnote_136_1">
              <w:r>
                <w:rPr>
                  <w:rFonts w:ascii="Times New Roman" w:hAnsi="Times New Roman"/>
                  <w:color w:val="000000"/>
                  <w:sz w:val="20"/>
                  <w:vertAlign w:val="superscript"/>
                </w:rPr>
                <w:t>136</w:t>
              </w:r>
            </w:hyperlink>
          </w:p>
        </w:tc>
        <w:tc>
          <w:tcPr>
            <w:vAlign w:val="top"/>
          </w:tcPr>
          <w:p>
            <w:pPr>
              <w:pBdr>
                <w:bottom w:val="none" w:space="8"/>
              </w:pBdr>
              <w:spacing w:before="0" w:after="0" w:line="275" w:lineRule="atLeast"/>
              <w:jc w:val="both"/>
            </w:pPr>
            <w:hyperlink r:id="r87">
              <w:r>
                <w:rPr>
                  <w:rFonts w:ascii="Times New Roman" w:hAnsi="Times New Roman"/>
                  <w:i/>
                  <w:color w:val="000000"/>
                  <w:sz w:val="20"/>
                </w:rPr>
                <w:t>In re Emerging Commc'ns, Inc. S'holders Litig.,</w:t>
              </w:r>
              <w:r>
                <w:rPr>
                  <w:rFonts w:ascii="Times New Roman" w:hAnsi="Times New Roman"/>
                  <w:color w:val="000000"/>
                  <w:sz w:val="20"/>
                </w:rPr>
                <w:t xml:space="preserve"> 2004 WL 1305745, at *25 (Del. Ch. May 3, 2004)</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37_1">
              <w:r>
                <w:rPr>
                  <w:rFonts w:ascii="Times New Roman" w:hAnsi="Times New Roman"/>
                  <w:color w:val="000000"/>
                  <w:sz w:val="20"/>
                  <w:vertAlign w:val="superscript"/>
                </w:rPr>
                <w:t>137</w:t>
              </w:r>
            </w:hyperlink>
          </w:p>
        </w:tc>
        <w:tc>
          <w:tcPr>
            <w:vAlign w:val="top"/>
          </w:tcPr>
          <w:p>
            <w:pPr>
              <w:pBdr>
                <w:bottom w:val="none" w:space="8"/>
              </w:pBdr>
              <w:spacing w:before="0" w:after="0" w:line="275" w:lineRule="atLeast"/>
              <w:jc w:val="both"/>
            </w:pPr>
            <w:r>
              <w:rPr>
                <w:rFonts w:ascii="Times New Roman" w:hAnsi="Times New Roman"/>
                <w:color w:val="000000"/>
                <w:sz w:val="20"/>
              </w:rPr>
              <w:t>Tr. 697:22-698:10 (Taylor-Direct).</w:t>
            </w:r>
          </w:p>
        </w:tc>
      </w:tr>
      <w:tr>
        <w:tblPrEx/>
        <w:trPr/>
        <w:tc>
          <w:tcPr>
            <w:vAlign w:val="top"/>
          </w:tcPr>
          <w:p>
            <w:pPr>
              <w:spacing w:before="0" w:after="0" w:line="275" w:lineRule="atLeast"/>
            </w:pPr>
            <w:hyperlink w:anchor="co_tablefootnote_138_1">
              <w:r>
                <w:rPr>
                  <w:rFonts w:ascii="Times New Roman" w:hAnsi="Times New Roman"/>
                  <w:color w:val="000000"/>
                  <w:sz w:val="20"/>
                  <w:vertAlign w:val="superscript"/>
                </w:rPr>
                <w:t>138</w:t>
              </w:r>
            </w:hyperlink>
          </w:p>
        </w:tc>
        <w:tc>
          <w:tcPr>
            <w:vAlign w:val="top"/>
          </w:tcPr>
          <w:p>
            <w:pPr>
              <w:pBdr>
                <w:bottom w:val="none" w:space="8"/>
              </w:pBdr>
              <w:spacing w:before="0" w:after="0" w:line="275" w:lineRule="atLeast"/>
              <w:jc w:val="both"/>
            </w:pPr>
            <w:r>
              <w:rPr>
                <w:rFonts w:ascii="Times New Roman" w:hAnsi="Times New Roman"/>
                <w:i/>
                <w:color w:val="000000"/>
                <w:sz w:val="20"/>
              </w:rPr>
              <w:t xml:space="preserve">SeeLeBeau v. </w:t>
            </w:r>
            <w:hyperlink r:id="r88">
              <w:r>
                <w:rPr>
                  <w:rFonts w:ascii="Times New Roman" w:hAnsi="Times New Roman"/>
                  <w:i/>
                  <w:color w:val="000000"/>
                  <w:sz w:val="20"/>
                </w:rPr>
                <w:t>M.G. Bancorporation, Inc.,</w:t>
              </w:r>
              <w:r>
                <w:rPr>
                  <w:rFonts w:ascii="Times New Roman" w:hAnsi="Times New Roman"/>
                  <w:color w:val="000000"/>
                  <w:sz w:val="20"/>
                </w:rPr>
                <w:t xml:space="preserve"> 1998 WL 44993, at *7 (Del. Ch. Jan. 29, 1998)</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39_1">
              <w:r>
                <w:rPr>
                  <w:rFonts w:ascii="Times New Roman" w:hAnsi="Times New Roman"/>
                  <w:color w:val="000000"/>
                  <w:sz w:val="20"/>
                  <w:vertAlign w:val="superscript"/>
                </w:rPr>
                <w:t>139</w:t>
              </w:r>
            </w:hyperlink>
          </w:p>
        </w:tc>
        <w:tc>
          <w:tcPr>
            <w:vAlign w:val="top"/>
          </w:tcPr>
          <w:p>
            <w:pPr>
              <w:pBdr>
                <w:bottom w:val="none" w:space="8"/>
              </w:pBdr>
              <w:spacing w:before="0" w:after="0" w:line="275" w:lineRule="atLeast"/>
              <w:jc w:val="both"/>
            </w:pPr>
            <w:r>
              <w:rPr>
                <w:rFonts w:ascii="Times New Roman" w:hAnsi="Times New Roman"/>
                <w:color w:val="000000"/>
                <w:sz w:val="20"/>
              </w:rPr>
              <w:t>Prickett Pls. Pretrial Br. at 36.</w:t>
            </w:r>
          </w:p>
        </w:tc>
      </w:tr>
      <w:tr>
        <w:tblPrEx/>
        <w:trPr/>
        <w:tc>
          <w:tcPr>
            <w:vAlign w:val="top"/>
          </w:tcPr>
          <w:p>
            <w:pPr>
              <w:spacing w:before="0" w:after="0" w:line="275" w:lineRule="atLeast"/>
            </w:pPr>
            <w:hyperlink w:anchor="co_tablefootnote_140_1">
              <w:r>
                <w:rPr>
                  <w:rFonts w:ascii="Times New Roman" w:hAnsi="Times New Roman"/>
                  <w:color w:val="000000"/>
                  <w:sz w:val="20"/>
                  <w:vertAlign w:val="superscript"/>
                </w:rPr>
                <w:t>140</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69; JX-2636 at 17; Tr. 750:13-751:4 (Taylor-Direct), 765:8-15 (Taylor-Direct), and 837:14-838:13 (Taylor-Direct).</w:t>
            </w:r>
          </w:p>
        </w:tc>
      </w:tr>
      <w:tr>
        <w:tblPrEx/>
        <w:trPr/>
        <w:tc>
          <w:tcPr>
            <w:vAlign w:val="top"/>
          </w:tcPr>
          <w:p>
            <w:pPr>
              <w:spacing w:before="0" w:after="0" w:line="275" w:lineRule="atLeast"/>
            </w:pPr>
            <w:hyperlink w:anchor="co_tablefootnote_141_1">
              <w:r>
                <w:rPr>
                  <w:rFonts w:ascii="Times New Roman" w:hAnsi="Times New Roman"/>
                  <w:color w:val="000000"/>
                  <w:sz w:val="20"/>
                  <w:vertAlign w:val="superscript"/>
                </w:rPr>
                <w:t>141</w:t>
              </w:r>
            </w:hyperlink>
          </w:p>
        </w:tc>
        <w:tc>
          <w:tcPr>
            <w:vAlign w:val="top"/>
          </w:tcPr>
          <w:p>
            <w:pPr>
              <w:pBdr>
                <w:bottom w:val="none" w:space="8"/>
              </w:pBdr>
              <w:spacing w:before="0" w:after="0" w:line="275" w:lineRule="atLeast"/>
              <w:jc w:val="both"/>
            </w:pPr>
            <w:r>
              <w:rPr>
                <w:rFonts w:ascii="Times New Roman" w:hAnsi="Times New Roman"/>
                <w:color w:val="000000"/>
                <w:sz w:val="20"/>
              </w:rPr>
              <w:t>JX-2463 at 122.</w:t>
            </w:r>
          </w:p>
        </w:tc>
      </w:tr>
      <w:tr>
        <w:tblPrEx/>
        <w:trPr/>
        <w:tc>
          <w:tcPr>
            <w:vAlign w:val="top"/>
          </w:tcPr>
          <w:p>
            <w:pPr>
              <w:spacing w:before="0" w:after="0" w:line="275" w:lineRule="atLeast"/>
            </w:pPr>
            <w:hyperlink w:anchor="co_tablefootnote_142_1">
              <w:r>
                <w:rPr>
                  <w:rFonts w:ascii="Times New Roman" w:hAnsi="Times New Roman"/>
                  <w:color w:val="000000"/>
                  <w:sz w:val="20"/>
                  <w:vertAlign w:val="superscript"/>
                </w:rPr>
                <w:t>142</w:t>
              </w:r>
            </w:hyperlink>
          </w:p>
        </w:tc>
        <w:tc>
          <w:tcPr>
            <w:vAlign w:val="top"/>
          </w:tcPr>
          <w:p>
            <w:pPr>
              <w:pBdr>
                <w:bottom w:val="none" w:space="8"/>
              </w:pBdr>
              <w:spacing w:before="0" w:after="0" w:line="275" w:lineRule="atLeast"/>
              <w:jc w:val="both"/>
            </w:pPr>
            <w:r>
              <w:rPr>
                <w:rFonts w:ascii="Times New Roman" w:hAnsi="Times New Roman"/>
                <w:color w:val="000000"/>
                <w:sz w:val="20"/>
              </w:rPr>
              <w:t>JX-2522; JX-616; JX-3514; JX-3515; JX-3516: none of these documents were produced in the Appraisal Action.</w:t>
            </w:r>
          </w:p>
        </w:tc>
      </w:tr>
      <w:tr>
        <w:tblPrEx/>
        <w:trPr/>
        <w:tc>
          <w:tcPr>
            <w:vAlign w:val="top"/>
          </w:tcPr>
          <w:p>
            <w:pPr>
              <w:spacing w:before="0" w:after="0" w:line="275" w:lineRule="atLeast"/>
            </w:pPr>
            <w:hyperlink w:anchor="co_tablefootnote_143_1">
              <w:r>
                <w:rPr>
                  <w:rFonts w:ascii="Times New Roman" w:hAnsi="Times New Roman"/>
                  <w:color w:val="000000"/>
                  <w:sz w:val="20"/>
                  <w:vertAlign w:val="superscript"/>
                </w:rPr>
                <w:t>143</w:t>
              </w:r>
            </w:hyperlink>
          </w:p>
        </w:tc>
        <w:tc>
          <w:tcPr>
            <w:vAlign w:val="top"/>
          </w:tcPr>
          <w:p>
            <w:pPr>
              <w:pBdr>
                <w:bottom w:val="none" w:space="8"/>
              </w:pBdr>
              <w:spacing w:before="0" w:after="0" w:line="275" w:lineRule="atLeast"/>
              <w:jc w:val="both"/>
            </w:pPr>
            <w:r>
              <w:rPr>
                <w:rFonts w:ascii="Times New Roman" w:hAnsi="Times New Roman"/>
                <w:color w:val="000000"/>
                <w:sz w:val="20"/>
              </w:rPr>
              <w:t>JX-3554 at 46; Tr. 968:14-969:5 (Taylor-Cross).</w:t>
            </w:r>
          </w:p>
        </w:tc>
      </w:tr>
      <w:tr>
        <w:tblPrEx/>
        <w:trPr/>
        <w:tc>
          <w:tcPr>
            <w:vAlign w:val="top"/>
          </w:tcPr>
          <w:p>
            <w:pPr>
              <w:spacing w:before="0" w:after="0" w:line="275" w:lineRule="atLeast"/>
            </w:pPr>
            <w:hyperlink w:anchor="co_tablefootnote_144_1">
              <w:r>
                <w:rPr>
                  <w:rFonts w:ascii="Times New Roman" w:hAnsi="Times New Roman"/>
                  <w:color w:val="000000"/>
                  <w:sz w:val="20"/>
                  <w:vertAlign w:val="superscript"/>
                </w:rPr>
                <w:t>144</w:t>
              </w:r>
            </w:hyperlink>
          </w:p>
        </w:tc>
        <w:tc>
          <w:tcPr>
            <w:vAlign w:val="top"/>
          </w:tcPr>
          <w:p>
            <w:pPr>
              <w:pBdr>
                <w:bottom w:val="none" w:space="8"/>
              </w:pBdr>
              <w:spacing w:before="0" w:after="0" w:line="275" w:lineRule="atLeast"/>
              <w:jc w:val="both"/>
            </w:pPr>
            <w:r>
              <w:rPr>
                <w:rFonts w:ascii="Times New Roman" w:hAnsi="Times New Roman"/>
                <w:color w:val="000000"/>
                <w:sz w:val="20"/>
              </w:rPr>
              <w:t>Tr. 969:21-970:5 (Taylor-Cross) (at first claiming that while she “look[ed] at it” buy could not “remember the answer to [the] question”); Tr. 970:14-971:11 (walking Ms. Taylor through JX-3519)</w:t>
            </w:r>
          </w:p>
        </w:tc>
      </w:tr>
      <w:tr>
        <w:tblPrEx/>
        <w:trPr/>
        <w:tc>
          <w:tcPr>
            <w:vAlign w:val="top"/>
          </w:tcPr>
          <w:p>
            <w:pPr>
              <w:spacing w:before="0" w:after="0" w:line="275" w:lineRule="atLeast"/>
            </w:pPr>
            <w:hyperlink w:anchor="co_tablefootnote_145_1">
              <w:r>
                <w:rPr>
                  <w:rFonts w:ascii="Times New Roman" w:hAnsi="Times New Roman"/>
                  <w:color w:val="000000"/>
                  <w:sz w:val="20"/>
                  <w:vertAlign w:val="superscript"/>
                </w:rPr>
                <w:t>145</w:t>
              </w:r>
            </w:hyperlink>
          </w:p>
        </w:tc>
        <w:tc>
          <w:tcPr>
            <w:vAlign w:val="top"/>
          </w:tcPr>
          <w:p>
            <w:pPr>
              <w:pBdr>
                <w:bottom w:val="none" w:space="8"/>
              </w:pBdr>
              <w:spacing w:before="0" w:after="0" w:line="275" w:lineRule="atLeast"/>
              <w:jc w:val="both"/>
            </w:pPr>
            <w:hyperlink r:id="r89">
              <w:r>
                <w:rPr>
                  <w:rFonts w:ascii="Times New Roman" w:hAnsi="Times New Roman"/>
                  <w:i/>
                  <w:color w:val="000000"/>
                  <w:sz w:val="20"/>
                </w:rPr>
                <w:t>In re AT&amp;T Mobility Wireless Operations Holdings Appraisal Litig.,</w:t>
              </w:r>
              <w:r>
                <w:rPr>
                  <w:rFonts w:ascii="Times New Roman" w:hAnsi="Times New Roman"/>
                  <w:color w:val="000000"/>
                  <w:sz w:val="20"/>
                </w:rPr>
                <w:t xml:space="preserve"> 2013 WL 3865099, at *3 (Del. Ch. June 24, 2013)</w:t>
              </w:r>
            </w:hyperlink>
            <w:r>
              <w:rPr>
                <w:rFonts w:ascii="Times New Roman" w:hAnsi="Times New Roman"/>
                <w:color w:val="000000"/>
                <w:sz w:val="20"/>
              </w:rPr>
              <w:t xml:space="preserve">. Notably, the analysis included all the transactions Ms. Taylor advocates here except for the bused AT&amp;T/T-Mobile deal. </w:t>
            </w:r>
            <w:r>
              <w:rPr>
                <w:rFonts w:ascii="Times New Roman" w:hAnsi="Times New Roman"/>
                <w:i/>
                <w:color w:val="000000"/>
                <w:sz w:val="20"/>
              </w:rPr>
              <w:t>Compare</w:t>
            </w:r>
            <w:r>
              <w:rPr>
                <w:rFonts w:ascii="Times New Roman" w:hAnsi="Times New Roman"/>
                <w:color w:val="000000"/>
                <w:sz w:val="20"/>
              </w:rPr>
              <w:t xml:space="preserve"> JX-3554 at 40 </w:t>
            </w:r>
            <w:r>
              <w:rPr>
                <w:rFonts w:ascii="Times New Roman" w:hAnsi="Times New Roman"/>
                <w:i/>
                <w:color w:val="000000"/>
                <w:sz w:val="20"/>
              </w:rPr>
              <w:t>with</w:t>
            </w:r>
            <w:r>
              <w:rPr>
                <w:rFonts w:ascii="Times New Roman" w:hAnsi="Times New Roman"/>
                <w:color w:val="000000"/>
                <w:sz w:val="20"/>
              </w:rPr>
              <w:t xml:space="preserve"> JX-2465 at 114.</w:t>
            </w:r>
          </w:p>
        </w:tc>
      </w:tr>
      <w:tr>
        <w:tblPrEx/>
        <w:trPr/>
        <w:tc>
          <w:tcPr>
            <w:vAlign w:val="top"/>
          </w:tcPr>
          <w:p>
            <w:pPr>
              <w:spacing w:before="0" w:after="0" w:line="275" w:lineRule="atLeast"/>
            </w:pPr>
            <w:hyperlink w:anchor="co_tablefootnote_146_1">
              <w:r>
                <w:rPr>
                  <w:rFonts w:ascii="Times New Roman" w:hAnsi="Times New Roman"/>
                  <w:color w:val="000000"/>
                  <w:sz w:val="20"/>
                  <w:vertAlign w:val="superscript"/>
                </w:rPr>
                <w:t>146</w:t>
              </w:r>
            </w:hyperlink>
          </w:p>
        </w:tc>
        <w:tc>
          <w:tcPr>
            <w:vAlign w:val="top"/>
          </w:tcPr>
          <w:p>
            <w:pPr>
              <w:pBdr>
                <w:bottom w:val="none" w:space="8"/>
              </w:pBdr>
              <w:spacing w:before="0" w:after="0" w:line="275" w:lineRule="atLeast"/>
              <w:jc w:val="both"/>
            </w:pPr>
            <w:r>
              <w:rPr>
                <w:rFonts w:ascii="Times New Roman" w:hAnsi="Times New Roman"/>
                <w:color w:val="000000"/>
                <w:sz w:val="20"/>
              </w:rPr>
              <w:t>JX-3552 at 56.</w:t>
            </w:r>
          </w:p>
        </w:tc>
      </w:tr>
      <w:tr>
        <w:tblPrEx/>
        <w:trPr/>
        <w:tc>
          <w:tcPr>
            <w:vAlign w:val="top"/>
          </w:tcPr>
          <w:p>
            <w:pPr>
              <w:spacing w:before="0" w:after="0" w:line="275" w:lineRule="atLeast"/>
            </w:pPr>
            <w:hyperlink w:anchor="co_tablefootnote_147_1">
              <w:r>
                <w:rPr>
                  <w:rFonts w:ascii="Times New Roman" w:hAnsi="Times New Roman"/>
                  <w:color w:val="000000"/>
                  <w:sz w:val="20"/>
                  <w:vertAlign w:val="superscript"/>
                </w:rPr>
                <w:t>147</w:t>
              </w:r>
            </w:hyperlink>
          </w:p>
        </w:tc>
        <w:tc>
          <w:tcPr>
            <w:vAlign w:val="top"/>
          </w:tcPr>
          <w:p>
            <w:pPr>
              <w:pBdr>
                <w:bottom w:val="none" w:space="8"/>
              </w:pBdr>
              <w:spacing w:before="0" w:after="0" w:line="275" w:lineRule="atLeast"/>
              <w:jc w:val="both"/>
            </w:pPr>
            <w:r>
              <w:rPr>
                <w:rFonts w:ascii="Times New Roman" w:hAnsi="Times New Roman"/>
                <w:color w:val="000000"/>
                <w:sz w:val="20"/>
              </w:rPr>
              <w:t>JX-3552 at 54.</w:t>
            </w:r>
          </w:p>
        </w:tc>
      </w:tr>
      <w:tr>
        <w:tblPrEx/>
        <w:trPr/>
        <w:tc>
          <w:tcPr>
            <w:vAlign w:val="top"/>
          </w:tcPr>
          <w:p>
            <w:pPr>
              <w:spacing w:before="0" w:after="0" w:line="275" w:lineRule="atLeast"/>
            </w:pPr>
            <w:hyperlink w:anchor="co_tablefootnote_148_1">
              <w:r>
                <w:rPr>
                  <w:rFonts w:ascii="Times New Roman" w:hAnsi="Times New Roman"/>
                  <w:color w:val="000000"/>
                  <w:sz w:val="20"/>
                  <w:vertAlign w:val="superscript"/>
                </w:rPr>
                <w:t>148</w:t>
              </w:r>
            </w:hyperlink>
          </w:p>
        </w:tc>
        <w:tc>
          <w:tcPr>
            <w:vAlign w:val="top"/>
          </w:tcPr>
          <w:p>
            <w:pPr>
              <w:pBdr>
                <w:bottom w:val="none" w:space="8"/>
              </w:pBdr>
              <w:spacing w:before="0" w:after="0" w:line="275" w:lineRule="atLeast"/>
              <w:jc w:val="both"/>
            </w:pPr>
            <w:r>
              <w:rPr>
                <w:rFonts w:ascii="Times New Roman" w:hAnsi="Times New Roman"/>
                <w:color w:val="000000"/>
                <w:sz w:val="20"/>
              </w:rPr>
              <w:t>Tr. 971:12-22 (walking Ms. Taylor through JX-3519).</w:t>
            </w:r>
          </w:p>
        </w:tc>
      </w:tr>
      <w:tr>
        <w:tblPrEx/>
        <w:trPr/>
        <w:tc>
          <w:tcPr>
            <w:vAlign w:val="top"/>
          </w:tcPr>
          <w:p>
            <w:pPr>
              <w:spacing w:before="0" w:after="0" w:line="275" w:lineRule="atLeast"/>
            </w:pPr>
            <w:hyperlink w:anchor="co_tablefootnote_149_1">
              <w:r>
                <w:rPr>
                  <w:rFonts w:ascii="Times New Roman" w:hAnsi="Times New Roman"/>
                  <w:color w:val="000000"/>
                  <w:sz w:val="20"/>
                  <w:vertAlign w:val="superscript"/>
                </w:rPr>
                <w:t>149</w:t>
              </w:r>
            </w:hyperlink>
          </w:p>
        </w:tc>
        <w:tc>
          <w:tcPr>
            <w:vAlign w:val="top"/>
          </w:tcPr>
          <w:p>
            <w:pPr>
              <w:pBdr>
                <w:bottom w:val="none" w:space="8"/>
              </w:pBdr>
              <w:spacing w:before="0" w:after="0" w:line="275" w:lineRule="atLeast"/>
              <w:jc w:val="both"/>
            </w:pPr>
            <w:r>
              <w:rPr>
                <w:rFonts w:ascii="Times New Roman" w:hAnsi="Times New Roman"/>
                <w:color w:val="000000"/>
                <w:sz w:val="20"/>
              </w:rPr>
              <w:t>Tr. 970:11-12 (“A. I did that, also, and I think a couple of them would have been below the low.”)</w:t>
            </w:r>
          </w:p>
        </w:tc>
      </w:tr>
      <w:tr>
        <w:tblPrEx/>
        <w:trPr/>
        <w:tc>
          <w:tcPr>
            <w:vAlign w:val="top"/>
          </w:tcPr>
          <w:p>
            <w:pPr>
              <w:spacing w:before="0" w:after="0" w:line="275" w:lineRule="atLeast"/>
            </w:pPr>
            <w:hyperlink w:anchor="co_tablefootnote_150_1">
              <w:r>
                <w:rPr>
                  <w:rFonts w:ascii="Times New Roman" w:hAnsi="Times New Roman"/>
                  <w:color w:val="000000"/>
                  <w:sz w:val="20"/>
                  <w:vertAlign w:val="superscript"/>
                </w:rPr>
                <w:t>150</w:t>
              </w:r>
            </w:hyperlink>
          </w:p>
        </w:tc>
        <w:tc>
          <w:tcPr>
            <w:vAlign w:val="top"/>
          </w:tcPr>
          <w:p>
            <w:pPr>
              <w:pBdr>
                <w:bottom w:val="none" w:space="8"/>
              </w:pBdr>
              <w:spacing w:before="0" w:after="0" w:line="275" w:lineRule="atLeast"/>
              <w:jc w:val="both"/>
            </w:pPr>
            <w:r>
              <w:rPr>
                <w:rFonts w:ascii="Times New Roman" w:hAnsi="Times New Roman"/>
                <w:color w:val="000000"/>
                <w:sz w:val="20"/>
              </w:rPr>
              <w:t>Taylor Dep. Tr. 234:16-235:6 (“Q.... Why does your weighting keep changing? ... A. They're pretty close. Q. They bring you down. Using the guideline transaction brings you down, doesn't it? It's lower? A. Well, it depends...”).</w:t>
            </w:r>
          </w:p>
        </w:tc>
      </w:tr>
      <w:tr>
        <w:tblPrEx/>
        <w:trPr/>
        <w:tc>
          <w:tcPr>
            <w:vAlign w:val="top"/>
          </w:tcPr>
          <w:p>
            <w:pPr>
              <w:spacing w:before="0" w:after="0" w:line="275" w:lineRule="atLeast"/>
            </w:pPr>
            <w:hyperlink w:anchor="co_tablefootnote_151_1">
              <w:r>
                <w:rPr>
                  <w:rFonts w:ascii="Times New Roman" w:hAnsi="Times New Roman"/>
                  <w:color w:val="000000"/>
                  <w:sz w:val="20"/>
                  <w:vertAlign w:val="superscript"/>
                </w:rPr>
                <w:t>151</w:t>
              </w:r>
            </w:hyperlink>
          </w:p>
        </w:tc>
        <w:tc>
          <w:tcPr>
            <w:vAlign w:val="top"/>
          </w:tcPr>
          <w:p>
            <w:pPr>
              <w:pBdr>
                <w:bottom w:val="none" w:space="8"/>
              </w:pBdr>
              <w:spacing w:before="0" w:after="0" w:line="275" w:lineRule="atLeast"/>
              <w:jc w:val="both"/>
            </w:pPr>
            <w:r>
              <w:rPr>
                <w:rFonts w:ascii="Times New Roman" w:hAnsi="Times New Roman"/>
                <w:color w:val="000000"/>
                <w:sz w:val="20"/>
              </w:rPr>
              <w:t>Tr. 970:6-12 (Taylor-Cross).</w:t>
            </w:r>
          </w:p>
        </w:tc>
      </w:tr>
      <w:tr>
        <w:tblPrEx/>
        <w:trPr/>
        <w:tc>
          <w:tcPr>
            <w:vAlign w:val="top"/>
          </w:tcPr>
          <w:p>
            <w:pPr>
              <w:spacing w:before="0" w:after="0" w:line="275" w:lineRule="atLeast"/>
            </w:pPr>
            <w:hyperlink w:anchor="co_tablefootnote_152_1">
              <w:r>
                <w:rPr>
                  <w:rFonts w:ascii="Times New Roman" w:hAnsi="Times New Roman"/>
                  <w:color w:val="000000"/>
                  <w:sz w:val="20"/>
                  <w:vertAlign w:val="superscript"/>
                </w:rPr>
                <w:t>152</w:t>
              </w:r>
            </w:hyperlink>
          </w:p>
        </w:tc>
        <w:tc>
          <w:tcPr>
            <w:vAlign w:val="top"/>
          </w:tcPr>
          <w:p>
            <w:pPr>
              <w:pBdr>
                <w:bottom w:val="none" w:space="8"/>
              </w:pBdr>
              <w:spacing w:before="0" w:after="0" w:line="275" w:lineRule="atLeast"/>
              <w:jc w:val="both"/>
            </w:pPr>
            <w:r>
              <w:rPr>
                <w:rFonts w:ascii="Times New Roman" w:hAnsi="Times New Roman"/>
                <w:color w:val="000000"/>
                <w:sz w:val="20"/>
              </w:rPr>
              <w:t>Prickett Pls. Pretrial Br. at 36-41.</w:t>
            </w:r>
          </w:p>
        </w:tc>
      </w:tr>
      <w:tr>
        <w:tblPrEx/>
        <w:trPr/>
        <w:tc>
          <w:tcPr>
            <w:vAlign w:val="top"/>
          </w:tcPr>
          <w:p>
            <w:pPr>
              <w:spacing w:before="0" w:after="0" w:line="275" w:lineRule="atLeast"/>
            </w:pPr>
            <w:hyperlink w:anchor="co_tablefootnote_153_1">
              <w:r>
                <w:rPr>
                  <w:rFonts w:ascii="Times New Roman" w:hAnsi="Times New Roman"/>
                  <w:color w:val="000000"/>
                  <w:sz w:val="20"/>
                  <w:vertAlign w:val="superscript"/>
                </w:rPr>
                <w:t>153</w:t>
              </w:r>
            </w:hyperlink>
          </w:p>
        </w:tc>
        <w:tc>
          <w:tcPr>
            <w:vAlign w:val="top"/>
          </w:tcPr>
          <w:p>
            <w:pPr>
              <w:pBdr>
                <w:bottom w:val="none" w:space="8"/>
              </w:pBdr>
              <w:spacing w:before="0" w:after="0" w:line="275" w:lineRule="atLeast"/>
              <w:jc w:val="both"/>
            </w:pPr>
            <w:r>
              <w:rPr>
                <w:rFonts w:ascii="Times New Roman" w:hAnsi="Times New Roman"/>
                <w:color w:val="000000"/>
                <w:sz w:val="20"/>
              </w:rPr>
              <w:t>Tr. 912:18-19 (Taylor-Cross).</w:t>
            </w:r>
          </w:p>
        </w:tc>
      </w:tr>
      <w:tr>
        <w:tblPrEx/>
        <w:trPr/>
        <w:tc>
          <w:tcPr>
            <w:vAlign w:val="top"/>
          </w:tcPr>
          <w:p>
            <w:pPr>
              <w:spacing w:before="0" w:after="0" w:line="275" w:lineRule="atLeast"/>
            </w:pPr>
            <w:hyperlink w:anchor="co_tablefootnote_154_1">
              <w:r>
                <w:rPr>
                  <w:rFonts w:ascii="Times New Roman" w:hAnsi="Times New Roman"/>
                  <w:color w:val="000000"/>
                  <w:sz w:val="20"/>
                  <w:vertAlign w:val="superscript"/>
                </w:rPr>
                <w:t>154</w:t>
              </w:r>
            </w:hyperlink>
          </w:p>
        </w:tc>
        <w:tc>
          <w:tcPr>
            <w:vAlign w:val="top"/>
          </w:tcPr>
          <w:p>
            <w:pPr>
              <w:pBdr>
                <w:bottom w:val="none" w:space="8"/>
              </w:pBdr>
              <w:spacing w:before="0" w:after="0" w:line="275" w:lineRule="atLeast"/>
              <w:jc w:val="both"/>
            </w:pPr>
            <w:r>
              <w:rPr>
                <w:rFonts w:ascii="Times New Roman" w:hAnsi="Times New Roman"/>
                <w:color w:val="000000"/>
                <w:sz w:val="20"/>
              </w:rPr>
              <w:t>JX-3514 at 3.</w:t>
            </w:r>
          </w:p>
        </w:tc>
      </w:tr>
      <w:tr>
        <w:tblPrEx/>
        <w:trPr/>
        <w:tc>
          <w:tcPr>
            <w:vAlign w:val="top"/>
          </w:tcPr>
          <w:p>
            <w:pPr>
              <w:spacing w:before="0" w:after="0" w:line="275" w:lineRule="atLeast"/>
            </w:pPr>
            <w:hyperlink w:anchor="co_tablefootnote_155_1">
              <w:r>
                <w:rPr>
                  <w:rFonts w:ascii="Times New Roman" w:hAnsi="Times New Roman"/>
                  <w:color w:val="000000"/>
                  <w:sz w:val="20"/>
                  <w:vertAlign w:val="superscript"/>
                </w:rPr>
                <w:t>155</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54.</w:t>
            </w:r>
          </w:p>
        </w:tc>
      </w:tr>
      <w:tr>
        <w:tblPrEx/>
        <w:trPr/>
        <w:tc>
          <w:tcPr>
            <w:vAlign w:val="top"/>
          </w:tcPr>
          <w:p>
            <w:pPr>
              <w:spacing w:before="0" w:after="0" w:line="275" w:lineRule="atLeast"/>
            </w:pPr>
            <w:hyperlink w:anchor="co_tablefootnote_156_1">
              <w:r>
                <w:rPr>
                  <w:rFonts w:ascii="Times New Roman" w:hAnsi="Times New Roman"/>
                  <w:color w:val="000000"/>
                  <w:sz w:val="20"/>
                  <w:vertAlign w:val="superscript"/>
                </w:rPr>
                <w:t>156</w:t>
              </w:r>
            </w:hyperlink>
          </w:p>
        </w:tc>
        <w:tc>
          <w:tcPr>
            <w:vAlign w:val="top"/>
          </w:tcPr>
          <w:p>
            <w:pPr>
              <w:pBdr>
                <w:bottom w:val="none" w:space="8"/>
              </w:pBdr>
              <w:spacing w:before="0" w:after="0" w:line="275" w:lineRule="atLeast"/>
              <w:jc w:val="both"/>
            </w:pPr>
            <w:r>
              <w:rPr>
                <w:rFonts w:ascii="Times New Roman" w:hAnsi="Times New Roman"/>
                <w:color w:val="000000"/>
                <w:sz w:val="20"/>
              </w:rPr>
              <w:t>JX-3514 at 3 ($18.9 million/$76 million).</w:t>
            </w:r>
          </w:p>
        </w:tc>
      </w:tr>
      <w:tr>
        <w:tblPrEx/>
        <w:trPr/>
        <w:tc>
          <w:tcPr>
            <w:vAlign w:val="top"/>
          </w:tcPr>
          <w:p>
            <w:pPr>
              <w:spacing w:before="0" w:after="0" w:line="275" w:lineRule="atLeast"/>
            </w:pPr>
            <w:hyperlink w:anchor="co_tablefootnote_157_1">
              <w:r>
                <w:rPr>
                  <w:rFonts w:ascii="Times New Roman" w:hAnsi="Times New Roman"/>
                  <w:color w:val="000000"/>
                  <w:sz w:val="20"/>
                  <w:vertAlign w:val="superscript"/>
                </w:rPr>
                <w:t>157</w:t>
              </w:r>
            </w:hyperlink>
          </w:p>
        </w:tc>
        <w:tc>
          <w:tcPr>
            <w:vAlign w:val="top"/>
          </w:tcPr>
          <w:p>
            <w:pPr>
              <w:pBdr>
                <w:bottom w:val="none" w:space="8"/>
              </w:pBdr>
              <w:spacing w:before="0" w:after="0" w:line="275" w:lineRule="atLeast"/>
              <w:jc w:val="both"/>
            </w:pPr>
            <w:r>
              <w:rPr>
                <w:rFonts w:ascii="Times New Roman" w:hAnsi="Times New Roman"/>
                <w:i/>
                <w:color w:val="000000"/>
                <w:sz w:val="20"/>
              </w:rPr>
              <w:t>Id.</w:t>
            </w:r>
          </w:p>
        </w:tc>
      </w:tr>
      <w:tr>
        <w:tblPrEx/>
        <w:trPr/>
        <w:tc>
          <w:tcPr>
            <w:vAlign w:val="top"/>
          </w:tcPr>
          <w:p>
            <w:pPr>
              <w:spacing w:before="0" w:after="0" w:line="275" w:lineRule="atLeast"/>
            </w:pPr>
            <w:hyperlink w:anchor="co_tablefootnote_158_1">
              <w:r>
                <w:rPr>
                  <w:rFonts w:ascii="Times New Roman" w:hAnsi="Times New Roman"/>
                  <w:color w:val="000000"/>
                  <w:sz w:val="20"/>
                  <w:vertAlign w:val="superscript"/>
                </w:rPr>
                <w:t>158</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(corporate value)/(100%-tax shield benefit(25%)); </w:t>
            </w:r>
            <w:r>
              <w:rPr>
                <w:rFonts w:ascii="Times New Roman" w:hAnsi="Times New Roman"/>
                <w:i/>
                <w:color w:val="000000"/>
                <w:sz w:val="20"/>
              </w:rPr>
              <w:t>see also</w:t>
            </w:r>
            <w:r>
              <w:rPr>
                <w:rFonts w:ascii="Times New Roman" w:hAnsi="Times New Roman"/>
                <w:color w:val="000000"/>
                <w:sz w:val="20"/>
              </w:rPr>
              <w:t xml:space="preserve"> JX-3516.</w:t>
            </w:r>
          </w:p>
        </w:tc>
      </w:tr>
      <w:tr>
        <w:tblPrEx/>
        <w:trPr/>
        <w:tc>
          <w:tcPr>
            <w:vAlign w:val="top"/>
          </w:tcPr>
          <w:p>
            <w:pPr>
              <w:spacing w:before="0" w:after="0" w:line="275" w:lineRule="atLeast"/>
            </w:pPr>
            <w:hyperlink w:anchor="co_tablefootnote_159_1">
              <w:r>
                <w:rPr>
                  <w:rFonts w:ascii="Times New Roman" w:hAnsi="Times New Roman"/>
                  <w:color w:val="000000"/>
                  <w:sz w:val="20"/>
                  <w:vertAlign w:val="superscript"/>
                </w:rPr>
                <w:t>159</w:t>
              </w:r>
            </w:hyperlink>
          </w:p>
        </w:tc>
        <w:tc>
          <w:tcPr>
            <w:vAlign w:val="top"/>
          </w:tcPr>
          <w:p>
            <w:pPr>
              <w:pBdr>
                <w:bottom w:val="none" w:space="8"/>
              </w:pBdr>
              <w:spacing w:before="0" w:after="0" w:line="275" w:lineRule="atLeast"/>
              <w:jc w:val="both"/>
            </w:pPr>
            <w:r>
              <w:rPr>
                <w:rFonts w:ascii="Times New Roman" w:hAnsi="Times New Roman"/>
                <w:color w:val="000000"/>
                <w:sz w:val="20"/>
              </w:rPr>
              <w:t>Tr. 775:15-20 (Taylor-Cross).</w:t>
            </w:r>
          </w:p>
        </w:tc>
      </w:tr>
      <w:tr>
        <w:tblPrEx/>
        <w:trPr/>
        <w:tc>
          <w:tcPr>
            <w:vAlign w:val="top"/>
          </w:tcPr>
          <w:p>
            <w:pPr>
              <w:spacing w:before="0" w:after="0" w:line="275" w:lineRule="atLeast"/>
            </w:pPr>
            <w:hyperlink w:anchor="co_tablefootnote_160_1">
              <w:r>
                <w:rPr>
                  <w:rFonts w:ascii="Times New Roman" w:hAnsi="Times New Roman"/>
                  <w:color w:val="000000"/>
                  <w:sz w:val="20"/>
                  <w:vertAlign w:val="superscript"/>
                </w:rPr>
                <w:t>160</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1302:2-20 (Barrick-Direct); JX-2469 at 18; </w:t>
            </w:r>
            <w:r>
              <w:rPr>
                <w:rFonts w:ascii="Times New Roman" w:hAnsi="Times New Roman"/>
                <w:i/>
                <w:color w:val="000000"/>
                <w:sz w:val="20"/>
              </w:rPr>
              <w:t>see also</w:t>
            </w:r>
            <w:r>
              <w:rPr>
                <w:rFonts w:ascii="Times New Roman" w:hAnsi="Times New Roman"/>
                <w:color w:val="000000"/>
                <w:sz w:val="20"/>
              </w:rPr>
              <w:t xml:space="preserve"> Tr. 882:21-24 (Taylor-Cross) (admitted she had plenty of time to challenge Ms. Barrick's math and has never done so).</w:t>
            </w:r>
          </w:p>
        </w:tc>
      </w:tr>
      <w:tr>
        <w:tblPrEx/>
        <w:trPr/>
        <w:tc>
          <w:tcPr>
            <w:vAlign w:val="top"/>
          </w:tcPr>
          <w:p>
            <w:pPr>
              <w:spacing w:before="0" w:after="0" w:line="275" w:lineRule="atLeast"/>
            </w:pPr>
            <w:hyperlink w:anchor="co_tablefootnote_161_1">
              <w:r>
                <w:rPr>
                  <w:rFonts w:ascii="Times New Roman" w:hAnsi="Times New Roman"/>
                  <w:color w:val="000000"/>
                  <w:sz w:val="20"/>
                  <w:vertAlign w:val="superscript"/>
                </w:rPr>
                <w:t>161</w:t>
              </w:r>
            </w:hyperlink>
          </w:p>
        </w:tc>
        <w:tc>
          <w:tcPr>
            <w:vAlign w:val="top"/>
          </w:tcPr>
          <w:p>
            <w:pPr>
              <w:pBdr>
                <w:bottom w:val="none" w:space="8"/>
              </w:pBdr>
              <w:spacing w:before="0" w:after="0" w:line="275" w:lineRule="atLeast"/>
              <w:jc w:val="both"/>
            </w:pPr>
            <w:r>
              <w:rPr>
                <w:rFonts w:ascii="Times New Roman" w:hAnsi="Times New Roman"/>
                <w:color w:val="000000"/>
                <w:sz w:val="20"/>
              </w:rPr>
              <w:t>Tr. 1302:2-20 (Barrick-Direct); Ms. Taylor admitted on cross-examination she only adjusted her income approach. Tr. 922:11-13 (Taylor-Cross).</w:t>
            </w:r>
          </w:p>
        </w:tc>
      </w:tr>
      <w:tr>
        <w:tblPrEx/>
        <w:trPr/>
        <w:tc>
          <w:tcPr>
            <w:vAlign w:val="top"/>
          </w:tcPr>
          <w:p>
            <w:pPr>
              <w:spacing w:before="0" w:after="0" w:line="275" w:lineRule="atLeast"/>
            </w:pPr>
            <w:hyperlink w:anchor="co_tablefootnote_162_1">
              <w:r>
                <w:rPr>
                  <w:rFonts w:ascii="Times New Roman" w:hAnsi="Times New Roman"/>
                  <w:color w:val="000000"/>
                  <w:sz w:val="20"/>
                  <w:vertAlign w:val="superscript"/>
                </w:rPr>
                <w:t>162</w:t>
              </w:r>
            </w:hyperlink>
          </w:p>
        </w:tc>
        <w:tc>
          <w:tcPr>
            <w:vAlign w:val="top"/>
          </w:tcPr>
          <w:p>
            <w:pPr>
              <w:pBdr>
                <w:bottom w:val="none" w:space="8"/>
              </w:pBdr>
              <w:spacing w:before="0" w:after="0" w:line="275" w:lineRule="atLeast"/>
              <w:jc w:val="both"/>
            </w:pPr>
            <w:r>
              <w:rPr>
                <w:rFonts w:ascii="Times New Roman" w:hAnsi="Times New Roman"/>
                <w:color w:val="000000"/>
                <w:sz w:val="20"/>
              </w:rPr>
              <w:t>JX-2107 at 55-56.</w:t>
            </w:r>
          </w:p>
        </w:tc>
      </w:tr>
      <w:tr>
        <w:tblPrEx/>
        <w:trPr/>
        <w:tc>
          <w:tcPr>
            <w:vAlign w:val="top"/>
          </w:tcPr>
          <w:p>
            <w:pPr>
              <w:spacing w:before="0" w:after="0" w:line="275" w:lineRule="atLeast"/>
            </w:pPr>
            <w:hyperlink w:anchor="co_tablefootnote_163_1">
              <w:r>
                <w:rPr>
                  <w:rFonts w:ascii="Times New Roman" w:hAnsi="Times New Roman"/>
                  <w:color w:val="000000"/>
                  <w:sz w:val="20"/>
                  <w:vertAlign w:val="superscript"/>
                </w:rPr>
                <w:t>163</w:t>
              </w:r>
            </w:hyperlink>
          </w:p>
        </w:tc>
        <w:tc>
          <w:tcPr>
            <w:vAlign w:val="top"/>
          </w:tcPr>
          <w:p>
            <w:pPr>
              <w:pBdr>
                <w:bottom w:val="none" w:space="8"/>
              </w:pBdr>
              <w:spacing w:before="0" w:after="0" w:line="275" w:lineRule="atLeast"/>
              <w:jc w:val="both"/>
            </w:pPr>
            <w:r>
              <w:rPr>
                <w:rFonts w:ascii="Times New Roman" w:hAnsi="Times New Roman"/>
                <w:color w:val="000000"/>
                <w:sz w:val="20"/>
              </w:rPr>
              <w:t>JX-3552 at 55.</w:t>
            </w:r>
          </w:p>
        </w:tc>
      </w:tr>
      <w:tr>
        <w:tblPrEx/>
        <w:trPr/>
        <w:tc>
          <w:tcPr>
            <w:vAlign w:val="top"/>
          </w:tcPr>
          <w:p>
            <w:pPr>
              <w:spacing w:before="0" w:after="0" w:line="275" w:lineRule="atLeast"/>
            </w:pPr>
            <w:hyperlink w:anchor="co_tablefootnote_164_1">
              <w:r>
                <w:rPr>
                  <w:rFonts w:ascii="Times New Roman" w:hAnsi="Times New Roman"/>
                  <w:color w:val="000000"/>
                  <w:sz w:val="20"/>
                  <w:vertAlign w:val="superscript"/>
                </w:rPr>
                <w:t>164</w:t>
              </w:r>
            </w:hyperlink>
          </w:p>
        </w:tc>
        <w:tc>
          <w:tcPr>
            <w:vAlign w:val="top"/>
          </w:tcPr>
          <w:p>
            <w:pPr>
              <w:pBdr>
                <w:bottom w:val="none" w:space="8"/>
              </w:pBdr>
              <w:spacing w:before="0" w:after="0" w:line="275" w:lineRule="atLeast"/>
              <w:jc w:val="both"/>
            </w:pPr>
            <w:r>
              <w:rPr>
                <w:rFonts w:ascii="Times New Roman" w:hAnsi="Times New Roman"/>
                <w:color w:val="000000"/>
                <w:sz w:val="20"/>
              </w:rPr>
              <w:t>JX-3516.</w:t>
            </w:r>
          </w:p>
        </w:tc>
      </w:tr>
      <w:tr>
        <w:tblPrEx/>
        <w:trPr/>
        <w:tc>
          <w:tcPr>
            <w:vAlign w:val="top"/>
          </w:tcPr>
          <w:p>
            <w:pPr>
              <w:spacing w:before="0" w:after="0" w:line="275" w:lineRule="atLeast"/>
            </w:pPr>
            <w:hyperlink w:anchor="co_tablefootnote_165_1">
              <w:r>
                <w:rPr>
                  <w:rFonts w:ascii="Times New Roman" w:hAnsi="Times New Roman"/>
                  <w:color w:val="000000"/>
                  <w:sz w:val="20"/>
                  <w:vertAlign w:val="superscript"/>
                </w:rPr>
                <w:t>165</w:t>
              </w:r>
            </w:hyperlink>
          </w:p>
        </w:tc>
        <w:tc>
          <w:tcPr>
            <w:vAlign w:val="top"/>
          </w:tcPr>
          <w:p>
            <w:pPr>
              <w:pBdr>
                <w:bottom w:val="none" w:space="8"/>
              </w:pBdr>
              <w:spacing w:before="0" w:after="0" w:line="275" w:lineRule="atLeast"/>
              <w:jc w:val="both"/>
            </w:pPr>
            <w:hyperlink r:id="r90">
              <w:r>
                <w:rPr>
                  <w:rFonts w:ascii="Times New Roman" w:hAnsi="Times New Roman"/>
                  <w:i/>
                  <w:color w:val="000000"/>
                  <w:sz w:val="20"/>
                </w:rPr>
                <w:t>Smith v. Van Gorkom,</w:t>
              </w:r>
              <w:r>
                <w:rPr>
                  <w:rFonts w:ascii="Times New Roman" w:hAnsi="Times New Roman"/>
                  <w:color w:val="000000"/>
                  <w:sz w:val="20"/>
                </w:rPr>
                <w:t xml:space="preserve"> 488 A.2d 858, 879 (Del. 1985)</w:t>
              </w:r>
            </w:hyperlink>
            <w:r>
              <w:rPr>
                <w:rFonts w:ascii="Times New Roman" w:hAnsi="Times New Roman"/>
                <w:color w:val="000000"/>
                <w:sz w:val="20"/>
              </w:rPr>
              <w:t xml:space="preserve"> (“It is a well established principle that the production of weak evidence when strong is, or should have been, available can lead only to the conclusion that the strong would have been adverse.”).</w:t>
            </w:r>
          </w:p>
        </w:tc>
      </w:tr>
      <w:tr>
        <w:tblPrEx/>
        <w:trPr/>
        <w:tc>
          <w:tcPr>
            <w:vAlign w:val="top"/>
          </w:tcPr>
          <w:p>
            <w:pPr>
              <w:spacing w:before="0" w:after="0" w:line="275" w:lineRule="atLeast"/>
            </w:pPr>
            <w:hyperlink w:anchor="co_tablefootnote_166_1">
              <w:r>
                <w:rPr>
                  <w:rFonts w:ascii="Times New Roman" w:hAnsi="Times New Roman"/>
                  <w:color w:val="000000"/>
                  <w:sz w:val="20"/>
                  <w:vertAlign w:val="superscript"/>
                </w:rPr>
                <w:t>166</w:t>
              </w:r>
            </w:hyperlink>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JX-3505 at 147:9-10 (Taylor-Direct).</w:t>
            </w:r>
          </w:p>
        </w:tc>
      </w:tr>
      <w:tr>
        <w:tblPrEx/>
        <w:trPr/>
        <w:tc>
          <w:tcPr>
            <w:vAlign w:val="top"/>
          </w:tcPr>
          <w:p>
            <w:pPr>
              <w:spacing w:before="0" w:after="0" w:line="275" w:lineRule="atLeast"/>
            </w:pPr>
            <w:hyperlink w:anchor="co_tablefootnote_167_1">
              <w:r>
                <w:rPr>
                  <w:rFonts w:ascii="Times New Roman" w:hAnsi="Times New Roman"/>
                  <w:color w:val="000000"/>
                  <w:sz w:val="20"/>
                  <w:vertAlign w:val="superscript"/>
                </w:rPr>
                <w:t>167</w:t>
              </w:r>
            </w:hyperlink>
          </w:p>
        </w:tc>
        <w:tc>
          <w:tcPr>
            <w:vAlign w:val="top"/>
          </w:tcPr>
          <w:p>
            <w:pPr>
              <w:pBdr>
                <w:bottom w:val="none" w:space="8"/>
              </w:pBdr>
              <w:spacing w:before="0" w:after="0" w:line="275" w:lineRule="atLeast"/>
              <w:jc w:val="both"/>
            </w:pPr>
            <w:r>
              <w:rPr>
                <w:rFonts w:ascii="Times New Roman" w:hAnsi="Times New Roman"/>
                <w:i/>
                <w:color w:val="000000"/>
                <w:sz w:val="20"/>
              </w:rPr>
              <w:t xml:space="preserve">Gesoffv. </w:t>
            </w:r>
            <w:hyperlink r:id="r91">
              <w:r>
                <w:rPr>
                  <w:rFonts w:ascii="Times New Roman" w:hAnsi="Times New Roman"/>
                  <w:i/>
                  <w:color w:val="000000"/>
                  <w:sz w:val="20"/>
                </w:rPr>
                <w:t>IIC Industries, Inc.,</w:t>
              </w:r>
              <w:r>
                <w:rPr>
                  <w:rFonts w:ascii="Times New Roman" w:hAnsi="Times New Roman"/>
                  <w:color w:val="000000"/>
                  <w:sz w:val="20"/>
                </w:rPr>
                <w:t xml:space="preserve"> 902 A.2d 1130, 1158 (Del. Ch. 2006)</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68_1">
              <w:r>
                <w:rPr>
                  <w:rFonts w:ascii="Times New Roman" w:hAnsi="Times New Roman"/>
                  <w:color w:val="000000"/>
                  <w:sz w:val="20"/>
                  <w:vertAlign w:val="superscript"/>
                </w:rPr>
                <w:t>168</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Del. R. of Evidence 702; </w:t>
            </w:r>
            <w:hyperlink r:id="r92">
              <w:r>
                <w:rPr>
                  <w:rFonts w:ascii="Times New Roman" w:hAnsi="Times New Roman"/>
                  <w:i/>
                  <w:color w:val="000000"/>
                  <w:sz w:val="20"/>
                </w:rPr>
                <w:t>Daubert v. Merrell Dow Pharmaceuticals, Inc.,</w:t>
              </w:r>
              <w:r>
                <w:rPr>
                  <w:rFonts w:ascii="Times New Roman" w:hAnsi="Times New Roman"/>
                  <w:color w:val="000000"/>
                  <w:sz w:val="20"/>
                </w:rPr>
                <w:t xml:space="preserve"> 509 U.S. 579 (1993)</w:t>
              </w:r>
            </w:hyperlink>
            <w:r>
              <w:rPr>
                <w:rFonts w:ascii="Times New Roman" w:hAnsi="Times New Roman"/>
                <w:color w:val="000000"/>
                <w:sz w:val="20"/>
              </w:rPr>
              <w:t xml:space="preserve">; </w:t>
            </w:r>
            <w:hyperlink r:id="r93">
              <w:r>
                <w:rPr>
                  <w:rFonts w:ascii="Times New Roman" w:hAnsi="Times New Roman"/>
                  <w:color w:val="000000"/>
                  <w:sz w:val="20"/>
                </w:rPr>
                <w:t xml:space="preserve">M.G. </w:t>
              </w:r>
              <w:r>
                <w:rPr>
                  <w:rFonts w:ascii="Times New Roman" w:hAnsi="Times New Roman"/>
                  <w:i/>
                  <w:color w:val="000000"/>
                  <w:sz w:val="20"/>
                </w:rPr>
                <w:t>Bancorporation, Inc. v. Le Beau,</w:t>
              </w:r>
              <w:r>
                <w:rPr>
                  <w:rFonts w:ascii="Times New Roman" w:hAnsi="Times New Roman"/>
                  <w:color w:val="000000"/>
                  <w:sz w:val="20"/>
                </w:rPr>
                <w:t xml:space="preserve"> 737 A.2d 513, 521-22 (Del. 1999)</w:t>
              </w:r>
            </w:hyperlink>
            <w:r>
              <w:rPr>
                <w:rFonts w:ascii="Times New Roman" w:hAnsi="Times New Roman"/>
                <w:color w:val="000000"/>
                <w:sz w:val="20"/>
              </w:rPr>
              <w:t xml:space="preserve"> (adopting “</w:t>
            </w:r>
            <w:r>
              <w:rPr>
                <w:rFonts w:ascii="Times New Roman" w:hAnsi="Times New Roman"/>
                <w:i/>
                <w:color w:val="000000"/>
                <w:sz w:val="20"/>
              </w:rPr>
              <w:t>Daubert</w:t>
            </w:r>
            <w:r>
              <w:rPr>
                <w:rFonts w:ascii="Times New Roman" w:hAnsi="Times New Roman"/>
                <w:color w:val="000000"/>
                <w:sz w:val="20"/>
              </w:rPr>
              <w:t xml:space="preserve"> ... as the correct interpretation of </w:t>
            </w:r>
            <w:hyperlink r:id="r94">
              <w:r>
                <w:rPr>
                  <w:rFonts w:ascii="Times New Roman" w:hAnsi="Times New Roman"/>
                  <w:color w:val="000000"/>
                  <w:sz w:val="20"/>
                </w:rPr>
                <w:t>Delaware Rule of Evidence 702</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69_1">
              <w:r>
                <w:rPr>
                  <w:rFonts w:ascii="Times New Roman" w:hAnsi="Times New Roman"/>
                  <w:color w:val="000000"/>
                  <w:sz w:val="20"/>
                  <w:vertAlign w:val="superscript"/>
                </w:rPr>
                <w:t>169</w:t>
              </w:r>
            </w:hyperlink>
          </w:p>
        </w:tc>
        <w:tc>
          <w:tcPr>
            <w:vAlign w:val="top"/>
          </w:tcPr>
          <w:p>
            <w:pPr>
              <w:pBdr>
                <w:bottom w:val="none" w:space="8"/>
              </w:pBdr>
              <w:spacing w:before="0" w:after="0" w:line="275" w:lineRule="atLeast"/>
              <w:jc w:val="both"/>
            </w:pPr>
            <w:hyperlink r:id="r95">
              <w:r>
                <w:rPr>
                  <w:rFonts w:ascii="Times New Roman" w:hAnsi="Times New Roman"/>
                  <w:i/>
                  <w:color w:val="000000"/>
                  <w:sz w:val="20"/>
                </w:rPr>
                <w:t>Beard Research, Inc. v. Kates,</w:t>
              </w:r>
              <w:r>
                <w:rPr>
                  <w:rFonts w:ascii="Times New Roman" w:hAnsi="Times New Roman"/>
                  <w:color w:val="000000"/>
                  <w:sz w:val="20"/>
                </w:rPr>
                <w:t xml:space="preserve"> 2009 WL 7409282, *6 (Del. Ch. Mar. 31, 2009)</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70_1">
              <w:r>
                <w:rPr>
                  <w:rFonts w:ascii="Times New Roman" w:hAnsi="Times New Roman"/>
                  <w:color w:val="000000"/>
                  <w:sz w:val="20"/>
                  <w:vertAlign w:val="superscript"/>
                </w:rPr>
                <w:t>170</w:t>
              </w:r>
            </w:hyperlink>
          </w:p>
        </w:tc>
        <w:tc>
          <w:tcPr>
            <w:vAlign w:val="top"/>
          </w:tcPr>
          <w:p>
            <w:pPr>
              <w:pBdr>
                <w:bottom w:val="none" w:space="8"/>
              </w:pBdr>
              <w:spacing w:before="0" w:after="0" w:line="275" w:lineRule="atLeast"/>
              <w:jc w:val="both"/>
            </w:pPr>
            <w:r>
              <w:rPr>
                <w:rFonts w:ascii="Times New Roman" w:hAnsi="Times New Roman"/>
                <w:i/>
                <w:color w:val="000000"/>
                <w:sz w:val="20"/>
              </w:rPr>
              <w:t xml:space="preserve">Id., see also, e.g., </w:t>
            </w:r>
            <w:hyperlink r:id="r96">
              <w:r>
                <w:rPr>
                  <w:rFonts w:ascii="Times New Roman" w:hAnsi="Times New Roman"/>
                  <w:i/>
                  <w:color w:val="000000"/>
                  <w:sz w:val="20"/>
                </w:rPr>
                <w:t>Kansas City Southern Railway Co. v. Sny Island Levee Drainage District,</w:t>
              </w:r>
              <w:r>
                <w:rPr>
                  <w:rFonts w:ascii="Times New Roman" w:hAnsi="Times New Roman"/>
                  <w:color w:val="000000"/>
                  <w:sz w:val="20"/>
                </w:rPr>
                <w:t xml:space="preserve"> 831 F.3d 892, 900 (7th Cir. 2016)</w:t>
              </w:r>
            </w:hyperlink>
            <w:r>
              <w:rPr>
                <w:rFonts w:ascii="Times New Roman" w:hAnsi="Times New Roman"/>
                <w:color w:val="000000"/>
                <w:sz w:val="20"/>
              </w:rPr>
              <w:t xml:space="preserve"> (“Where a trial judge conducts a bench trial, the judge need not conduct a </w:t>
            </w:r>
            <w:r>
              <w:rPr>
                <w:rFonts w:ascii="Times New Roman" w:hAnsi="Times New Roman"/>
                <w:i/>
                <w:color w:val="000000"/>
                <w:sz w:val="20"/>
              </w:rPr>
              <w:t>Daubert</w:t>
            </w:r>
            <w:r>
              <w:rPr>
                <w:rFonts w:ascii="Times New Roman" w:hAnsi="Times New Roman"/>
                <w:color w:val="000000"/>
                <w:sz w:val="20"/>
              </w:rPr>
              <w:t xml:space="preserve"> (or </w:t>
            </w:r>
            <w:hyperlink r:id="r97">
              <w:r>
                <w:rPr>
                  <w:rFonts w:ascii="Times New Roman" w:hAnsi="Times New Roman"/>
                  <w:color w:val="000000"/>
                  <w:sz w:val="20"/>
                </w:rPr>
                <w:t>Rule 702</w:t>
              </w:r>
            </w:hyperlink>
            <w:r>
              <w:rPr>
                <w:rFonts w:ascii="Times New Roman" w:hAnsi="Times New Roman"/>
                <w:color w:val="000000"/>
                <w:sz w:val="20"/>
              </w:rPr>
              <w:t>) analysis before presentation of the evidence, even though he must determine admissibility at some point.”).</w:t>
            </w:r>
          </w:p>
        </w:tc>
      </w:tr>
      <w:tr>
        <w:tblPrEx/>
        <w:trPr/>
        <w:tc>
          <w:tcPr>
            <w:vAlign w:val="top"/>
          </w:tcPr>
          <w:p>
            <w:pPr>
              <w:spacing w:before="0" w:after="0" w:line="275" w:lineRule="atLeast"/>
            </w:pPr>
            <w:hyperlink w:anchor="co_tablefootnote_171_1">
              <w:r>
                <w:rPr>
                  <w:rFonts w:ascii="Times New Roman" w:hAnsi="Times New Roman"/>
                  <w:color w:val="000000"/>
                  <w:sz w:val="20"/>
                  <w:vertAlign w:val="superscript"/>
                </w:rPr>
                <w:t>171</w:t>
              </w:r>
            </w:hyperlink>
          </w:p>
        </w:tc>
        <w:tc>
          <w:tcPr>
            <w:vAlign w:val="top"/>
          </w:tcPr>
          <w:p>
            <w:pPr>
              <w:pBdr>
                <w:bottom w:val="none" w:space="8"/>
              </w:pBdr>
              <w:spacing w:before="0" w:after="0" w:line="275" w:lineRule="atLeast"/>
              <w:jc w:val="both"/>
            </w:pPr>
            <w:r>
              <w:rPr>
                <w:rFonts w:ascii="Times New Roman" w:hAnsi="Times New Roman"/>
                <w:color w:val="000000"/>
                <w:sz w:val="20"/>
              </w:rPr>
              <w:t>Tr. 891:20-892:4 (Taylor-Cross).</w:t>
            </w:r>
          </w:p>
        </w:tc>
      </w:tr>
      <w:tr>
        <w:tblPrEx/>
        <w:trPr/>
        <w:tc>
          <w:tcPr>
            <w:vAlign w:val="top"/>
          </w:tcPr>
          <w:p>
            <w:pPr>
              <w:spacing w:before="0" w:after="0" w:line="275" w:lineRule="atLeast"/>
            </w:pPr>
            <w:hyperlink w:anchor="co_tablefootnote_172_1">
              <w:r>
                <w:rPr>
                  <w:rFonts w:ascii="Times New Roman" w:hAnsi="Times New Roman"/>
                  <w:color w:val="000000"/>
                  <w:sz w:val="20"/>
                  <w:vertAlign w:val="superscript"/>
                </w:rPr>
                <w:t>172</w:t>
              </w:r>
            </w:hyperlink>
          </w:p>
        </w:tc>
        <w:tc>
          <w:tcPr>
            <w:vAlign w:val="top"/>
          </w:tcPr>
          <w:p>
            <w:pPr>
              <w:pBdr>
                <w:bottom w:val="none" w:space="8"/>
              </w:pBdr>
              <w:spacing w:before="0" w:after="0" w:line="275" w:lineRule="atLeast"/>
              <w:jc w:val="both"/>
            </w:pPr>
            <w:r>
              <w:rPr>
                <w:rFonts w:ascii="Times New Roman" w:hAnsi="Times New Roman"/>
                <w:i/>
                <w:color w:val="000000"/>
                <w:sz w:val="20"/>
              </w:rPr>
              <w:t>Compare</w:t>
            </w:r>
            <w:r>
              <w:rPr>
                <w:rFonts w:ascii="Times New Roman" w:hAnsi="Times New Roman"/>
                <w:color w:val="000000"/>
                <w:sz w:val="20"/>
              </w:rPr>
              <w:t xml:space="preserve"> JX2636 at 6 </w:t>
            </w:r>
            <w:r>
              <w:rPr>
                <w:rFonts w:ascii="Times New Roman" w:hAnsi="Times New Roman"/>
                <w:i/>
                <w:color w:val="000000"/>
                <w:sz w:val="20"/>
              </w:rPr>
              <w:t>with</w:t>
            </w:r>
            <w:r>
              <w:rPr>
                <w:rFonts w:ascii="Times New Roman" w:hAnsi="Times New Roman"/>
                <w:color w:val="000000"/>
                <w:sz w:val="20"/>
              </w:rPr>
              <w:t xml:space="preserve"> JX-3594 (2010) and JX-3595 (2011); </w:t>
            </w:r>
            <w:r>
              <w:rPr>
                <w:rFonts w:ascii="Times New Roman" w:hAnsi="Times New Roman"/>
                <w:i/>
                <w:color w:val="000000"/>
                <w:sz w:val="20"/>
              </w:rPr>
              <w:t>see also</w:t>
            </w:r>
            <w:r>
              <w:rPr>
                <w:rFonts w:ascii="Times New Roman" w:hAnsi="Times New Roman"/>
                <w:color w:val="000000"/>
                <w:sz w:val="20"/>
              </w:rPr>
              <w:t xml:space="preserve"> Tr: 890:24-891:16, </w:t>
            </w:r>
            <w:r>
              <w:rPr>
                <w:rFonts w:ascii="Times New Roman" w:hAnsi="Times New Roman"/>
                <w:i/>
                <w:color w:val="000000"/>
                <w:sz w:val="20"/>
              </w:rPr>
              <w:t>id.</w:t>
            </w:r>
            <w:r>
              <w:rPr>
                <w:rFonts w:ascii="Times New Roman" w:hAnsi="Times New Roman"/>
                <w:color w:val="000000"/>
                <w:sz w:val="20"/>
              </w:rPr>
              <w:t xml:space="preserve"> 905:1-6 (Taylor-Cross).</w:t>
            </w:r>
          </w:p>
        </w:tc>
      </w:tr>
      <w:tr>
        <w:tblPrEx/>
        <w:trPr/>
        <w:tc>
          <w:tcPr>
            <w:vAlign w:val="top"/>
          </w:tcPr>
          <w:p>
            <w:pPr>
              <w:spacing w:before="0" w:after="0" w:line="275" w:lineRule="atLeast"/>
            </w:pPr>
            <w:hyperlink w:anchor="co_tablefootnote_173_1">
              <w:r>
                <w:rPr>
                  <w:rFonts w:ascii="Times New Roman" w:hAnsi="Times New Roman"/>
                  <w:color w:val="000000"/>
                  <w:sz w:val="20"/>
                  <w:vertAlign w:val="superscript"/>
                </w:rPr>
                <w:t>173</w:t>
              </w:r>
            </w:hyperlink>
          </w:p>
        </w:tc>
        <w:tc>
          <w:tcPr>
            <w:vAlign w:val="top"/>
          </w:tcPr>
          <w:p>
            <w:pPr>
              <w:pBdr>
                <w:bottom w:val="none" w:space="8"/>
              </w:pBdr>
              <w:spacing w:before="0" w:after="0" w:line="275" w:lineRule="atLeast"/>
              <w:jc w:val="both"/>
            </w:pPr>
            <w:r>
              <w:rPr>
                <w:rFonts w:ascii="Times New Roman" w:hAnsi="Times New Roman"/>
                <w:color w:val="000000"/>
                <w:sz w:val="20"/>
              </w:rPr>
              <w:t>Tr. 904:12-905:6 (Taylor-Cross).</w:t>
            </w:r>
          </w:p>
        </w:tc>
      </w:tr>
      <w:tr>
        <w:tblPrEx/>
        <w:trPr/>
        <w:tc>
          <w:tcPr>
            <w:vAlign w:val="top"/>
          </w:tcPr>
          <w:p>
            <w:pPr>
              <w:spacing w:before="0" w:after="0" w:line="275" w:lineRule="atLeast"/>
            </w:pPr>
            <w:hyperlink w:anchor="co_tablefootnote_174_1">
              <w:r>
                <w:rPr>
                  <w:rFonts w:ascii="Times New Roman" w:hAnsi="Times New Roman"/>
                  <w:color w:val="000000"/>
                  <w:sz w:val="20"/>
                  <w:vertAlign w:val="superscript"/>
                </w:rPr>
                <w:t>174</w:t>
              </w:r>
            </w:hyperlink>
          </w:p>
        </w:tc>
        <w:tc>
          <w:tcPr>
            <w:vAlign w:val="top"/>
          </w:tcPr>
          <w:p>
            <w:pPr>
              <w:pBdr>
                <w:bottom w:val="none" w:space="8"/>
              </w:pBdr>
              <w:spacing w:before="0" w:after="0" w:line="275" w:lineRule="atLeast"/>
              <w:jc w:val="both"/>
            </w:pPr>
            <w:r>
              <w:rPr>
                <w:rFonts w:ascii="Times New Roman" w:hAnsi="Times New Roman"/>
                <w:color w:val="000000"/>
                <w:sz w:val="20"/>
              </w:rPr>
              <w:t>Tr. 1321:9-1322:16 (Barrick-Direct).</w:t>
            </w:r>
          </w:p>
        </w:tc>
      </w:tr>
      <w:tr>
        <w:tblPrEx/>
        <w:trPr/>
        <w:tc>
          <w:tcPr>
            <w:vAlign w:val="top"/>
          </w:tcPr>
          <w:p>
            <w:pPr>
              <w:spacing w:before="0" w:after="0" w:line="275" w:lineRule="atLeast"/>
            </w:pPr>
            <w:hyperlink w:anchor="co_tablefootnote_175_1">
              <w:r>
                <w:rPr>
                  <w:rFonts w:ascii="Times New Roman" w:hAnsi="Times New Roman"/>
                  <w:color w:val="000000"/>
                  <w:sz w:val="20"/>
                  <w:vertAlign w:val="superscript"/>
                </w:rPr>
                <w:t>175</w:t>
              </w:r>
            </w:hyperlink>
          </w:p>
        </w:tc>
        <w:tc>
          <w:tcPr>
            <w:vAlign w:val="top"/>
          </w:tcPr>
          <w:p>
            <w:pPr>
              <w:pBdr>
                <w:bottom w:val="none" w:space="8"/>
              </w:pBdr>
              <w:spacing w:before="0" w:after="0" w:line="275" w:lineRule="atLeast"/>
              <w:jc w:val="both"/>
            </w:pPr>
            <w:r>
              <w:rPr>
                <w:rFonts w:ascii="Times New Roman" w:hAnsi="Times New Roman"/>
                <w:color w:val="000000"/>
                <w:sz w:val="20"/>
              </w:rPr>
              <w:t>JX-3505 at 242:1-245:2 (Taylor-Cross) (admitting her “judgmental add-back” was unsupported).</w:t>
            </w:r>
          </w:p>
        </w:tc>
      </w:tr>
      <w:tr>
        <w:tblPrEx/>
        <w:trPr/>
        <w:tc>
          <w:tcPr>
            <w:vAlign w:val="top"/>
          </w:tcPr>
          <w:p>
            <w:pPr>
              <w:spacing w:before="0" w:after="0" w:line="275" w:lineRule="atLeast"/>
            </w:pPr>
            <w:hyperlink w:anchor="co_tablefootnote_176_1">
              <w:r>
                <w:rPr>
                  <w:rFonts w:ascii="Times New Roman" w:hAnsi="Times New Roman"/>
                  <w:color w:val="000000"/>
                  <w:sz w:val="20"/>
                  <w:vertAlign w:val="superscript"/>
                </w:rPr>
                <w:t>176</w:t>
              </w:r>
            </w:hyperlink>
          </w:p>
        </w:tc>
        <w:tc>
          <w:tcPr>
            <w:vAlign w:val="top"/>
          </w:tcPr>
          <w:p>
            <w:pPr>
              <w:pBdr>
                <w:bottom w:val="none" w:space="8"/>
              </w:pBdr>
              <w:spacing w:before="0" w:after="0" w:line="275" w:lineRule="atLeast"/>
              <w:jc w:val="both"/>
            </w:pPr>
            <w:hyperlink r:id="r98">
              <w:r>
                <w:rPr>
                  <w:rFonts w:ascii="Times New Roman" w:hAnsi="Times New Roman"/>
                  <w:i/>
                  <w:color w:val="000000"/>
                  <w:sz w:val="20"/>
                </w:rPr>
                <w:t>AT&amp;T Mtobility,</w:t>
              </w:r>
              <w:r>
                <w:rPr>
                  <w:rFonts w:ascii="Times New Roman" w:hAnsi="Times New Roman"/>
                  <w:color w:val="000000"/>
                  <w:sz w:val="20"/>
                </w:rPr>
                <w:t xml:space="preserve"> 2013 WL 3865099 at *4</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77_1">
              <w:r>
                <w:rPr>
                  <w:rFonts w:ascii="Times New Roman" w:hAnsi="Times New Roman"/>
                  <w:color w:val="000000"/>
                  <w:sz w:val="20"/>
                  <w:vertAlign w:val="superscript"/>
                </w:rPr>
                <w:t>177</w:t>
              </w:r>
            </w:hyperlink>
          </w:p>
        </w:tc>
        <w:tc>
          <w:tcPr>
            <w:vAlign w:val="top"/>
          </w:tcPr>
          <w:p>
            <w:pPr>
              <w:pBdr>
                <w:bottom w:val="none" w:space="8"/>
              </w:pBdr>
              <w:spacing w:before="0" w:after="0" w:line="275" w:lineRule="atLeast"/>
              <w:jc w:val="both"/>
            </w:pPr>
            <w:r>
              <w:rPr>
                <w:rFonts w:ascii="Times New Roman" w:hAnsi="Times New Roman"/>
                <w:color w:val="000000"/>
                <w:sz w:val="20"/>
              </w:rPr>
              <w:t>JX-2636 at 6 (identifying “size premium risk factors” of risk of competition from Leap and Metro for all Partnerships except for Bradenton, Melbourne and Sarasota).</w:t>
            </w:r>
          </w:p>
        </w:tc>
      </w:tr>
      <w:tr>
        <w:tblPrEx/>
        <w:trPr/>
        <w:tc>
          <w:tcPr>
            <w:vAlign w:val="top"/>
          </w:tcPr>
          <w:p>
            <w:pPr>
              <w:spacing w:before="0" w:after="0" w:line="275" w:lineRule="atLeast"/>
            </w:pPr>
            <w:hyperlink w:anchor="co_tablefootnote_178_1">
              <w:r>
                <w:rPr>
                  <w:rFonts w:ascii="Times New Roman" w:hAnsi="Times New Roman"/>
                  <w:color w:val="000000"/>
                  <w:sz w:val="20"/>
                  <w:vertAlign w:val="superscript"/>
                </w:rPr>
                <w:t>178</w:t>
              </w:r>
            </w:hyperlink>
          </w:p>
        </w:tc>
        <w:tc>
          <w:tcPr>
            <w:vAlign w:val="top"/>
          </w:tcPr>
          <w:p>
            <w:pPr>
              <w:pBdr>
                <w:bottom w:val="none" w:space="8"/>
              </w:pBdr>
              <w:spacing w:before="0" w:after="0" w:line="275" w:lineRule="atLeast"/>
              <w:jc w:val="both"/>
            </w:pPr>
            <w:hyperlink r:id="r99">
              <w:r>
                <w:rPr>
                  <w:rFonts w:ascii="Times New Roman" w:hAnsi="Times New Roman"/>
                  <w:i/>
                  <w:color w:val="000000"/>
                  <w:sz w:val="20"/>
                </w:rPr>
                <w:t>Delaware Open MRI,</w:t>
              </w:r>
              <w:r>
                <w:rPr>
                  <w:rFonts w:ascii="Times New Roman" w:hAnsi="Times New Roman"/>
                  <w:color w:val="000000"/>
                  <w:sz w:val="20"/>
                </w:rPr>
                <w:t xml:space="preserve"> 898 A.2d 290 at 339</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79_1">
              <w:r>
                <w:rPr>
                  <w:rFonts w:ascii="Times New Roman" w:hAnsi="Times New Roman"/>
                  <w:color w:val="000000"/>
                  <w:sz w:val="20"/>
                  <w:vertAlign w:val="superscript"/>
                </w:rPr>
                <w:t>179</w:t>
              </w:r>
            </w:hyperlink>
          </w:p>
        </w:tc>
        <w:tc>
          <w:tcPr>
            <w:vAlign w:val="top"/>
          </w:tcPr>
          <w:p>
            <w:pPr>
              <w:pBdr>
                <w:bottom w:val="none" w:space="8"/>
              </w:pBdr>
              <w:spacing w:before="0" w:after="0" w:line="275" w:lineRule="atLeast"/>
              <w:jc w:val="both"/>
            </w:pPr>
            <w:r>
              <w:rPr>
                <w:rFonts w:ascii="Times New Roman" w:hAnsi="Times New Roman"/>
                <w:i/>
                <w:color w:val="000000"/>
                <w:sz w:val="20"/>
              </w:rPr>
              <w:t xml:space="preserve">Gesoffv. </w:t>
            </w:r>
            <w:hyperlink r:id="r100">
              <w:r>
                <w:rPr>
                  <w:rFonts w:ascii="Times New Roman" w:hAnsi="Times New Roman"/>
                  <w:i/>
                  <w:color w:val="000000"/>
                  <w:sz w:val="20"/>
                </w:rPr>
                <w:t>IIC Industries, Inc.,</w:t>
              </w:r>
              <w:r>
                <w:rPr>
                  <w:rFonts w:ascii="Times New Roman" w:hAnsi="Times New Roman"/>
                  <w:color w:val="000000"/>
                  <w:sz w:val="20"/>
                </w:rPr>
                <w:t xml:space="preserve"> 902 A.2d 1130, 1159 (Del. Ch. 2006)</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80_1">
              <w:r>
                <w:rPr>
                  <w:rFonts w:ascii="Times New Roman" w:hAnsi="Times New Roman"/>
                  <w:color w:val="000000"/>
                  <w:sz w:val="20"/>
                  <w:vertAlign w:val="superscript"/>
                </w:rPr>
                <w:t>180</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“A discount rate cannot and is not meant to be a receptacle for all your hopes and fears, a number that you can tweak until you get to your comfort zone.” Aswath Damodaran, </w:t>
            </w:r>
            <w:r>
              <w:rPr>
                <w:rFonts w:ascii="Times New Roman" w:hAnsi="Times New Roman"/>
                <w:i/>
                <w:color w:val="000000"/>
                <w:sz w:val="20"/>
              </w:rPr>
              <w:t>The Small Cap Premium: Where is the beef?</w:t>
            </w:r>
            <w:r>
              <w:rPr>
                <w:rFonts w:ascii="Times New Roman" w:hAnsi="Times New Roman"/>
                <w:color w:val="000000"/>
                <w:sz w:val="20"/>
              </w:rPr>
              <w:t xml:space="preserve"> Musings on Markets (Apr. 11, 2015) (available at http://aswathdamodaran.blogspot.com/2015/04/the-small-cap-premium-fact-fiction-and.html).</w:t>
            </w:r>
          </w:p>
        </w:tc>
      </w:tr>
      <w:tr>
        <w:tblPrEx/>
        <w:trPr/>
        <w:tc>
          <w:tcPr>
            <w:vAlign w:val="top"/>
          </w:tcPr>
          <w:p>
            <w:pPr>
              <w:spacing w:before="0" w:after="0" w:line="275" w:lineRule="atLeast"/>
            </w:pPr>
            <w:hyperlink w:anchor="co_tablefootnote_181_1">
              <w:r>
                <w:rPr>
                  <w:rFonts w:ascii="Times New Roman" w:hAnsi="Times New Roman"/>
                  <w:color w:val="000000"/>
                  <w:sz w:val="20"/>
                  <w:vertAlign w:val="superscript"/>
                </w:rPr>
                <w:t>181</w:t>
              </w:r>
            </w:hyperlink>
          </w:p>
        </w:tc>
        <w:tc>
          <w:tcPr>
            <w:vAlign w:val="top"/>
          </w:tcPr>
          <w:p>
            <w:pPr>
              <w:pBdr>
                <w:bottom w:val="none" w:space="8"/>
              </w:pBdr>
              <w:spacing w:before="0" w:after="0" w:line="275" w:lineRule="atLeast"/>
              <w:jc w:val="both"/>
            </w:pPr>
            <w:r>
              <w:rPr>
                <w:rFonts w:ascii="Times New Roman" w:hAnsi="Times New Roman"/>
                <w:color w:val="000000"/>
                <w:sz w:val="20"/>
              </w:rPr>
              <w:t>Tr. 889:12-17 (Taylor-Cross) (“Q. Well, I'm just trying to understand how you're calling it. Did you define the “Weather/Acts of God” anywhere? A. No, that's just a -- it says it's in footnote 2 what it is, like hurricanes, tornadoes, earthquakes, propensity for those sorts of things.”).</w:t>
            </w:r>
          </w:p>
        </w:tc>
      </w:tr>
      <w:tr>
        <w:tblPrEx/>
        <w:trPr/>
        <w:tc>
          <w:tcPr>
            <w:vAlign w:val="top"/>
          </w:tcPr>
          <w:p>
            <w:pPr>
              <w:spacing w:before="0" w:after="0" w:line="275" w:lineRule="atLeast"/>
            </w:pPr>
            <w:hyperlink w:anchor="co_tablefootnote_182_1">
              <w:r>
                <w:rPr>
                  <w:rFonts w:ascii="Times New Roman" w:hAnsi="Times New Roman"/>
                  <w:color w:val="000000"/>
                  <w:sz w:val="20"/>
                  <w:vertAlign w:val="superscript"/>
                </w:rPr>
                <w:t>182</w:t>
              </w:r>
            </w:hyperlink>
          </w:p>
        </w:tc>
        <w:tc>
          <w:tcPr>
            <w:vAlign w:val="top"/>
          </w:tcPr>
          <w:p>
            <w:pPr>
              <w:pBdr>
                <w:bottom w:val="none" w:space="8"/>
              </w:pBdr>
              <w:spacing w:before="0" w:after="0" w:line="275" w:lineRule="atLeast"/>
              <w:jc w:val="both"/>
            </w:pPr>
            <w:r>
              <w:rPr>
                <w:rFonts w:ascii="Times New Roman" w:hAnsi="Times New Roman"/>
                <w:i/>
                <w:color w:val="000000"/>
                <w:sz w:val="20"/>
              </w:rPr>
              <w:t>See generally</w:t>
            </w:r>
            <w:r>
              <w:rPr>
                <w:rFonts w:ascii="Times New Roman" w:hAnsi="Times New Roman"/>
                <w:color w:val="000000"/>
                <w:sz w:val="20"/>
              </w:rPr>
              <w:t xml:space="preserve"> JX-2463 (Taylor Opening Report), JX-2467 (Taylor Rebuttal Report), JX-3594 (Ibbotson 2010 size premium excerpt); JX-3595 (Ibbotson 2011 size premium excerpt).</w:t>
            </w:r>
          </w:p>
        </w:tc>
      </w:tr>
      <w:tr>
        <w:tblPrEx/>
        <w:trPr/>
        <w:tc>
          <w:tcPr>
            <w:vAlign w:val="top"/>
          </w:tcPr>
          <w:p>
            <w:pPr>
              <w:spacing w:before="0" w:after="0" w:line="275" w:lineRule="atLeast"/>
            </w:pPr>
            <w:hyperlink w:anchor="co_tablefootnote_183_1">
              <w:r>
                <w:rPr>
                  <w:rFonts w:ascii="Times New Roman" w:hAnsi="Times New Roman"/>
                  <w:color w:val="000000"/>
                  <w:sz w:val="20"/>
                  <w:vertAlign w:val="superscript"/>
                </w:rPr>
                <w:t>183</w:t>
              </w:r>
            </w:hyperlink>
          </w:p>
        </w:tc>
        <w:tc>
          <w:tcPr>
            <w:vAlign w:val="top"/>
          </w:tcPr>
          <w:p>
            <w:pPr>
              <w:pBdr>
                <w:bottom w:val="none" w:space="8"/>
              </w:pBdr>
              <w:spacing w:before="0" w:after="0" w:line="275" w:lineRule="atLeast"/>
              <w:jc w:val="both"/>
            </w:pPr>
            <w:r>
              <w:rPr>
                <w:rFonts w:ascii="Times New Roman" w:hAnsi="Times New Roman"/>
                <w:color w:val="000000"/>
                <w:sz w:val="20"/>
              </w:rPr>
              <w:t>Tr. 895:10-17 (Taylor-Cross).</w:t>
            </w:r>
          </w:p>
        </w:tc>
      </w:tr>
      <w:tr>
        <w:tblPrEx/>
        <w:trPr/>
        <w:tc>
          <w:tcPr>
            <w:vAlign w:val="top"/>
          </w:tcPr>
          <w:p>
            <w:pPr>
              <w:spacing w:before="0" w:after="0" w:line="275" w:lineRule="atLeast"/>
            </w:pPr>
            <w:hyperlink w:anchor="co_tablefootnote_184_1">
              <w:r>
                <w:rPr>
                  <w:rFonts w:ascii="Times New Roman" w:hAnsi="Times New Roman"/>
                  <w:color w:val="000000"/>
                  <w:sz w:val="20"/>
                  <w:vertAlign w:val="superscript"/>
                </w:rPr>
                <w:t>184</w:t>
              </w:r>
            </w:hyperlink>
          </w:p>
        </w:tc>
        <w:tc>
          <w:tcPr>
            <w:vAlign w:val="top"/>
          </w:tcPr>
          <w:p>
            <w:pPr>
              <w:pBdr>
                <w:bottom w:val="none" w:space="8"/>
              </w:pBdr>
              <w:spacing w:before="0" w:after="0" w:line="275" w:lineRule="atLeast"/>
              <w:jc w:val="both"/>
            </w:pPr>
            <w:r>
              <w:rPr>
                <w:rFonts w:ascii="Times New Roman" w:hAnsi="Times New Roman"/>
                <w:i/>
                <w:color w:val="000000"/>
                <w:sz w:val="20"/>
              </w:rPr>
              <w:t>See generally</w:t>
            </w:r>
            <w:r>
              <w:rPr>
                <w:rFonts w:ascii="Times New Roman" w:hAnsi="Times New Roman"/>
                <w:color w:val="000000"/>
                <w:sz w:val="20"/>
              </w:rPr>
              <w:t xml:space="preserve"> JX-2463 (Taylor Opening Report), JX-2467 (Taylor Rebuttal Report), JX-3594 (Ibbotson 2010 size premium excerpt); JX-3595 (Ibbotson 2011 size premium excerpt).</w:t>
            </w:r>
          </w:p>
        </w:tc>
      </w:tr>
      <w:tr>
        <w:tblPrEx/>
        <w:trPr/>
        <w:tc>
          <w:tcPr>
            <w:vAlign w:val="top"/>
          </w:tcPr>
          <w:p>
            <w:pPr>
              <w:spacing w:before="0" w:after="0" w:line="275" w:lineRule="atLeast"/>
            </w:pPr>
            <w:hyperlink w:anchor="co_tablefootnote_185_1">
              <w:r>
                <w:rPr>
                  <w:rFonts w:ascii="Times New Roman" w:hAnsi="Times New Roman"/>
                  <w:color w:val="000000"/>
                  <w:sz w:val="20"/>
                  <w:vertAlign w:val="superscript"/>
                </w:rPr>
                <w:t>185</w:t>
              </w:r>
            </w:hyperlink>
          </w:p>
        </w:tc>
        <w:tc>
          <w:tcPr>
            <w:vAlign w:val="top"/>
          </w:tcPr>
          <w:p>
            <w:pPr>
              <w:pBdr>
                <w:bottom w:val="none" w:space="8"/>
              </w:pBdr>
              <w:spacing w:before="0" w:after="0" w:line="275" w:lineRule="atLeast"/>
              <w:jc w:val="both"/>
            </w:pPr>
            <w:r>
              <w:rPr>
                <w:rFonts w:ascii="Times New Roman" w:hAnsi="Times New Roman"/>
                <w:color w:val="000000"/>
                <w:sz w:val="20"/>
              </w:rPr>
              <w:t>Tr. 896:1-9 (Taylor-Cross) (“That's not in your report, is it? A. No. The additional information that I provided in testimony on what we actually -- what we did just wasn't mentioned in the report.”).</w:t>
            </w:r>
          </w:p>
        </w:tc>
      </w:tr>
      <w:tr>
        <w:tblPrEx/>
        <w:trPr/>
        <w:tc>
          <w:tcPr>
            <w:vAlign w:val="top"/>
          </w:tcPr>
          <w:p>
            <w:pPr>
              <w:spacing w:before="0" w:after="0" w:line="275" w:lineRule="atLeast"/>
            </w:pPr>
            <w:hyperlink w:anchor="co_tablefootnote_186_1">
              <w:r>
                <w:rPr>
                  <w:rFonts w:ascii="Times New Roman" w:hAnsi="Times New Roman"/>
                  <w:color w:val="000000"/>
                  <w:sz w:val="20"/>
                  <w:vertAlign w:val="superscript"/>
                </w:rPr>
                <w:t>186</w:t>
              </w:r>
            </w:hyperlink>
          </w:p>
        </w:tc>
        <w:tc>
          <w:tcPr>
            <w:vAlign w:val="top"/>
          </w:tcPr>
          <w:p>
            <w:pPr>
              <w:pBdr>
                <w:bottom w:val="none" w:space="8"/>
              </w:pBdr>
              <w:spacing w:before="0" w:after="0" w:line="275" w:lineRule="atLeast"/>
              <w:jc w:val="both"/>
            </w:pPr>
            <w:r>
              <w:rPr>
                <w:rFonts w:ascii="Times New Roman" w:hAnsi="Times New Roman"/>
                <w:color w:val="000000"/>
                <w:sz w:val="20"/>
              </w:rPr>
              <w:t>Tr. 896:18-897:2 (“We don't have any study in your report about what consequence the absence or presence of a dominant employer, as you define it, has on any of these areas that the partnerships operate, do we? A. Not specifically that, no.”).</w:t>
            </w:r>
          </w:p>
        </w:tc>
      </w:tr>
      <w:tr>
        <w:tblPrEx/>
        <w:trPr/>
        <w:tc>
          <w:tcPr>
            <w:vAlign w:val="top"/>
          </w:tcPr>
          <w:p>
            <w:pPr>
              <w:spacing w:before="0" w:after="0" w:line="275" w:lineRule="atLeast"/>
            </w:pPr>
            <w:hyperlink w:anchor="co_tablefootnote_187_1">
              <w:r>
                <w:rPr>
                  <w:rFonts w:ascii="Times New Roman" w:hAnsi="Times New Roman"/>
                  <w:color w:val="000000"/>
                  <w:sz w:val="20"/>
                  <w:vertAlign w:val="superscript"/>
                </w:rPr>
                <w:t>187</w:t>
              </w:r>
            </w:hyperlink>
          </w:p>
        </w:tc>
        <w:tc>
          <w:tcPr>
            <w:vAlign w:val="top"/>
          </w:tcPr>
          <w:p>
            <w:pPr>
              <w:pBdr>
                <w:bottom w:val="none" w:space="8"/>
              </w:pBdr>
              <w:spacing w:before="0" w:after="0" w:line="275" w:lineRule="atLeast"/>
              <w:jc w:val="both"/>
            </w:pPr>
            <w:r>
              <w:rPr>
                <w:rFonts w:ascii="Times New Roman" w:hAnsi="Times New Roman"/>
                <w:color w:val="000000"/>
                <w:sz w:val="20"/>
              </w:rPr>
              <w:t>JX-2636 at 6; Tr. 1322:13-1323:5 (Barrick-Direct) (“[M]aybe all of these would be specific company risks. They're not based on size. They're not size premium risk factors.... And you can see that her justification here, in some cases she thinks that, for example, Galveston has a triple threat. It has risk of all three of these. Whereas Bremerton only has one X here. But she used 3 percent for both of them. So I guess I don't understand how that's a consistent application. And it just, again, says to me this is not size, maybe it's specific company.”).</w:t>
            </w:r>
          </w:p>
        </w:tc>
      </w:tr>
      <w:tr>
        <w:tblPrEx/>
        <w:trPr/>
        <w:tc>
          <w:tcPr>
            <w:vAlign w:val="top"/>
          </w:tcPr>
          <w:p>
            <w:pPr>
              <w:spacing w:before="0" w:after="0" w:line="275" w:lineRule="atLeast"/>
            </w:pPr>
            <w:hyperlink w:anchor="co_tablefootnote_188_1">
              <w:r>
                <w:rPr>
                  <w:rFonts w:ascii="Times New Roman" w:hAnsi="Times New Roman"/>
                  <w:color w:val="000000"/>
                  <w:sz w:val="20"/>
                  <w:vertAlign w:val="superscript"/>
                </w:rPr>
                <w:t>188</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JX-2467 (Taylor Rebuttal Report) at 45-46; </w:t>
            </w:r>
            <w:r>
              <w:rPr>
                <w:rFonts w:ascii="Times New Roman" w:hAnsi="Times New Roman"/>
                <w:i/>
                <w:color w:val="000000"/>
                <w:sz w:val="20"/>
              </w:rPr>
              <w:t>see generally</w:t>
            </w:r>
            <w:r>
              <w:rPr>
                <w:rFonts w:ascii="Times New Roman" w:hAnsi="Times New Roman"/>
                <w:color w:val="000000"/>
                <w:sz w:val="20"/>
              </w:rPr>
              <w:t xml:space="preserve"> JX-2463 (Taylor Opening Report); </w:t>
            </w:r>
            <w:r>
              <w:rPr>
                <w:rFonts w:ascii="Times New Roman" w:hAnsi="Times New Roman"/>
                <w:i/>
                <w:color w:val="000000"/>
                <w:sz w:val="20"/>
              </w:rPr>
              <w:t>see also</w:t>
            </w:r>
            <w:r>
              <w:rPr>
                <w:rFonts w:ascii="Times New Roman" w:hAnsi="Times New Roman"/>
                <w:color w:val="000000"/>
                <w:sz w:val="20"/>
              </w:rPr>
              <w:t xml:space="preserve"> Tr. 901:4-7 (Taylor-Cross) (“Q. Now, that was one example, but, in fact, your rebuttal report doesn't have any other examples, right? A. I think none in the rebuttal report.”).</w:t>
            </w:r>
          </w:p>
        </w:tc>
      </w:tr>
      <w:tr>
        <w:tblPrEx/>
        <w:trPr/>
        <w:tc>
          <w:tcPr>
            <w:vAlign w:val="top"/>
          </w:tcPr>
          <w:p>
            <w:pPr>
              <w:spacing w:before="0" w:after="0" w:line="275" w:lineRule="atLeast"/>
            </w:pPr>
            <w:hyperlink w:anchor="co_tablefootnote_189_1">
              <w:r>
                <w:rPr>
                  <w:rFonts w:ascii="Times New Roman" w:hAnsi="Times New Roman"/>
                  <w:color w:val="000000"/>
                  <w:sz w:val="20"/>
                  <w:vertAlign w:val="superscript"/>
                </w:rPr>
                <w:t>189</w:t>
              </w:r>
            </w:hyperlink>
          </w:p>
        </w:tc>
        <w:tc>
          <w:tcPr>
            <w:vAlign w:val="top"/>
          </w:tcPr>
          <w:p>
            <w:pPr>
              <w:pBdr>
                <w:bottom w:val="none" w:space="8"/>
              </w:pBdr>
              <w:spacing w:before="0" w:after="0" w:line="275" w:lineRule="atLeast"/>
              <w:jc w:val="both"/>
            </w:pPr>
            <w:r>
              <w:rPr>
                <w:rFonts w:ascii="Times New Roman" w:hAnsi="Times New Roman"/>
                <w:color w:val="000000"/>
                <w:sz w:val="20"/>
              </w:rPr>
              <w:t>JX-1919 (PwC Galveston Profile Memo) at 17; JX-1040 (PwC Galveston Valuation) at 35.</w:t>
            </w:r>
          </w:p>
        </w:tc>
      </w:tr>
      <w:tr>
        <w:tblPrEx/>
        <w:trPr/>
        <w:tc>
          <w:tcPr>
            <w:vAlign w:val="top"/>
          </w:tcPr>
          <w:p>
            <w:pPr>
              <w:spacing w:before="0" w:after="0" w:line="275" w:lineRule="atLeast"/>
            </w:pPr>
            <w:hyperlink w:anchor="co_tablefootnote_190_1">
              <w:r>
                <w:rPr>
                  <w:rFonts w:ascii="Times New Roman" w:hAnsi="Times New Roman"/>
                  <w:color w:val="000000"/>
                  <w:sz w:val="20"/>
                  <w:vertAlign w:val="superscript"/>
                </w:rPr>
                <w:t>190</w:t>
              </w:r>
            </w:hyperlink>
          </w:p>
        </w:tc>
        <w:tc>
          <w:tcPr>
            <w:vAlign w:val="top"/>
          </w:tcPr>
          <w:p>
            <w:pPr>
              <w:pBdr>
                <w:bottom w:val="none" w:space="8"/>
              </w:pBdr>
              <w:spacing w:before="0" w:after="0" w:line="275" w:lineRule="atLeast"/>
              <w:jc w:val="both"/>
            </w:pPr>
            <w:r>
              <w:rPr>
                <w:rFonts w:ascii="Times New Roman" w:hAnsi="Times New Roman"/>
                <w:color w:val="000000"/>
                <w:sz w:val="20"/>
              </w:rPr>
              <w:t>JX-2469 at 28 (Taylor DCF: $284 million Taylor DCF w/o SSP: $391 million).</w:t>
            </w:r>
          </w:p>
        </w:tc>
      </w:tr>
      <w:tr>
        <w:tblPrEx/>
        <w:trPr/>
        <w:tc>
          <w:tcPr>
            <w:vAlign w:val="top"/>
          </w:tcPr>
          <w:p>
            <w:pPr>
              <w:spacing w:before="0" w:after="0" w:line="275" w:lineRule="atLeast"/>
            </w:pPr>
            <w:hyperlink w:anchor="co_tablefootnote_191_1">
              <w:r>
                <w:rPr>
                  <w:rFonts w:ascii="Times New Roman" w:hAnsi="Times New Roman"/>
                  <w:color w:val="000000"/>
                  <w:sz w:val="20"/>
                  <w:vertAlign w:val="superscript"/>
                </w:rPr>
                <w:t>191</w:t>
              </w:r>
            </w:hyperlink>
          </w:p>
        </w:tc>
        <w:tc>
          <w:tcPr>
            <w:vAlign w:val="top"/>
          </w:tcPr>
          <w:p>
            <w:pPr>
              <w:pBdr>
                <w:bottom w:val="none" w:space="8"/>
              </w:pBdr>
              <w:spacing w:before="0" w:after="0" w:line="275" w:lineRule="atLeast"/>
              <w:jc w:val="both"/>
            </w:pPr>
            <w:r>
              <w:rPr>
                <w:rFonts w:ascii="Times New Roman" w:hAnsi="Times New Roman"/>
                <w:color w:val="000000"/>
                <w:sz w:val="20"/>
              </w:rPr>
              <w:t>Neither did PwC, and both penalized Galveston for AT&amp;T's decision to self-insure the risk. Ms. Taylor is aware that insurance is available but did no research onthe price. Tr. 901:12-20.</w:t>
            </w:r>
          </w:p>
        </w:tc>
      </w:tr>
      <w:tr>
        <w:tblPrEx/>
        <w:trPr/>
        <w:tc>
          <w:tcPr>
            <w:vAlign w:val="top"/>
          </w:tcPr>
          <w:p>
            <w:pPr>
              <w:spacing w:before="0" w:after="0" w:line="275" w:lineRule="atLeast"/>
            </w:pPr>
            <w:hyperlink w:anchor="co_tablefootnote_192_1">
              <w:r>
                <w:rPr>
                  <w:rFonts w:ascii="Times New Roman" w:hAnsi="Times New Roman"/>
                  <w:color w:val="000000"/>
                  <w:sz w:val="20"/>
                  <w:vertAlign w:val="superscript"/>
                </w:rPr>
                <w:t>192</w:t>
              </w:r>
            </w:hyperlink>
          </w:p>
        </w:tc>
        <w:tc>
          <w:tcPr>
            <w:vAlign w:val="top"/>
          </w:tcPr>
          <w:p>
            <w:pPr>
              <w:pBdr>
                <w:bottom w:val="none" w:space="8"/>
              </w:pBdr>
              <w:spacing w:before="0" w:after="0" w:line="275" w:lineRule="atLeast"/>
              <w:jc w:val="both"/>
            </w:pPr>
            <w:hyperlink r:id="r101">
              <w:r>
                <w:rPr>
                  <w:rFonts w:ascii="Times New Roman" w:hAnsi="Times New Roman"/>
                  <w:i/>
                  <w:color w:val="000000"/>
                  <w:sz w:val="20"/>
                </w:rPr>
                <w:t>Emerging Commc'ns,</w:t>
              </w:r>
              <w:r>
                <w:rPr>
                  <w:rFonts w:ascii="Times New Roman" w:hAnsi="Times New Roman"/>
                  <w:color w:val="000000"/>
                  <w:sz w:val="20"/>
                </w:rPr>
                <w:t xml:space="preserve"> 2004 WL 1305745 at *21</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93_1">
              <w:r>
                <w:rPr>
                  <w:rFonts w:ascii="Times New Roman" w:hAnsi="Times New Roman"/>
                  <w:color w:val="000000"/>
                  <w:sz w:val="20"/>
                  <w:vertAlign w:val="superscript"/>
                </w:rPr>
                <w:t>193</w:t>
              </w:r>
            </w:hyperlink>
          </w:p>
        </w:tc>
        <w:tc>
          <w:tcPr>
            <w:vAlign w:val="top"/>
          </w:tcPr>
          <w:p>
            <w:pPr>
              <w:pBdr>
                <w:bottom w:val="none" w:space="8"/>
              </w:pBdr>
              <w:spacing w:before="0" w:after="0" w:line="275" w:lineRule="atLeast"/>
              <w:jc w:val="both"/>
            </w:pPr>
            <w:r>
              <w:rPr>
                <w:rFonts w:ascii="Times New Roman" w:hAnsi="Times New Roman"/>
                <w:i/>
                <w:color w:val="000000"/>
                <w:sz w:val="20"/>
              </w:rPr>
              <w:t>Id.</w:t>
            </w:r>
          </w:p>
        </w:tc>
      </w:tr>
      <w:tr>
        <w:tblPrEx/>
        <w:trPr/>
        <w:tc>
          <w:tcPr>
            <w:vAlign w:val="top"/>
          </w:tcPr>
          <w:p>
            <w:pPr>
              <w:spacing w:before="0" w:after="0" w:line="275" w:lineRule="atLeast"/>
            </w:pPr>
            <w:hyperlink w:anchor="co_tablefootnote_194_1">
              <w:r>
                <w:rPr>
                  <w:rFonts w:ascii="Times New Roman" w:hAnsi="Times New Roman"/>
                  <w:color w:val="000000"/>
                  <w:sz w:val="20"/>
                  <w:vertAlign w:val="superscript"/>
                </w:rPr>
                <w:t>194</w:t>
              </w:r>
            </w:hyperlink>
          </w:p>
        </w:tc>
        <w:tc>
          <w:tcPr>
            <w:vAlign w:val="top"/>
          </w:tcPr>
          <w:p>
            <w:pPr>
              <w:pBdr>
                <w:bottom w:val="none" w:space="8"/>
              </w:pBdr>
              <w:spacing w:before="0" w:after="0" w:line="275" w:lineRule="atLeast"/>
              <w:jc w:val="both"/>
            </w:pPr>
            <w:hyperlink r:id="r102">
              <w:r>
                <w:rPr>
                  <w:rFonts w:ascii="Times New Roman" w:hAnsi="Times New Roman"/>
                  <w:i/>
                  <w:color w:val="000000"/>
                  <w:sz w:val="20"/>
                </w:rPr>
                <w:t>Hillsboro Energy, LLC v. Secure Energy, Inc.,</w:t>
              </w:r>
              <w:r>
                <w:rPr>
                  <w:rFonts w:ascii="Times New Roman" w:hAnsi="Times New Roman"/>
                  <w:color w:val="000000"/>
                  <w:sz w:val="20"/>
                </w:rPr>
                <w:t xml:space="preserve"> 2008 WL 4561227, at *1 (Del. Ch. Oct. 3, 2008)</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95_1">
              <w:r>
                <w:rPr>
                  <w:rFonts w:ascii="Times New Roman" w:hAnsi="Times New Roman"/>
                  <w:color w:val="000000"/>
                  <w:sz w:val="20"/>
                  <w:vertAlign w:val="superscript"/>
                </w:rPr>
                <w:t>195</w:t>
              </w:r>
            </w:hyperlink>
          </w:p>
        </w:tc>
        <w:tc>
          <w:tcPr>
            <w:vAlign w:val="top"/>
          </w:tcPr>
          <w:p>
            <w:pPr>
              <w:pBdr>
                <w:bottom w:val="none" w:space="8"/>
              </w:pBdr>
              <w:spacing w:before="0" w:after="0" w:line="275" w:lineRule="atLeast"/>
              <w:jc w:val="both"/>
            </w:pPr>
            <w:r>
              <w:rPr>
                <w:rFonts w:ascii="Times New Roman" w:hAnsi="Times New Roman"/>
                <w:color w:val="000000"/>
                <w:sz w:val="20"/>
              </w:rPr>
              <w:t>Prickett Pls. Pretrial Br. at 9-11.</w:t>
            </w:r>
          </w:p>
        </w:tc>
      </w:tr>
      <w:tr>
        <w:tblPrEx/>
        <w:trPr/>
        <w:tc>
          <w:tcPr>
            <w:vAlign w:val="top"/>
          </w:tcPr>
          <w:p>
            <w:pPr>
              <w:spacing w:before="0" w:after="0" w:line="275" w:lineRule="atLeast"/>
            </w:pPr>
            <w:hyperlink w:anchor="co_tablefootnote_196_1">
              <w:r>
                <w:rPr>
                  <w:rFonts w:ascii="Times New Roman" w:hAnsi="Times New Roman"/>
                  <w:color w:val="000000"/>
                  <w:sz w:val="20"/>
                  <w:vertAlign w:val="superscript"/>
                </w:rPr>
                <w:t>196</w:t>
              </w:r>
            </w:hyperlink>
          </w:p>
        </w:tc>
        <w:tc>
          <w:tcPr>
            <w:vAlign w:val="top"/>
          </w:tcPr>
          <w:p>
            <w:pPr>
              <w:pBdr>
                <w:bottom w:val="none" w:space="8"/>
              </w:pBdr>
              <w:spacing w:before="0" w:after="0" w:line="275" w:lineRule="atLeast"/>
              <w:jc w:val="both"/>
            </w:pPr>
            <w:r>
              <w:rPr>
                <w:rFonts w:ascii="Times New Roman" w:hAnsi="Times New Roman"/>
                <w:color w:val="000000"/>
                <w:sz w:val="20"/>
              </w:rPr>
              <w:t>Paoletti Dep. Tr. 21-23.</w:t>
            </w:r>
          </w:p>
        </w:tc>
      </w:tr>
      <w:tr>
        <w:tblPrEx/>
        <w:trPr/>
        <w:tc>
          <w:tcPr>
            <w:vAlign w:val="top"/>
          </w:tcPr>
          <w:p>
            <w:pPr>
              <w:spacing w:before="0" w:after="0" w:line="275" w:lineRule="atLeast"/>
            </w:pPr>
            <w:hyperlink w:anchor="co_tablefootnote_197_1">
              <w:r>
                <w:rPr>
                  <w:rFonts w:ascii="Times New Roman" w:hAnsi="Times New Roman"/>
                  <w:color w:val="000000"/>
                  <w:sz w:val="20"/>
                  <w:vertAlign w:val="superscript"/>
                </w:rPr>
                <w:t>197</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Even the evidence AT&amp;T redirected Taylor on at trial proves this. JX-1269 at 2; </w:t>
            </w:r>
            <w:r>
              <w:rPr>
                <w:rFonts w:ascii="Times New Roman" w:hAnsi="Times New Roman"/>
                <w:i/>
                <w:color w:val="000000"/>
                <w:sz w:val="20"/>
              </w:rPr>
              <w:t>see also</w:t>
            </w:r>
            <w:r>
              <w:rPr>
                <w:rFonts w:ascii="Times New Roman" w:hAnsi="Times New Roman"/>
                <w:color w:val="000000"/>
                <w:sz w:val="20"/>
              </w:rPr>
              <w:t xml:space="preserve"> PTO ¶ 237.</w:t>
            </w:r>
          </w:p>
        </w:tc>
      </w:tr>
      <w:tr>
        <w:tblPrEx/>
        <w:trPr/>
        <w:tc>
          <w:tcPr>
            <w:vAlign w:val="top"/>
          </w:tcPr>
          <w:p>
            <w:pPr>
              <w:spacing w:before="0" w:after="0" w:line="275" w:lineRule="atLeast"/>
            </w:pPr>
            <w:hyperlink w:anchor="co_tablefootnote_198_1">
              <w:r>
                <w:rPr>
                  <w:rFonts w:ascii="Times New Roman" w:hAnsi="Times New Roman"/>
                  <w:color w:val="000000"/>
                  <w:sz w:val="20"/>
                  <w:vertAlign w:val="superscript"/>
                </w:rPr>
                <w:t>198</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PTO ¶ 235; Stephens Dep. Tr. 32:18-33:6; </w:t>
            </w:r>
            <w:r>
              <w:rPr>
                <w:rFonts w:ascii="Times New Roman" w:hAnsi="Times New Roman"/>
                <w:i/>
                <w:color w:val="000000"/>
                <w:sz w:val="20"/>
              </w:rPr>
              <w:t>see also</w:t>
            </w:r>
            <w:r>
              <w:rPr>
                <w:rFonts w:ascii="Times New Roman" w:hAnsi="Times New Roman"/>
                <w:color w:val="000000"/>
                <w:sz w:val="20"/>
              </w:rPr>
              <w:t xml:space="preserve"> at AT&amp;T 2010 Proxy at 31 (“Executive Compensation Program: Long-term Incentive” stating “Performance shares are a long-term equity award that we structure to be paid at the end of a 3-year performance period to the extent applicable performance goals are met.”)(https://www.sec.gov/Archives/edgar/data/0000732717/000119312510053795/ddefl 4a.htm#toc63614_16).</w:t>
            </w:r>
          </w:p>
        </w:tc>
      </w:tr>
      <w:tr>
        <w:tblPrEx/>
        <w:trPr/>
        <w:tc>
          <w:tcPr>
            <w:vAlign w:val="top"/>
          </w:tcPr>
          <w:p>
            <w:pPr>
              <w:spacing w:before="0" w:after="0" w:line="275" w:lineRule="atLeast"/>
            </w:pPr>
            <w:hyperlink w:anchor="co_tablefootnote_199_1">
              <w:r>
                <w:rPr>
                  <w:rFonts w:ascii="Times New Roman" w:hAnsi="Times New Roman"/>
                  <w:color w:val="000000"/>
                  <w:sz w:val="20"/>
                  <w:vertAlign w:val="superscript"/>
                </w:rPr>
                <w:t>199</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22, n12.</w:t>
            </w:r>
          </w:p>
        </w:tc>
      </w:tr>
      <w:tr>
        <w:tblPrEx/>
        <w:trPr/>
        <w:tc>
          <w:tcPr>
            <w:vAlign w:val="top"/>
          </w:tcPr>
          <w:p>
            <w:pPr>
              <w:spacing w:before="0" w:after="0" w:line="275" w:lineRule="atLeast"/>
            </w:pPr>
            <w:hyperlink w:anchor="co_tablefootnote_200_1">
              <w:r>
                <w:rPr>
                  <w:rFonts w:ascii="Times New Roman" w:hAnsi="Times New Roman"/>
                  <w:color w:val="000000"/>
                  <w:sz w:val="20"/>
                  <w:vertAlign w:val="superscript"/>
                </w:rPr>
                <w:t>200</w:t>
              </w:r>
            </w:hyperlink>
          </w:p>
        </w:tc>
        <w:tc>
          <w:tcPr>
            <w:vAlign w:val="top"/>
          </w:tcPr>
          <w:p>
            <w:pPr>
              <w:pBdr>
                <w:bottom w:val="none" w:space="8"/>
              </w:pBdr>
              <w:spacing w:before="0" w:after="0" w:line="275" w:lineRule="atLeast"/>
              <w:jc w:val="both"/>
            </w:pPr>
            <w:r>
              <w:rPr>
                <w:rFonts w:ascii="Times New Roman" w:hAnsi="Times New Roman"/>
                <w:color w:val="000000"/>
                <w:sz w:val="20"/>
              </w:rPr>
              <w:t>Paoletti Dep. Tr. 38 (“Did you ever use the ten-year plan prepared by Mr. Kobos for anything? A. I don't recall offhand. I recall having seen them from time to time, but I don't recall really using them for much.”).</w:t>
            </w:r>
          </w:p>
        </w:tc>
      </w:tr>
      <w:tr>
        <w:tblPrEx/>
        <w:trPr/>
        <w:tc>
          <w:tcPr>
            <w:vAlign w:val="top"/>
          </w:tcPr>
          <w:p>
            <w:pPr>
              <w:spacing w:before="0" w:after="0" w:line="275" w:lineRule="atLeast"/>
            </w:pPr>
            <w:hyperlink w:anchor="co_tablefootnote_201_1">
              <w:r>
                <w:rPr>
                  <w:rFonts w:ascii="Times New Roman" w:hAnsi="Times New Roman"/>
                  <w:color w:val="000000"/>
                  <w:sz w:val="20"/>
                  <w:vertAlign w:val="superscript"/>
                </w:rPr>
                <w:t>201</w:t>
              </w:r>
            </w:hyperlink>
          </w:p>
        </w:tc>
        <w:tc>
          <w:tcPr>
            <w:vAlign w:val="top"/>
          </w:tcPr>
          <w:p>
            <w:pPr>
              <w:pBdr>
                <w:bottom w:val="none" w:space="8"/>
              </w:pBdr>
              <w:spacing w:before="0" w:after="0" w:line="275" w:lineRule="atLeast"/>
              <w:jc w:val="both"/>
            </w:pPr>
            <w:r>
              <w:rPr>
                <w:rFonts w:ascii="Times New Roman" w:hAnsi="Times New Roman"/>
                <w:color w:val="000000"/>
                <w:sz w:val="20"/>
              </w:rPr>
              <w:t>Tr. 857-18:23 (Taylor-Cross).</w:t>
            </w:r>
          </w:p>
        </w:tc>
      </w:tr>
      <w:tr>
        <w:tblPrEx/>
        <w:trPr/>
        <w:tc>
          <w:tcPr>
            <w:vAlign w:val="top"/>
          </w:tcPr>
          <w:p>
            <w:pPr>
              <w:spacing w:before="0" w:after="0" w:line="275" w:lineRule="atLeast"/>
            </w:pPr>
            <w:hyperlink w:anchor="co_tablefootnote_202_1">
              <w:r>
                <w:rPr>
                  <w:rFonts w:ascii="Times New Roman" w:hAnsi="Times New Roman"/>
                  <w:color w:val="000000"/>
                  <w:sz w:val="20"/>
                  <w:vertAlign w:val="superscript"/>
                </w:rPr>
                <w:t>202</w:t>
              </w:r>
            </w:hyperlink>
          </w:p>
        </w:tc>
        <w:tc>
          <w:tcPr>
            <w:vAlign w:val="top"/>
          </w:tcPr>
          <w:p>
            <w:pPr>
              <w:pBdr>
                <w:bottom w:val="none" w:space="8"/>
              </w:pBdr>
              <w:spacing w:before="0" w:after="0" w:line="275" w:lineRule="atLeast"/>
              <w:jc w:val="both"/>
            </w:pPr>
            <w:r>
              <w:rPr>
                <w:rFonts w:ascii="Times New Roman" w:hAnsi="Times New Roman"/>
                <w:color w:val="000000"/>
                <w:sz w:val="20"/>
              </w:rPr>
              <w:t>Tr. 852:21-853:6 (Taylor-Cross).</w:t>
            </w:r>
          </w:p>
        </w:tc>
      </w:tr>
      <w:tr>
        <w:tblPrEx/>
        <w:trPr/>
        <w:tc>
          <w:tcPr>
            <w:vAlign w:val="top"/>
          </w:tcPr>
          <w:p>
            <w:pPr>
              <w:spacing w:before="0" w:after="0" w:line="275" w:lineRule="atLeast"/>
            </w:pPr>
            <w:hyperlink w:anchor="co_tablefootnote_203_1">
              <w:r>
                <w:rPr>
                  <w:rFonts w:ascii="Times New Roman" w:hAnsi="Times New Roman"/>
                  <w:color w:val="000000"/>
                  <w:sz w:val="20"/>
                  <w:vertAlign w:val="superscript"/>
                </w:rPr>
                <w:t>203</w:t>
              </w:r>
            </w:hyperlink>
          </w:p>
        </w:tc>
        <w:tc>
          <w:tcPr>
            <w:vAlign w:val="top"/>
          </w:tcPr>
          <w:p>
            <w:pPr>
              <w:pBdr>
                <w:bottom w:val="none" w:space="8"/>
              </w:pBdr>
              <w:spacing w:before="0" w:after="0" w:line="275" w:lineRule="atLeast"/>
              <w:jc w:val="both"/>
            </w:pPr>
            <w:r>
              <w:rPr>
                <w:rFonts w:ascii="Times New Roman" w:hAnsi="Times New Roman"/>
                <w:color w:val="000000"/>
                <w:sz w:val="20"/>
              </w:rPr>
              <w:t>Tr. 858:14-859:6 (Taylor-Cross).</w:t>
            </w:r>
          </w:p>
        </w:tc>
      </w:tr>
      <w:tr>
        <w:tblPrEx/>
        <w:trPr/>
        <w:tc>
          <w:tcPr>
            <w:vAlign w:val="top"/>
          </w:tcPr>
          <w:p>
            <w:pPr>
              <w:spacing w:before="0" w:after="0" w:line="275" w:lineRule="atLeast"/>
            </w:pPr>
            <w:hyperlink w:anchor="co_tablefootnote_204_1">
              <w:r>
                <w:rPr>
                  <w:rFonts w:ascii="Times New Roman" w:hAnsi="Times New Roman"/>
                  <w:color w:val="000000"/>
                  <w:sz w:val="20"/>
                  <w:vertAlign w:val="superscript"/>
                </w:rPr>
                <w:t>204</w:t>
              </w:r>
            </w:hyperlink>
          </w:p>
        </w:tc>
        <w:tc>
          <w:tcPr>
            <w:vAlign w:val="top"/>
          </w:tcPr>
          <w:p>
            <w:pPr>
              <w:pBdr>
                <w:bottom w:val="none" w:space="8"/>
              </w:pBdr>
              <w:spacing w:before="0" w:after="0" w:line="275" w:lineRule="atLeast"/>
              <w:jc w:val="both"/>
            </w:pPr>
            <w:r>
              <w:rPr>
                <w:rFonts w:ascii="Times New Roman" w:hAnsi="Times New Roman"/>
                <w:color w:val="000000"/>
                <w:sz w:val="20"/>
              </w:rPr>
              <w:t>Tr. 861:2-15 (Taylor-Cross).</w:t>
            </w:r>
          </w:p>
        </w:tc>
      </w:tr>
      <w:tr>
        <w:tblPrEx/>
        <w:trPr/>
        <w:tc>
          <w:tcPr>
            <w:vAlign w:val="top"/>
          </w:tcPr>
          <w:p>
            <w:pPr>
              <w:spacing w:before="0" w:after="0" w:line="275" w:lineRule="atLeast"/>
            </w:pPr>
            <w:hyperlink w:anchor="co_tablefootnote_205_1">
              <w:r>
                <w:rPr>
                  <w:rFonts w:ascii="Times New Roman" w:hAnsi="Times New Roman"/>
                  <w:color w:val="000000"/>
                  <w:sz w:val="20"/>
                  <w:vertAlign w:val="superscript"/>
                </w:rPr>
                <w:t>205</w:t>
              </w:r>
            </w:hyperlink>
          </w:p>
        </w:tc>
        <w:tc>
          <w:tcPr>
            <w:vAlign w:val="top"/>
          </w:tcPr>
          <w:p>
            <w:pPr>
              <w:pBdr>
                <w:bottom w:val="none" w:space="8"/>
              </w:pBdr>
              <w:spacing w:before="0" w:after="0" w:line="275" w:lineRule="atLeast"/>
              <w:jc w:val="both"/>
            </w:pPr>
            <w:r>
              <w:rPr>
                <w:rFonts w:ascii="Times New Roman" w:hAnsi="Times New Roman"/>
                <w:color w:val="000000"/>
                <w:sz w:val="20"/>
              </w:rPr>
              <w:t>Tr. 862:1-863:9 (Taylor-Cross).</w:t>
            </w:r>
          </w:p>
        </w:tc>
      </w:tr>
      <w:tr>
        <w:tblPrEx/>
        <w:trPr/>
        <w:tc>
          <w:tcPr>
            <w:vAlign w:val="top"/>
          </w:tcPr>
          <w:p>
            <w:pPr>
              <w:spacing w:before="0" w:after="0" w:line="275" w:lineRule="atLeast"/>
            </w:pPr>
            <w:hyperlink w:anchor="co_tablefootnote_206_1">
              <w:r>
                <w:rPr>
                  <w:rFonts w:ascii="Times New Roman" w:hAnsi="Times New Roman"/>
                  <w:color w:val="000000"/>
                  <w:sz w:val="20"/>
                  <w:vertAlign w:val="superscript"/>
                </w:rPr>
                <w:t>206</w:t>
              </w:r>
            </w:hyperlink>
          </w:p>
        </w:tc>
        <w:tc>
          <w:tcPr>
            <w:vAlign w:val="top"/>
          </w:tcPr>
          <w:p>
            <w:pPr>
              <w:pBdr>
                <w:bottom w:val="none" w:space="8"/>
              </w:pBdr>
              <w:spacing w:before="0" w:after="0" w:line="275" w:lineRule="atLeast"/>
              <w:jc w:val="both"/>
            </w:pPr>
            <w:r>
              <w:rPr>
                <w:rFonts w:ascii="Times New Roman" w:hAnsi="Times New Roman"/>
                <w:color w:val="000000"/>
                <w:sz w:val="20"/>
              </w:rPr>
              <w:t>JX-2463 at 55.</w:t>
            </w:r>
          </w:p>
        </w:tc>
      </w:tr>
      <w:tr>
        <w:tblPrEx/>
        <w:trPr/>
        <w:tc>
          <w:tcPr>
            <w:vAlign w:val="top"/>
          </w:tcPr>
          <w:p>
            <w:pPr>
              <w:spacing w:before="0" w:after="0" w:line="275" w:lineRule="atLeast"/>
            </w:pPr>
            <w:hyperlink w:anchor="co_tablefootnote_207_1">
              <w:r>
                <w:rPr>
                  <w:rFonts w:ascii="Times New Roman" w:hAnsi="Times New Roman"/>
                  <w:color w:val="000000"/>
                  <w:sz w:val="20"/>
                  <w:vertAlign w:val="superscript"/>
                </w:rPr>
                <w:t>207</w:t>
              </w:r>
            </w:hyperlink>
          </w:p>
        </w:tc>
        <w:tc>
          <w:tcPr>
            <w:vAlign w:val="top"/>
          </w:tcPr>
          <w:p>
            <w:pPr>
              <w:pBdr>
                <w:bottom w:val="none" w:space="8"/>
              </w:pBdr>
              <w:spacing w:before="0" w:after="0" w:line="275" w:lineRule="atLeast"/>
              <w:jc w:val="both"/>
            </w:pPr>
            <w:r>
              <w:rPr>
                <w:rFonts w:ascii="Times New Roman" w:hAnsi="Times New Roman"/>
                <w:color w:val="000000"/>
                <w:sz w:val="20"/>
              </w:rPr>
              <w:t>Tr. 863:10-864:13 (Taylor-Cross).</w:t>
            </w:r>
          </w:p>
        </w:tc>
      </w:tr>
      <w:tr>
        <w:tblPrEx/>
        <w:trPr/>
        <w:tc>
          <w:tcPr>
            <w:vAlign w:val="top"/>
          </w:tcPr>
          <w:p>
            <w:pPr>
              <w:spacing w:before="0" w:after="0" w:line="275" w:lineRule="atLeast"/>
            </w:pPr>
            <w:hyperlink w:anchor="co_tablefootnote_208_1">
              <w:r>
                <w:rPr>
                  <w:rFonts w:ascii="Times New Roman" w:hAnsi="Times New Roman"/>
                  <w:color w:val="000000"/>
                  <w:sz w:val="20"/>
                  <w:vertAlign w:val="superscript"/>
                </w:rPr>
                <w:t>208</w:t>
              </w:r>
            </w:hyperlink>
          </w:p>
        </w:tc>
        <w:tc>
          <w:tcPr>
            <w:vAlign w:val="top"/>
          </w:tcPr>
          <w:p>
            <w:pPr>
              <w:pBdr>
                <w:bottom w:val="none" w:space="8"/>
              </w:pBdr>
              <w:spacing w:before="0" w:after="0" w:line="275" w:lineRule="atLeast"/>
              <w:jc w:val="both"/>
            </w:pPr>
            <w:r>
              <w:rPr>
                <w:rFonts w:ascii="Times New Roman" w:hAnsi="Times New Roman"/>
                <w:color w:val="000000"/>
                <w:sz w:val="20"/>
              </w:rPr>
              <w:t>Tr. 852:2-7 (Taylor-Cross).</w:t>
            </w:r>
          </w:p>
        </w:tc>
      </w:tr>
      <w:tr>
        <w:tblPrEx/>
        <w:trPr/>
        <w:tc>
          <w:tcPr>
            <w:vAlign w:val="top"/>
          </w:tcPr>
          <w:p>
            <w:pPr>
              <w:spacing w:before="0" w:after="0" w:line="275" w:lineRule="atLeast"/>
            </w:pPr>
            <w:hyperlink w:anchor="co_tablefootnote_209_1">
              <w:r>
                <w:rPr>
                  <w:rFonts w:ascii="Times New Roman" w:hAnsi="Times New Roman"/>
                  <w:color w:val="000000"/>
                  <w:sz w:val="20"/>
                  <w:vertAlign w:val="superscript"/>
                </w:rPr>
                <w:t>209</w:t>
              </w:r>
            </w:hyperlink>
          </w:p>
        </w:tc>
        <w:tc>
          <w:tcPr>
            <w:vAlign w:val="top"/>
          </w:tcPr>
          <w:p>
            <w:pPr>
              <w:pBdr>
                <w:bottom w:val="none" w:space="8"/>
              </w:pBdr>
              <w:spacing w:before="0" w:after="0" w:line="275" w:lineRule="atLeast"/>
              <w:jc w:val="both"/>
            </w:pPr>
            <w:r>
              <w:rPr>
                <w:rFonts w:ascii="Times New Roman" w:hAnsi="Times New Roman"/>
                <w:color w:val="000000"/>
                <w:sz w:val="20"/>
              </w:rPr>
              <w:t>Tr. 864:15-865:10 (Taylor-Cross).</w:t>
            </w:r>
          </w:p>
        </w:tc>
      </w:tr>
      <w:tr>
        <w:tblPrEx/>
        <w:trPr/>
        <w:tc>
          <w:tcPr>
            <w:vAlign w:val="top"/>
          </w:tcPr>
          <w:p>
            <w:pPr>
              <w:spacing w:before="0" w:after="0" w:line="275" w:lineRule="atLeast"/>
            </w:pPr>
            <w:hyperlink w:anchor="co_tablefootnote_210_1">
              <w:r>
                <w:rPr>
                  <w:rFonts w:ascii="Times New Roman" w:hAnsi="Times New Roman"/>
                  <w:color w:val="000000"/>
                  <w:sz w:val="20"/>
                  <w:vertAlign w:val="superscript"/>
                </w:rPr>
                <w:t>210</w:t>
              </w:r>
            </w:hyperlink>
          </w:p>
        </w:tc>
        <w:tc>
          <w:tcPr>
            <w:vAlign w:val="top"/>
          </w:tcPr>
          <w:p>
            <w:pPr>
              <w:pBdr>
                <w:bottom w:val="none" w:space="8"/>
              </w:pBdr>
              <w:spacing w:before="0" w:after="0" w:line="275" w:lineRule="atLeast"/>
              <w:jc w:val="both"/>
            </w:pPr>
            <w:r>
              <w:rPr>
                <w:rFonts w:ascii="Times New Roman" w:hAnsi="Times New Roman"/>
                <w:color w:val="000000"/>
                <w:sz w:val="20"/>
              </w:rPr>
              <w:t>Tr. 869:6-869:11 (Taylor-Cross).</w:t>
            </w:r>
          </w:p>
        </w:tc>
      </w:tr>
      <w:tr>
        <w:tblPrEx/>
        <w:trPr/>
        <w:tc>
          <w:tcPr>
            <w:vAlign w:val="top"/>
          </w:tcPr>
          <w:p>
            <w:pPr>
              <w:spacing w:before="0" w:after="0" w:line="275" w:lineRule="atLeast"/>
            </w:pPr>
            <w:hyperlink w:anchor="co_tablefootnote_211_1">
              <w:r>
                <w:rPr>
                  <w:rFonts w:ascii="Times New Roman" w:hAnsi="Times New Roman"/>
                  <w:color w:val="000000"/>
                  <w:sz w:val="20"/>
                  <w:vertAlign w:val="superscript"/>
                </w:rPr>
                <w:t>211</w:t>
              </w:r>
            </w:hyperlink>
          </w:p>
        </w:tc>
        <w:tc>
          <w:tcPr>
            <w:vAlign w:val="top"/>
          </w:tcPr>
          <w:p>
            <w:pPr>
              <w:pBdr>
                <w:bottom w:val="none" w:space="8"/>
              </w:pBdr>
              <w:spacing w:before="0" w:after="0" w:line="275" w:lineRule="atLeast"/>
              <w:jc w:val="both"/>
            </w:pPr>
            <w:r>
              <w:rPr>
                <w:rFonts w:ascii="Times New Roman" w:hAnsi="Times New Roman"/>
                <w:color w:val="000000"/>
                <w:sz w:val="20"/>
              </w:rPr>
              <w:t>Tr. 865:11-14 (Taylor-Cross).</w:t>
            </w:r>
          </w:p>
        </w:tc>
      </w:tr>
      <w:tr>
        <w:tblPrEx/>
        <w:trPr/>
        <w:tc>
          <w:tcPr>
            <w:vAlign w:val="top"/>
          </w:tcPr>
          <w:p>
            <w:pPr>
              <w:spacing w:before="0" w:after="0" w:line="275" w:lineRule="atLeast"/>
            </w:pPr>
            <w:hyperlink w:anchor="co_tablefootnote_212_1">
              <w:r>
                <w:rPr>
                  <w:rFonts w:ascii="Times New Roman" w:hAnsi="Times New Roman"/>
                  <w:color w:val="000000"/>
                  <w:sz w:val="20"/>
                  <w:vertAlign w:val="superscript"/>
                </w:rPr>
                <w:t>212</w:t>
              </w:r>
            </w:hyperlink>
          </w:p>
        </w:tc>
        <w:tc>
          <w:tcPr>
            <w:vAlign w:val="top"/>
          </w:tcPr>
          <w:p>
            <w:pPr>
              <w:pBdr>
                <w:bottom w:val="none" w:space="8"/>
              </w:pBdr>
              <w:spacing w:before="0" w:after="0" w:line="275" w:lineRule="atLeast"/>
              <w:jc w:val="both"/>
            </w:pPr>
            <w:r>
              <w:rPr>
                <w:rFonts w:ascii="Times New Roman" w:hAnsi="Times New Roman"/>
                <w:color w:val="000000"/>
                <w:sz w:val="20"/>
              </w:rPr>
              <w:t>Tr. 865:15-866:3 (Taylor-Cross); JX-3577.</w:t>
            </w:r>
          </w:p>
        </w:tc>
      </w:tr>
      <w:tr>
        <w:tblPrEx/>
        <w:trPr/>
        <w:tc>
          <w:tcPr>
            <w:vAlign w:val="top"/>
          </w:tcPr>
          <w:p>
            <w:pPr>
              <w:spacing w:before="0" w:after="0" w:line="275" w:lineRule="atLeast"/>
            </w:pPr>
            <w:hyperlink w:anchor="co_tablefootnote_213_1">
              <w:r>
                <w:rPr>
                  <w:rFonts w:ascii="Times New Roman" w:hAnsi="Times New Roman"/>
                  <w:color w:val="000000"/>
                  <w:sz w:val="20"/>
                  <w:vertAlign w:val="superscript"/>
                </w:rPr>
                <w:t>213</w:t>
              </w:r>
            </w:hyperlink>
          </w:p>
        </w:tc>
        <w:tc>
          <w:tcPr>
            <w:vAlign w:val="top"/>
          </w:tcPr>
          <w:p>
            <w:pPr>
              <w:pBdr>
                <w:bottom w:val="none" w:space="8"/>
              </w:pBdr>
              <w:spacing w:before="0" w:after="0" w:line="275" w:lineRule="atLeast"/>
              <w:jc w:val="both"/>
            </w:pPr>
            <w:r>
              <w:rPr>
                <w:rFonts w:ascii="Times New Roman" w:hAnsi="Times New Roman"/>
                <w:color w:val="000000"/>
                <w:sz w:val="20"/>
              </w:rPr>
              <w:t>Tr. 870:20-872:23 (Taylor-Cross).</w:t>
            </w:r>
          </w:p>
        </w:tc>
      </w:tr>
      <w:tr>
        <w:tblPrEx/>
        <w:trPr/>
        <w:tc>
          <w:tcPr>
            <w:vAlign w:val="top"/>
          </w:tcPr>
          <w:p>
            <w:pPr>
              <w:spacing w:before="0" w:after="0" w:line="275" w:lineRule="atLeast"/>
            </w:pPr>
            <w:hyperlink w:anchor="co_tablefootnote_214_1">
              <w:r>
                <w:rPr>
                  <w:rFonts w:ascii="Times New Roman" w:hAnsi="Times New Roman"/>
                  <w:color w:val="000000"/>
                  <w:sz w:val="20"/>
                  <w:vertAlign w:val="superscript"/>
                </w:rPr>
                <w:t>214</w:t>
              </w:r>
            </w:hyperlink>
          </w:p>
        </w:tc>
        <w:tc>
          <w:tcPr>
            <w:vAlign w:val="top"/>
          </w:tcPr>
          <w:p>
            <w:pPr>
              <w:pBdr>
                <w:bottom w:val="none" w:space="8"/>
              </w:pBdr>
              <w:spacing w:before="0" w:after="0" w:line="275" w:lineRule="atLeast"/>
              <w:jc w:val="both"/>
            </w:pPr>
            <w:r>
              <w:rPr>
                <w:rFonts w:ascii="Times New Roman" w:hAnsi="Times New Roman"/>
                <w:color w:val="000000"/>
                <w:sz w:val="20"/>
              </w:rPr>
              <w:t>Tr. 1314:24-1315:16.</w:t>
            </w:r>
          </w:p>
        </w:tc>
      </w:tr>
      <w:tr>
        <w:tblPrEx/>
        <w:trPr/>
        <w:tc>
          <w:tcPr>
            <w:vAlign w:val="top"/>
          </w:tcPr>
          <w:p>
            <w:pPr>
              <w:spacing w:before="0" w:after="0" w:line="275" w:lineRule="atLeast"/>
            </w:pPr>
            <w:hyperlink w:anchor="co_tablefootnote_215_1">
              <w:r>
                <w:rPr>
                  <w:rFonts w:ascii="Times New Roman" w:hAnsi="Times New Roman"/>
                  <w:color w:val="000000"/>
                  <w:sz w:val="20"/>
                  <w:vertAlign w:val="superscript"/>
                </w:rPr>
                <w:t>215</w:t>
              </w:r>
            </w:hyperlink>
          </w:p>
        </w:tc>
        <w:tc>
          <w:tcPr>
            <w:vAlign w:val="top"/>
          </w:tcPr>
          <w:p>
            <w:pPr>
              <w:pBdr>
                <w:bottom w:val="none" w:space="8"/>
              </w:pBdr>
              <w:spacing w:before="0" w:after="0" w:line="275" w:lineRule="atLeast"/>
              <w:jc w:val="both"/>
            </w:pPr>
            <w:r>
              <w:rPr>
                <w:rFonts w:ascii="Times New Roman" w:hAnsi="Times New Roman"/>
                <w:color w:val="000000"/>
                <w:sz w:val="20"/>
              </w:rPr>
              <w:t>JX-3604 at 11.</w:t>
            </w:r>
          </w:p>
        </w:tc>
      </w:tr>
      <w:tr>
        <w:tblPrEx/>
        <w:trPr/>
        <w:tc>
          <w:tcPr>
            <w:vAlign w:val="top"/>
          </w:tcPr>
          <w:p>
            <w:pPr>
              <w:spacing w:before="0" w:after="0" w:line="275" w:lineRule="atLeast"/>
            </w:pPr>
            <w:hyperlink w:anchor="co_tablefootnote_216_1">
              <w:r>
                <w:rPr>
                  <w:rFonts w:ascii="Times New Roman" w:hAnsi="Times New Roman"/>
                  <w:color w:val="000000"/>
                  <w:sz w:val="20"/>
                  <w:vertAlign w:val="superscript"/>
                </w:rPr>
                <w:t>216</w:t>
              </w:r>
            </w:hyperlink>
          </w:p>
        </w:tc>
        <w:tc>
          <w:tcPr>
            <w:vAlign w:val="top"/>
          </w:tcPr>
          <w:p>
            <w:pPr>
              <w:pBdr>
                <w:bottom w:val="none" w:space="8"/>
              </w:pBdr>
              <w:spacing w:before="0" w:after="0" w:line="275" w:lineRule="atLeast"/>
              <w:jc w:val="both"/>
            </w:pPr>
            <w:r>
              <w:rPr>
                <w:rFonts w:ascii="Times New Roman" w:hAnsi="Times New Roman"/>
                <w:color w:val="000000"/>
                <w:sz w:val="20"/>
              </w:rPr>
              <w:t>Tr. 1311:8-21.</w:t>
            </w:r>
          </w:p>
        </w:tc>
      </w:tr>
      <w:tr>
        <w:tblPrEx/>
        <w:trPr/>
        <w:tc>
          <w:tcPr>
            <w:vAlign w:val="top"/>
          </w:tcPr>
          <w:p>
            <w:pPr>
              <w:spacing w:before="0" w:after="0" w:line="275" w:lineRule="atLeast"/>
            </w:pPr>
            <w:hyperlink w:anchor="co_tablefootnote_217_1">
              <w:r>
                <w:rPr>
                  <w:rFonts w:ascii="Times New Roman" w:hAnsi="Times New Roman"/>
                  <w:color w:val="000000"/>
                  <w:sz w:val="20"/>
                  <w:vertAlign w:val="superscript"/>
                </w:rPr>
                <w:t>217</w:t>
              </w:r>
            </w:hyperlink>
          </w:p>
        </w:tc>
        <w:tc>
          <w:tcPr>
            <w:vAlign w:val="top"/>
          </w:tcPr>
          <w:p>
            <w:pPr>
              <w:pBdr>
                <w:bottom w:val="none" w:space="8"/>
              </w:pBdr>
              <w:spacing w:before="0" w:after="0" w:line="275" w:lineRule="atLeast"/>
              <w:jc w:val="both"/>
            </w:pPr>
            <w:r>
              <w:rPr>
                <w:rFonts w:ascii="Times New Roman" w:hAnsi="Times New Roman"/>
                <w:color w:val="000000"/>
                <w:sz w:val="20"/>
              </w:rPr>
              <w:t>JX-3604 at 13.</w:t>
            </w:r>
          </w:p>
        </w:tc>
      </w:tr>
      <w:tr>
        <w:tblPrEx/>
        <w:trPr/>
        <w:tc>
          <w:tcPr>
            <w:vAlign w:val="top"/>
          </w:tcPr>
          <w:p>
            <w:pPr>
              <w:spacing w:before="0" w:after="0" w:line="275" w:lineRule="atLeast"/>
            </w:pPr>
            <w:hyperlink w:anchor="co_tablefootnote_218_1">
              <w:r>
                <w:rPr>
                  <w:rFonts w:ascii="Times New Roman" w:hAnsi="Times New Roman"/>
                  <w:color w:val="000000"/>
                  <w:sz w:val="20"/>
                  <w:vertAlign w:val="superscript"/>
                </w:rPr>
                <w:t>218</w:t>
              </w:r>
            </w:hyperlink>
          </w:p>
        </w:tc>
        <w:tc>
          <w:tcPr>
            <w:vAlign w:val="top"/>
          </w:tcPr>
          <w:p>
            <w:pPr>
              <w:pBdr>
                <w:bottom w:val="none" w:space="8"/>
              </w:pBdr>
              <w:spacing w:before="0" w:after="0" w:line="275" w:lineRule="atLeast"/>
              <w:jc w:val="both"/>
            </w:pPr>
            <w:r>
              <w:rPr>
                <w:rFonts w:ascii="Times New Roman" w:hAnsi="Times New Roman"/>
                <w:color w:val="000000"/>
                <w:sz w:val="20"/>
              </w:rPr>
              <w:t>The purpose of weighting rather than taking a simple average is to reflect in the average the fact that certain Partnerships have substantially greater free cashflow than Las Cruces, for example.</w:t>
            </w:r>
          </w:p>
        </w:tc>
      </w:tr>
      <w:tr>
        <w:tblPrEx/>
        <w:trPr/>
        <w:tc>
          <w:tcPr>
            <w:vAlign w:val="top"/>
          </w:tcPr>
          <w:p>
            <w:pPr>
              <w:spacing w:before="0" w:after="0" w:line="275" w:lineRule="atLeast"/>
            </w:pPr>
            <w:hyperlink w:anchor="co_tablefootnote_219_1">
              <w:r>
                <w:rPr>
                  <w:rFonts w:ascii="Times New Roman" w:hAnsi="Times New Roman"/>
                  <w:color w:val="000000"/>
                  <w:sz w:val="20"/>
                  <w:vertAlign w:val="superscript"/>
                </w:rPr>
                <w:t>219</w:t>
              </w:r>
            </w:hyperlink>
          </w:p>
        </w:tc>
        <w:tc>
          <w:tcPr>
            <w:vAlign w:val="top"/>
          </w:tcPr>
          <w:p>
            <w:pPr>
              <w:pBdr>
                <w:bottom w:val="none" w:space="8"/>
              </w:pBdr>
              <w:spacing w:before="0" w:after="0" w:line="275" w:lineRule="atLeast"/>
              <w:jc w:val="both"/>
            </w:pPr>
            <w:r>
              <w:rPr>
                <w:rFonts w:ascii="Times New Roman" w:hAnsi="Times New Roman"/>
                <w:color w:val="000000"/>
                <w:sz w:val="20"/>
              </w:rPr>
              <w:t>Taylor Dep. Tr. 206:18-208:10.</w:t>
            </w:r>
          </w:p>
        </w:tc>
      </w:tr>
      <w:tr>
        <w:tblPrEx/>
        <w:trPr/>
        <w:tc>
          <w:tcPr>
            <w:vAlign w:val="top"/>
          </w:tcPr>
          <w:p>
            <w:pPr>
              <w:spacing w:before="0" w:after="0" w:line="275" w:lineRule="atLeast"/>
            </w:pPr>
            <w:hyperlink w:anchor="co_tablefootnote_220_1">
              <w:r>
                <w:rPr>
                  <w:rFonts w:ascii="Times New Roman" w:hAnsi="Times New Roman"/>
                  <w:color w:val="000000"/>
                  <w:sz w:val="20"/>
                  <w:vertAlign w:val="superscript"/>
                </w:rPr>
                <w:t>220</w:t>
              </w:r>
            </w:hyperlink>
          </w:p>
        </w:tc>
        <w:tc>
          <w:tcPr>
            <w:vAlign w:val="top"/>
          </w:tcPr>
          <w:p>
            <w:pPr>
              <w:pBdr>
                <w:bottom w:val="none" w:space="8"/>
              </w:pBdr>
              <w:spacing w:before="0" w:after="0" w:line="275" w:lineRule="atLeast"/>
              <w:jc w:val="both"/>
            </w:pPr>
            <w:r>
              <w:rPr>
                <w:rFonts w:ascii="Times New Roman" w:hAnsi="Times New Roman"/>
                <w:color w:val="000000"/>
                <w:sz w:val="20"/>
              </w:rPr>
              <w:t>Taylor Dep. Tr. 206:14-17 (“Q. So they had just finished an upgrade, right? A. They would have finished it sometime in ‘12, ‘13, yeah.”).</w:t>
            </w:r>
          </w:p>
        </w:tc>
      </w:tr>
      <w:tr>
        <w:tblPrEx/>
        <w:trPr/>
        <w:tc>
          <w:tcPr>
            <w:vAlign w:val="top"/>
          </w:tcPr>
          <w:p>
            <w:pPr>
              <w:spacing w:before="0" w:after="0" w:line="275" w:lineRule="atLeast"/>
            </w:pPr>
            <w:hyperlink w:anchor="co_tablefootnote_221_1">
              <w:r>
                <w:rPr>
                  <w:rFonts w:ascii="Times New Roman" w:hAnsi="Times New Roman"/>
                  <w:color w:val="000000"/>
                  <w:sz w:val="20"/>
                  <w:vertAlign w:val="superscript"/>
                </w:rPr>
                <w:t>221</w:t>
              </w:r>
            </w:hyperlink>
          </w:p>
        </w:tc>
        <w:tc>
          <w:tcPr>
            <w:vAlign w:val="top"/>
          </w:tcPr>
          <w:p>
            <w:pPr>
              <w:pBdr>
                <w:bottom w:val="none" w:space="8"/>
              </w:pBdr>
              <w:spacing w:before="0" w:after="0" w:line="275" w:lineRule="atLeast"/>
              <w:jc w:val="both"/>
            </w:pPr>
            <w:r>
              <w:rPr>
                <w:rFonts w:ascii="Times New Roman" w:hAnsi="Times New Roman"/>
                <w:i/>
                <w:color w:val="000000"/>
                <w:sz w:val="20"/>
              </w:rPr>
              <w:t>Compare</w:t>
            </w:r>
            <w:r>
              <w:rPr>
                <w:rFonts w:ascii="Times New Roman" w:hAnsi="Times New Roman"/>
                <w:color w:val="000000"/>
                <w:sz w:val="20"/>
              </w:rPr>
              <w:t xml:space="preserve"> Taylor Dep. Tr. 206:18-207:5 (“Q. Well, why wouldn't you cut it off there...? A. That's just the way AT&amp;T estimated their long-term plans. So you'd have to ask them that question.”) </w:t>
            </w:r>
            <w:r>
              <w:rPr>
                <w:rFonts w:ascii="Times New Roman" w:hAnsi="Times New Roman"/>
                <w:i/>
                <w:color w:val="000000"/>
                <w:sz w:val="20"/>
              </w:rPr>
              <w:t>with</w:t>
            </w:r>
            <w:r>
              <w:rPr>
                <w:rFonts w:ascii="Times New Roman" w:hAnsi="Times New Roman"/>
                <w:color w:val="000000"/>
                <w:sz w:val="20"/>
              </w:rPr>
              <w:t xml:space="preserve"> Tr. 1369:14-1370:24 (Barrick-Cross)(“if you look at the years, specifically projected CAPEX for these partnerships, for 2010, ‘11 and ‘13, they contained some of the highest capital expenditure, and in particular ‘13, one of the highest years for capital expenditure for these partnerships... I'm confident that I captured the kind of capital expenditures that are needed for the next rollout in my terminal year.”).</w:t>
            </w:r>
          </w:p>
        </w:tc>
      </w:tr>
      <w:tr>
        <w:tblPrEx/>
        <w:trPr/>
        <w:tc>
          <w:tcPr>
            <w:vAlign w:val="top"/>
          </w:tcPr>
          <w:p>
            <w:pPr>
              <w:spacing w:before="0" w:after="0" w:line="275" w:lineRule="atLeast"/>
            </w:pPr>
            <w:hyperlink w:anchor="co_tablefootnote_222_1">
              <w:r>
                <w:rPr>
                  <w:rFonts w:ascii="Times New Roman" w:hAnsi="Times New Roman"/>
                  <w:color w:val="000000"/>
                  <w:sz w:val="20"/>
                  <w:vertAlign w:val="superscript"/>
                </w:rPr>
                <w:t>222</w:t>
              </w:r>
            </w:hyperlink>
          </w:p>
        </w:tc>
        <w:tc>
          <w:tcPr>
            <w:vAlign w:val="top"/>
          </w:tcPr>
          <w:p>
            <w:pPr>
              <w:pBdr>
                <w:bottom w:val="none" w:space="8"/>
              </w:pBdr>
              <w:spacing w:before="0" w:after="0" w:line="275" w:lineRule="atLeast"/>
              <w:jc w:val="both"/>
            </w:pPr>
            <w:r>
              <w:rPr>
                <w:rFonts w:ascii="Times New Roman" w:hAnsi="Times New Roman"/>
                <w:color w:val="000000"/>
                <w:sz w:val="20"/>
              </w:rPr>
              <w:t>JX-3577 (“I wouldn't necessarily keep this in your perpetuity calculation.”); Tr. 865:15-866:10 (Taylor-Cross).</w:t>
            </w:r>
          </w:p>
        </w:tc>
      </w:tr>
      <w:tr>
        <w:tblPrEx/>
        <w:trPr/>
        <w:tc>
          <w:tcPr>
            <w:vAlign w:val="top"/>
          </w:tcPr>
          <w:p>
            <w:pPr>
              <w:spacing w:before="0" w:after="0" w:line="275" w:lineRule="atLeast"/>
            </w:pPr>
            <w:hyperlink w:anchor="co_tablefootnote_223_1">
              <w:r>
                <w:rPr>
                  <w:rFonts w:ascii="Times New Roman" w:hAnsi="Times New Roman"/>
                  <w:color w:val="000000"/>
                  <w:sz w:val="20"/>
                  <w:vertAlign w:val="superscript"/>
                </w:rPr>
                <w:t>223</w:t>
              </w:r>
            </w:hyperlink>
          </w:p>
        </w:tc>
        <w:tc>
          <w:tcPr>
            <w:vAlign w:val="top"/>
          </w:tcPr>
          <w:p>
            <w:pPr>
              <w:pBdr>
                <w:bottom w:val="none" w:space="8"/>
              </w:pBdr>
              <w:spacing w:before="0" w:after="0" w:line="275" w:lineRule="atLeast"/>
              <w:jc w:val="both"/>
            </w:pPr>
            <w:r>
              <w:rPr>
                <w:rFonts w:ascii="Times New Roman" w:hAnsi="Times New Roman"/>
                <w:color w:val="000000"/>
                <w:sz w:val="20"/>
              </w:rPr>
              <w:t>JX-3515; JX-3516.</w:t>
            </w:r>
          </w:p>
        </w:tc>
      </w:tr>
      <w:tr>
        <w:tblPrEx/>
        <w:trPr/>
        <w:tc>
          <w:tcPr>
            <w:vAlign w:val="top"/>
          </w:tcPr>
          <w:p>
            <w:pPr>
              <w:spacing w:before="0" w:after="0" w:line="275" w:lineRule="atLeast"/>
            </w:pPr>
            <w:hyperlink w:anchor="co_tablefootnote_224_1">
              <w:r>
                <w:rPr>
                  <w:rFonts w:ascii="Times New Roman" w:hAnsi="Times New Roman"/>
                  <w:color w:val="000000"/>
                  <w:sz w:val="20"/>
                  <w:vertAlign w:val="superscript"/>
                </w:rPr>
                <w:t>224</w:t>
              </w:r>
            </w:hyperlink>
          </w:p>
        </w:tc>
        <w:tc>
          <w:tcPr>
            <w:vAlign w:val="top"/>
          </w:tcPr>
          <w:p>
            <w:pPr>
              <w:pBdr>
                <w:bottom w:val="none" w:space="8"/>
              </w:pBdr>
              <w:spacing w:before="0" w:after="0" w:line="275" w:lineRule="atLeast"/>
              <w:jc w:val="both"/>
            </w:pPr>
            <w:r>
              <w:rPr>
                <w:rFonts w:ascii="Times New Roman" w:hAnsi="Times New Roman"/>
                <w:color w:val="000000"/>
                <w:sz w:val="20"/>
              </w:rPr>
              <w:t>Tr. 948:2-14 (Taylor-Cross); Tr. 1157:15-23 (Musey-Direct); JX-3605; JX-2469 at 21.</w:t>
            </w:r>
          </w:p>
        </w:tc>
      </w:tr>
      <w:tr>
        <w:tblPrEx/>
        <w:trPr/>
        <w:tc>
          <w:tcPr>
            <w:vAlign w:val="top"/>
          </w:tcPr>
          <w:p>
            <w:pPr>
              <w:spacing w:before="0" w:after="0" w:line="275" w:lineRule="atLeast"/>
            </w:pPr>
            <w:hyperlink w:anchor="co_tablefootnote_225_1">
              <w:r>
                <w:rPr>
                  <w:rFonts w:ascii="Times New Roman" w:hAnsi="Times New Roman"/>
                  <w:color w:val="000000"/>
                  <w:sz w:val="20"/>
                  <w:vertAlign w:val="superscript"/>
                </w:rPr>
                <w:t>225</w:t>
              </w:r>
            </w:hyperlink>
          </w:p>
        </w:tc>
        <w:tc>
          <w:tcPr>
            <w:vAlign w:val="top"/>
          </w:tcPr>
          <w:p>
            <w:pPr>
              <w:pBdr>
                <w:bottom w:val="none" w:space="8"/>
              </w:pBdr>
              <w:spacing w:before="0" w:after="0" w:line="275" w:lineRule="atLeast"/>
              <w:jc w:val="both"/>
            </w:pPr>
            <w:r>
              <w:rPr>
                <w:rFonts w:ascii="Times New Roman" w:hAnsi="Times New Roman"/>
                <w:color w:val="000000"/>
                <w:sz w:val="20"/>
              </w:rPr>
              <w:t>JX-3551 at 4.</w:t>
            </w:r>
          </w:p>
        </w:tc>
      </w:tr>
      <w:tr>
        <w:tblPrEx/>
        <w:trPr/>
        <w:tc>
          <w:tcPr>
            <w:vAlign w:val="top"/>
          </w:tcPr>
          <w:p>
            <w:pPr>
              <w:spacing w:before="0" w:after="0" w:line="275" w:lineRule="atLeast"/>
            </w:pPr>
            <w:hyperlink w:anchor="co_tablefootnote_226_1">
              <w:r>
                <w:rPr>
                  <w:rFonts w:ascii="Times New Roman" w:hAnsi="Times New Roman"/>
                  <w:color w:val="000000"/>
                  <w:sz w:val="20"/>
                  <w:vertAlign w:val="superscript"/>
                </w:rPr>
                <w:t>226</w:t>
              </w:r>
            </w:hyperlink>
          </w:p>
        </w:tc>
        <w:tc>
          <w:tcPr>
            <w:vAlign w:val="top"/>
          </w:tcPr>
          <w:p>
            <w:pPr>
              <w:pBdr>
                <w:bottom w:val="none" w:space="8"/>
              </w:pBdr>
              <w:spacing w:before="0" w:after="0" w:line="275" w:lineRule="atLeast"/>
              <w:jc w:val="both"/>
            </w:pPr>
            <w:r>
              <w:rPr>
                <w:rFonts w:ascii="Times New Roman" w:hAnsi="Times New Roman"/>
                <w:color w:val="000000"/>
                <w:sz w:val="20"/>
              </w:rPr>
              <w:t>Tr. 703:1-3 (Taylor-Direct).</w:t>
            </w:r>
          </w:p>
        </w:tc>
      </w:tr>
      <w:tr>
        <w:tblPrEx/>
        <w:trPr/>
        <w:tc>
          <w:tcPr>
            <w:vAlign w:val="top"/>
          </w:tcPr>
          <w:p>
            <w:pPr>
              <w:spacing w:before="0" w:after="0" w:line="275" w:lineRule="atLeast"/>
            </w:pPr>
            <w:hyperlink w:anchor="co_tablefootnote_227_1">
              <w:r>
                <w:rPr>
                  <w:rFonts w:ascii="Times New Roman" w:hAnsi="Times New Roman"/>
                  <w:color w:val="000000"/>
                  <w:sz w:val="20"/>
                  <w:vertAlign w:val="superscript"/>
                </w:rPr>
                <w:t>227</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“A viable company should grow at least at the rate of inflation and ... the rate of inflation is the floor for a terminal value estimate for a solidly profitable company that does not have an identifiable risk of insolvency.” </w:t>
            </w:r>
            <w:hyperlink r:id="r103">
              <w:r>
                <w:rPr>
                  <w:rFonts w:ascii="Times New Roman" w:hAnsi="Times New Roman"/>
                  <w:i/>
                  <w:color w:val="000000"/>
                  <w:sz w:val="20"/>
                </w:rPr>
                <w:t>Global GT LP v. Golden Telecom, Inc.,</w:t>
              </w:r>
              <w:r>
                <w:rPr>
                  <w:rFonts w:ascii="Times New Roman" w:hAnsi="Times New Roman"/>
                  <w:color w:val="000000"/>
                  <w:sz w:val="20"/>
                </w:rPr>
                <w:t xml:space="preserve"> 993 A.2d 497, 511 (Del. Ch. 2010)</w:t>
              </w:r>
            </w:hyperlink>
            <w:r>
              <w:rPr>
                <w:rFonts w:ascii="Times New Roman" w:hAnsi="Times New Roman"/>
                <w:color w:val="000000"/>
                <w:sz w:val="20"/>
              </w:rPr>
              <w:t xml:space="preserve">, </w:t>
            </w:r>
            <w:r>
              <w:rPr>
                <w:rFonts w:ascii="Times New Roman" w:hAnsi="Times New Roman"/>
                <w:i/>
                <w:color w:val="000000"/>
                <w:sz w:val="20"/>
              </w:rPr>
              <w:t>aff'd,</w:t>
            </w:r>
            <w:r>
              <w:rPr>
                <w:rFonts w:ascii="Times New Roman" w:hAnsi="Times New Roman"/>
                <w:color w:val="000000"/>
                <w:sz w:val="20"/>
              </w:rPr>
              <w:t xml:space="preserve"> </w:t>
            </w:r>
            <w:hyperlink r:id="r104">
              <w:r>
                <w:rPr>
                  <w:rFonts w:ascii="Times New Roman" w:hAnsi="Times New Roman"/>
                  <w:color w:val="000000"/>
                  <w:sz w:val="20"/>
                </w:rPr>
                <w:t>11 A.3d 214 (Del. 2010)</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228_1">
              <w:r>
                <w:rPr>
                  <w:rFonts w:ascii="Times New Roman" w:hAnsi="Times New Roman"/>
                  <w:color w:val="000000"/>
                  <w:sz w:val="20"/>
                  <w:vertAlign w:val="superscript"/>
                </w:rPr>
                <w:t>228</w:t>
              </w:r>
            </w:hyperlink>
          </w:p>
        </w:tc>
        <w:tc>
          <w:tcPr>
            <w:vAlign w:val="top"/>
          </w:tcPr>
          <w:p>
            <w:pPr>
              <w:pBdr>
                <w:bottom w:val="none" w:space="8"/>
              </w:pBdr>
              <w:spacing w:before="0" w:after="0" w:line="275" w:lineRule="atLeast"/>
              <w:jc w:val="both"/>
            </w:pPr>
            <w:r>
              <w:rPr>
                <w:rFonts w:ascii="Times New Roman" w:hAnsi="Times New Roman"/>
                <w:color w:val="000000"/>
                <w:sz w:val="20"/>
              </w:rPr>
              <w:t>JX-578 at 3.</w:t>
            </w:r>
          </w:p>
        </w:tc>
      </w:tr>
      <w:tr>
        <w:tblPrEx/>
        <w:trPr/>
        <w:tc>
          <w:tcPr>
            <w:vAlign w:val="top"/>
          </w:tcPr>
          <w:p>
            <w:pPr>
              <w:spacing w:before="0" w:after="0" w:line="275" w:lineRule="atLeast"/>
            </w:pPr>
            <w:hyperlink w:anchor="co_tablefootnote_229_1">
              <w:r>
                <w:rPr>
                  <w:rFonts w:ascii="Times New Roman" w:hAnsi="Times New Roman"/>
                  <w:color w:val="000000"/>
                  <w:sz w:val="20"/>
                  <w:vertAlign w:val="superscript"/>
                </w:rPr>
                <w:t>229</w:t>
              </w:r>
            </w:hyperlink>
          </w:p>
        </w:tc>
        <w:tc>
          <w:tcPr>
            <w:vAlign w:val="top"/>
          </w:tcPr>
          <w:p>
            <w:pPr>
              <w:pBdr>
                <w:bottom w:val="none" w:space="8"/>
              </w:pBdr>
              <w:spacing w:before="0" w:after="0" w:line="275" w:lineRule="atLeast"/>
              <w:jc w:val="both"/>
            </w:pPr>
            <w:r>
              <w:rPr>
                <w:rFonts w:ascii="Times New Roman" w:hAnsi="Times New Roman"/>
                <w:i/>
                <w:color w:val="000000"/>
                <w:sz w:val="20"/>
              </w:rPr>
              <w:t>Supra</w:t>
            </w:r>
            <w:r>
              <w:rPr>
                <w:rFonts w:ascii="Times New Roman" w:hAnsi="Times New Roman"/>
                <w:color w:val="000000"/>
                <w:sz w:val="20"/>
              </w:rPr>
              <w:t xml:space="preserve"> Section 1.A.1.b.</w:t>
            </w:r>
          </w:p>
        </w:tc>
      </w:tr>
      <w:tr>
        <w:tblPrEx/>
        <w:trPr/>
        <w:tc>
          <w:tcPr>
            <w:vAlign w:val="top"/>
          </w:tcPr>
          <w:p>
            <w:pPr>
              <w:spacing w:before="0" w:after="0" w:line="275" w:lineRule="atLeast"/>
            </w:pPr>
            <w:hyperlink w:anchor="co_tablefootnote_230_1">
              <w:r>
                <w:rPr>
                  <w:rFonts w:ascii="Times New Roman" w:hAnsi="Times New Roman"/>
                  <w:color w:val="000000"/>
                  <w:sz w:val="20"/>
                  <w:vertAlign w:val="superscript"/>
                </w:rPr>
                <w:t>230</w:t>
              </w:r>
            </w:hyperlink>
          </w:p>
        </w:tc>
        <w:tc>
          <w:tcPr>
            <w:vAlign w:val="top"/>
          </w:tcPr>
          <w:p>
            <w:pPr>
              <w:pBdr>
                <w:bottom w:val="none" w:space="8"/>
              </w:pBdr>
              <w:spacing w:before="0" w:after="0" w:line="275" w:lineRule="atLeast"/>
              <w:jc w:val="both"/>
            </w:pPr>
            <w:r>
              <w:rPr>
                <w:rFonts w:ascii="Times New Roman" w:hAnsi="Times New Roman"/>
                <w:color w:val="000000"/>
                <w:sz w:val="20"/>
              </w:rPr>
              <w:t>JX-3590 at 76; JX-2469 at 18-21; JX-3604 at 6-13; Tr. 1196:15-1198:14 (Musey-Direct); Tr. 1305:23-1310:12 (Barrick-Direct).</w:t>
            </w:r>
          </w:p>
        </w:tc>
      </w:tr>
      <w:tr>
        <w:tblPrEx/>
        <w:trPr/>
        <w:tc>
          <w:tcPr>
            <w:vAlign w:val="top"/>
          </w:tcPr>
          <w:p>
            <w:pPr>
              <w:spacing w:before="0" w:after="0" w:line="275" w:lineRule="atLeast"/>
            </w:pPr>
            <w:hyperlink w:anchor="co_tablefootnote_231_1">
              <w:r>
                <w:rPr>
                  <w:rFonts w:ascii="Times New Roman" w:hAnsi="Times New Roman"/>
                  <w:color w:val="000000"/>
                  <w:sz w:val="20"/>
                  <w:vertAlign w:val="superscript"/>
                </w:rPr>
                <w:t>231</w:t>
              </w:r>
            </w:hyperlink>
          </w:p>
        </w:tc>
        <w:tc>
          <w:tcPr>
            <w:vAlign w:val="top"/>
          </w:tcPr>
          <w:p>
            <w:pPr>
              <w:pBdr>
                <w:bottom w:val="none" w:space="8"/>
              </w:pBdr>
              <w:spacing w:before="0" w:after="0" w:line="275" w:lineRule="atLeast"/>
              <w:jc w:val="both"/>
            </w:pPr>
            <w:r>
              <w:rPr>
                <w:rFonts w:ascii="Times New Roman" w:hAnsi="Times New Roman"/>
                <w:i/>
                <w:color w:val="000000"/>
                <w:sz w:val="20"/>
              </w:rPr>
              <w:t>Compare</w:t>
            </w:r>
            <w:r>
              <w:rPr>
                <w:rFonts w:ascii="Times New Roman" w:hAnsi="Times New Roman"/>
                <w:color w:val="000000"/>
                <w:sz w:val="20"/>
              </w:rPr>
              <w:t xml:space="preserve"> Tr. 793:11-19 (Taylor-Direct) </w:t>
            </w:r>
            <w:r>
              <w:rPr>
                <w:rFonts w:ascii="Times New Roman" w:hAnsi="Times New Roman"/>
                <w:i/>
                <w:color w:val="000000"/>
                <w:sz w:val="20"/>
              </w:rPr>
              <w:t>with</w:t>
            </w:r>
            <w:r>
              <w:rPr>
                <w:rFonts w:ascii="Times New Roman" w:hAnsi="Times New Roman"/>
                <w:color w:val="000000"/>
                <w:sz w:val="20"/>
              </w:rPr>
              <w:t xml:space="preserve"> Tr. 1313:6-1314:21 (Barrick-Direct).</w:t>
            </w:r>
          </w:p>
        </w:tc>
      </w:tr>
      <w:tr>
        <w:tblPrEx/>
        <w:trPr/>
        <w:tc>
          <w:tcPr>
            <w:vAlign w:val="top"/>
          </w:tcPr>
          <w:p>
            <w:pPr>
              <w:spacing w:before="0" w:after="0" w:line="275" w:lineRule="atLeast"/>
            </w:pPr>
            <w:hyperlink w:anchor="co_tablefootnote_232_1">
              <w:r>
                <w:rPr>
                  <w:rFonts w:ascii="Times New Roman" w:hAnsi="Times New Roman"/>
                  <w:color w:val="000000"/>
                  <w:sz w:val="20"/>
                  <w:vertAlign w:val="superscript"/>
                </w:rPr>
                <w:t>232</w:t>
              </w:r>
            </w:hyperlink>
          </w:p>
        </w:tc>
        <w:tc>
          <w:tcPr>
            <w:vAlign w:val="top"/>
          </w:tcPr>
          <w:p>
            <w:pPr>
              <w:pBdr>
                <w:bottom w:val="none" w:space="8"/>
              </w:pBdr>
              <w:spacing w:before="0" w:after="0" w:line="275" w:lineRule="atLeast"/>
              <w:jc w:val="both"/>
            </w:pPr>
            <w:r>
              <w:rPr>
                <w:rFonts w:ascii="Times New Roman" w:hAnsi="Times New Roman"/>
                <w:color w:val="000000"/>
                <w:sz w:val="20"/>
              </w:rPr>
              <w:t>JX-2467 at 47.</w:t>
            </w:r>
          </w:p>
        </w:tc>
      </w:tr>
      <w:tr>
        <w:tblPrEx/>
        <w:trPr/>
        <w:tc>
          <w:tcPr>
            <w:vAlign w:val="top"/>
          </w:tcPr>
          <w:p>
            <w:pPr>
              <w:spacing w:before="0" w:after="0" w:line="275" w:lineRule="atLeast"/>
            </w:pPr>
            <w:hyperlink w:anchor="co_tablefootnote_233_1">
              <w:r>
                <w:rPr>
                  <w:rFonts w:ascii="Times New Roman" w:hAnsi="Times New Roman"/>
                  <w:color w:val="000000"/>
                  <w:sz w:val="20"/>
                  <w:vertAlign w:val="superscript"/>
                </w:rPr>
                <w:t>233</w:t>
              </w:r>
            </w:hyperlink>
          </w:p>
        </w:tc>
        <w:tc>
          <w:tcPr>
            <w:vAlign w:val="top"/>
          </w:tcPr>
          <w:p>
            <w:pPr>
              <w:pBdr>
                <w:bottom w:val="none" w:space="8"/>
              </w:pBdr>
              <w:spacing w:before="0" w:after="0" w:line="275" w:lineRule="atLeast"/>
              <w:jc w:val="both"/>
            </w:pPr>
            <w:r>
              <w:rPr>
                <w:rFonts w:ascii="Times New Roman" w:hAnsi="Times New Roman"/>
                <w:color w:val="000000"/>
                <w:sz w:val="20"/>
              </w:rPr>
              <w:t>JX-3604 at 12.</w:t>
            </w:r>
          </w:p>
        </w:tc>
      </w:tr>
      <w:tr>
        <w:tblPrEx/>
        <w:trPr/>
        <w:tc>
          <w:tcPr>
            <w:vAlign w:val="top"/>
          </w:tcPr>
          <w:p>
            <w:pPr>
              <w:spacing w:before="0" w:after="0" w:line="275" w:lineRule="atLeast"/>
            </w:pPr>
            <w:hyperlink w:anchor="co_tablefootnote_234_1">
              <w:r>
                <w:rPr>
                  <w:rFonts w:ascii="Times New Roman" w:hAnsi="Times New Roman"/>
                  <w:color w:val="000000"/>
                  <w:sz w:val="20"/>
                  <w:vertAlign w:val="superscript"/>
                </w:rPr>
                <w:t>234</w:t>
              </w:r>
            </w:hyperlink>
          </w:p>
        </w:tc>
        <w:tc>
          <w:tcPr>
            <w:vAlign w:val="top"/>
          </w:tcPr>
          <w:p>
            <w:pPr>
              <w:pBdr>
                <w:bottom w:val="none" w:space="8"/>
              </w:pBdr>
              <w:spacing w:before="0" w:after="0" w:line="275" w:lineRule="atLeast"/>
              <w:jc w:val="both"/>
            </w:pPr>
            <w:r>
              <w:rPr>
                <w:rFonts w:ascii="Times New Roman" w:hAnsi="Times New Roman"/>
                <w:color w:val="000000"/>
                <w:sz w:val="20"/>
              </w:rPr>
              <w:t>Tr. 1314:9-14 (Barrick-Direct).</w:t>
            </w:r>
          </w:p>
        </w:tc>
      </w:tr>
      <w:tr>
        <w:tblPrEx/>
        <w:trPr/>
        <w:tc>
          <w:tcPr>
            <w:vAlign w:val="top"/>
          </w:tcPr>
          <w:p>
            <w:pPr>
              <w:spacing w:before="0" w:after="0" w:line="275" w:lineRule="atLeast"/>
            </w:pPr>
            <w:hyperlink w:anchor="co_tablefootnote_235_1">
              <w:r>
                <w:rPr>
                  <w:rFonts w:ascii="Times New Roman" w:hAnsi="Times New Roman"/>
                  <w:color w:val="000000"/>
                  <w:sz w:val="20"/>
                  <w:vertAlign w:val="superscript"/>
                </w:rPr>
                <w:t>235</w:t>
              </w:r>
            </w:hyperlink>
          </w:p>
        </w:tc>
        <w:tc>
          <w:tcPr>
            <w:vAlign w:val="top"/>
          </w:tcPr>
          <w:p>
            <w:pPr>
              <w:pBdr>
                <w:bottom w:val="none" w:space="8"/>
              </w:pBdr>
              <w:spacing w:before="0" w:after="0" w:line="275" w:lineRule="atLeast"/>
              <w:jc w:val="both"/>
            </w:pPr>
            <w:r>
              <w:rPr>
                <w:rFonts w:ascii="Times New Roman" w:hAnsi="Times New Roman"/>
                <w:color w:val="000000"/>
                <w:sz w:val="20"/>
              </w:rPr>
              <w:t>JX-3551 at 4.</w:t>
            </w:r>
          </w:p>
        </w:tc>
      </w:tr>
      <w:tr>
        <w:tblPrEx/>
        <w:trPr/>
        <w:tc>
          <w:tcPr>
            <w:vAlign w:val="top"/>
          </w:tcPr>
          <w:p>
            <w:pPr>
              <w:spacing w:before="0" w:after="0" w:line="275" w:lineRule="atLeast"/>
            </w:pPr>
            <w:hyperlink w:anchor="co_tablefootnote_236_1">
              <w:r>
                <w:rPr>
                  <w:rFonts w:ascii="Times New Roman" w:hAnsi="Times New Roman"/>
                  <w:color w:val="000000"/>
                  <w:sz w:val="20"/>
                  <w:vertAlign w:val="superscript"/>
                </w:rPr>
                <w:t>236</w:t>
              </w:r>
            </w:hyperlink>
          </w:p>
        </w:tc>
        <w:tc>
          <w:tcPr>
            <w:vAlign w:val="top"/>
          </w:tcPr>
          <w:p>
            <w:pPr>
              <w:pBdr>
                <w:bottom w:val="none" w:space="8"/>
              </w:pBdr>
              <w:spacing w:before="0" w:after="0" w:line="275" w:lineRule="atLeast"/>
              <w:jc w:val="both"/>
            </w:pPr>
            <w:r>
              <w:rPr>
                <w:rFonts w:ascii="Times New Roman" w:hAnsi="Times New Roman"/>
                <w:color w:val="000000"/>
                <w:sz w:val="20"/>
              </w:rPr>
              <w:t>Tr. 651:8-12 (Teske-Cross).</w:t>
            </w:r>
          </w:p>
        </w:tc>
      </w:tr>
      <w:tr>
        <w:tblPrEx/>
        <w:trPr/>
        <w:tc>
          <w:tcPr>
            <w:vAlign w:val="top"/>
          </w:tcPr>
          <w:p>
            <w:pPr>
              <w:spacing w:before="0" w:after="0" w:line="275" w:lineRule="atLeast"/>
            </w:pPr>
            <w:hyperlink w:anchor="co_tablefootnote_237_1">
              <w:r>
                <w:rPr>
                  <w:rFonts w:ascii="Times New Roman" w:hAnsi="Times New Roman"/>
                  <w:color w:val="000000"/>
                  <w:sz w:val="20"/>
                  <w:vertAlign w:val="superscript"/>
                </w:rPr>
                <w:t>237</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738:4-8 (Taylor-Direct). Ms. Taylor also assumes lower subscribers for Las Cruces without understanding AT&amp;T converted many Las Cruces subscribers for itself. Pls. OPTB at 49-51; </w:t>
            </w:r>
            <w:r>
              <w:rPr>
                <w:rFonts w:ascii="Times New Roman" w:hAnsi="Times New Roman"/>
                <w:i/>
                <w:color w:val="000000"/>
                <w:sz w:val="20"/>
              </w:rPr>
              <w:t>Compare</w:t>
            </w:r>
            <w:r>
              <w:rPr>
                <w:rFonts w:ascii="Times New Roman" w:hAnsi="Times New Roman"/>
                <w:color w:val="000000"/>
                <w:sz w:val="20"/>
              </w:rPr>
              <w:t xml:space="preserve"> JX-1295 </w:t>
            </w:r>
            <w:r>
              <w:rPr>
                <w:rFonts w:ascii="Times New Roman" w:hAnsi="Times New Roman"/>
                <w:i/>
                <w:color w:val="000000"/>
                <w:sz w:val="20"/>
              </w:rPr>
              <w:t>with</w:t>
            </w:r>
            <w:r>
              <w:rPr>
                <w:rFonts w:ascii="Times New Roman" w:hAnsi="Times New Roman"/>
                <w:color w:val="000000"/>
                <w:sz w:val="20"/>
              </w:rPr>
              <w:t xml:space="preserve"> Taylor Dep. Tr. 293:14-296:4.</w:t>
            </w:r>
          </w:p>
        </w:tc>
      </w:tr>
      <w:tr>
        <w:tblPrEx/>
        <w:trPr/>
        <w:tc>
          <w:tcPr>
            <w:vAlign w:val="top"/>
          </w:tcPr>
          <w:p>
            <w:pPr>
              <w:spacing w:before="0" w:after="0" w:line="275" w:lineRule="atLeast"/>
            </w:pPr>
            <w:hyperlink w:anchor="co_tablefootnote_238_1">
              <w:r>
                <w:rPr>
                  <w:rFonts w:ascii="Times New Roman" w:hAnsi="Times New Roman"/>
                  <w:color w:val="000000"/>
                  <w:sz w:val="20"/>
                  <w:vertAlign w:val="superscript"/>
                </w:rPr>
                <w:t>238</w:t>
              </w:r>
            </w:hyperlink>
          </w:p>
        </w:tc>
        <w:tc>
          <w:tcPr>
            <w:vAlign w:val="top"/>
          </w:tcPr>
          <w:p>
            <w:pPr>
              <w:pBdr>
                <w:bottom w:val="none" w:space="8"/>
              </w:pBdr>
              <w:spacing w:before="0" w:after="0" w:line="275" w:lineRule="atLeast"/>
              <w:jc w:val="both"/>
            </w:pPr>
            <w:r>
              <w:rPr>
                <w:rFonts w:ascii="Times New Roman" w:hAnsi="Times New Roman"/>
                <w:color w:val="000000"/>
                <w:sz w:val="20"/>
              </w:rPr>
              <w:t>JX-3590 at 73.</w:t>
            </w:r>
          </w:p>
        </w:tc>
      </w:tr>
      <w:tr>
        <w:tblPrEx/>
        <w:trPr/>
        <w:tc>
          <w:tcPr>
            <w:vAlign w:val="top"/>
          </w:tcPr>
          <w:p>
            <w:pPr>
              <w:spacing w:before="0" w:after="0" w:line="275" w:lineRule="atLeast"/>
            </w:pPr>
            <w:hyperlink w:anchor="co_tablefootnote_239_1">
              <w:r>
                <w:rPr>
                  <w:rFonts w:ascii="Times New Roman" w:hAnsi="Times New Roman"/>
                  <w:color w:val="000000"/>
                  <w:sz w:val="20"/>
                  <w:vertAlign w:val="superscript"/>
                </w:rPr>
                <w:t>239</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1187:8-15 (Musey-Direct); </w:t>
            </w:r>
            <w:r>
              <w:rPr>
                <w:rFonts w:ascii="Times New Roman" w:hAnsi="Times New Roman"/>
                <w:i/>
                <w:color w:val="000000"/>
                <w:sz w:val="20"/>
              </w:rPr>
              <w:t>see also</w:t>
            </w:r>
            <w:r>
              <w:rPr>
                <w:rFonts w:ascii="Times New Roman" w:hAnsi="Times New Roman"/>
                <w:color w:val="000000"/>
                <w:sz w:val="20"/>
              </w:rPr>
              <w:t xml:space="preserve"> JX-3590 at 38-59; JX-2468 at 40-46. Ms. Taylor's testimony and opinions on this topic should be stricken. Plaintiffs objected to Ms. Taylor's testimony and opinions on this topic at trial and the Court instructed the parties “to take this up in post-trial briefing.” Tr. 748:1-2. The Court stated that “if, indeed, there's a basis for me to effectively exclude it and not consider it and leave the record on Mr. Wages' admittedly agnostic testimony, we'll do that.” Tr. 748:2-5. There is good reason exclude Ms. Taylor's testimony and opinions on this topic. In response to a </w:t>
            </w:r>
            <w:hyperlink r:id="r105">
              <w:r>
                <w:rPr>
                  <w:rFonts w:ascii="Times New Roman" w:hAnsi="Times New Roman"/>
                  <w:color w:val="000000"/>
                  <w:sz w:val="20"/>
                </w:rPr>
                <w:t>Rule 30(b)(6)</w:t>
              </w:r>
            </w:hyperlink>
            <w:r>
              <w:rPr>
                <w:rFonts w:ascii="Times New Roman" w:hAnsi="Times New Roman"/>
                <w:color w:val="000000"/>
                <w:sz w:val="20"/>
              </w:rPr>
              <w:t xml:space="preserve"> notice on the topic, AT&amp;T designated Mr. Wages to testify and Mr. Wages was deposed on the topic. </w:t>
            </w:r>
            <w:r>
              <w:rPr>
                <w:rFonts w:ascii="Times New Roman" w:hAnsi="Times New Roman"/>
                <w:i/>
                <w:color w:val="000000"/>
                <w:sz w:val="20"/>
              </w:rPr>
              <w:t>See, e.g.,</w:t>
            </w:r>
            <w:r>
              <w:rPr>
                <w:rFonts w:ascii="Times New Roman" w:hAnsi="Times New Roman"/>
                <w:color w:val="000000"/>
                <w:sz w:val="20"/>
              </w:rPr>
              <w:t xml:space="preserve"> Wages Dep. (6-19-2019) Tr. 53:22-55 and 335-344. Mr. Wages testified that in preparing for the deposition, Viday Gaddamanugu educated him on SMARTFlow including how it works and what it provides to AT&amp;T. </w:t>
            </w:r>
            <w:r>
              <w:rPr>
                <w:rFonts w:ascii="Times New Roman" w:hAnsi="Times New Roman"/>
                <w:i/>
                <w:color w:val="000000"/>
                <w:sz w:val="20"/>
              </w:rPr>
              <w:t>Id.</w:t>
            </w:r>
            <w:r>
              <w:rPr>
                <w:rFonts w:ascii="Times New Roman" w:hAnsi="Times New Roman"/>
                <w:color w:val="000000"/>
                <w:sz w:val="20"/>
              </w:rPr>
              <w:t xml:space="preserve"> Unsatisfied with Mr. Wages deposition testimony, on which Mr. Musey relied (</w:t>
            </w:r>
            <w:r>
              <w:rPr>
                <w:rFonts w:ascii="Times New Roman" w:hAnsi="Times New Roman"/>
                <w:i/>
                <w:color w:val="000000"/>
                <w:sz w:val="20"/>
              </w:rPr>
              <w:t>see, e.g.,</w:t>
            </w:r>
            <w:r>
              <w:rPr>
                <w:rFonts w:ascii="Times New Roman" w:hAnsi="Times New Roman"/>
                <w:color w:val="000000"/>
                <w:sz w:val="20"/>
              </w:rPr>
              <w:t xml:space="preserve"> JX-3590 at 42 and JX-2468 at 5-6), Ms. Taylor instead relied on a call “someone on [her] team” had with Mr. Gaddamanugu after opening expert reports were exchanged. JX-2467 at 36-37; Taylor Dep. Tr. 93:6-96:1. Yet even at trial, AT&amp;T presented Mr. Wages not Mr. Gaddamanugu to testify on the topic. AT&amp;T cannot alter the factual record to its liking based on Ms. Taylor's hearsay. </w:t>
            </w:r>
            <w:r>
              <w:rPr>
                <w:rFonts w:ascii="Times New Roman" w:hAnsi="Times New Roman"/>
                <w:i/>
                <w:color w:val="000000"/>
                <w:sz w:val="20"/>
              </w:rPr>
              <w:t xml:space="preserve">See, e.g., </w:t>
            </w:r>
            <w:hyperlink r:id="r106">
              <w:r>
                <w:rPr>
                  <w:rFonts w:ascii="Times New Roman" w:hAnsi="Times New Roman"/>
                  <w:i/>
                  <w:color w:val="000000"/>
                  <w:sz w:val="20"/>
                </w:rPr>
                <w:t>Emerging Commc'ns,</w:t>
              </w:r>
              <w:r>
                <w:rPr>
                  <w:rFonts w:ascii="Times New Roman" w:hAnsi="Times New Roman"/>
                  <w:color w:val="000000"/>
                  <w:sz w:val="20"/>
                </w:rPr>
                <w:t xml:space="preserve"> 2004 WL 1305745, at *30</w:t>
              </w:r>
            </w:hyperlink>
            <w:r>
              <w:rPr>
                <w:rFonts w:ascii="Times New Roman" w:hAnsi="Times New Roman"/>
                <w:color w:val="000000"/>
                <w:sz w:val="20"/>
              </w:rPr>
              <w:t xml:space="preserve"> (rejecting valuation for, </w:t>
            </w:r>
            <w:r>
              <w:rPr>
                <w:rFonts w:ascii="Times New Roman" w:hAnsi="Times New Roman"/>
                <w:i/>
                <w:color w:val="000000"/>
                <w:sz w:val="20"/>
              </w:rPr>
              <w:t>inter alia,</w:t>
            </w:r>
            <w:r>
              <w:rPr>
                <w:rFonts w:ascii="Times New Roman" w:hAnsi="Times New Roman"/>
                <w:color w:val="000000"/>
                <w:sz w:val="20"/>
              </w:rPr>
              <w:t xml:space="preserve"> relying on discussions with management rather than doing what “litigation experts in the valuation area customarily do: conducting careful due diligence using the sworn testimony and contemporaneous discovery record.”).</w:t>
            </w:r>
          </w:p>
        </w:tc>
      </w:tr>
      <w:tr>
        <w:tblPrEx/>
        <w:trPr/>
        <w:tc>
          <w:tcPr>
            <w:tcMar>
              <w:left w:w="30" w:type="dxa"/>
              <w:right w:w="30" w:type="dxa"/>
            </w:tcMar>
            <w:vAlign w:val="top"/>
          </w:tcPr>
          <w:p>
            <w:pPr>
              <w:spacing w:before="0" w:after="0" w:line="240" w:lineRule="auto"/>
              <w:rPr>
                <w:rFonts w:ascii="Times New Roman" w:hAnsi="Times New Roman"/>
                <w:color w:val="000000"/>
                <w:sz w:val="20"/>
              </w:rPr>
            </w:pPr>
          </w:p>
        </w:tc>
        <w:tc>
          <w:tcPr>
            <w:vAlign w:val="top"/>
          </w:tcPr>
          <w:p>
            <w:pPr>
              <w:pBdr>
                <w:bottom w:val="none" w:space="8"/>
              </w:pBdr>
              <w:spacing w:before="0" w:after="0" w:line="275" w:lineRule="atLeast"/>
              <w:jc w:val="both"/>
            </w:pPr>
            <w:r>
              <w:rPr>
                <w:rFonts w:ascii="Times New Roman" w:hAnsi="Times New Roman"/>
                <w:i/>
                <w:color w:val="000000"/>
                <w:sz w:val="20"/>
              </w:rPr>
              <w:t>See, e.g.,</w:t>
            </w:r>
            <w:r>
              <w:rPr>
                <w:rFonts w:ascii="Times New Roman" w:hAnsi="Times New Roman"/>
                <w:color w:val="000000"/>
                <w:sz w:val="20"/>
              </w:rPr>
              <w:t xml:space="preserve"> JX-2467 at 36-37 (relying on “call with Mr. Gaddamanugu” after the close of fact discovery instead of AT&amp;T's </w:t>
            </w:r>
            <w:hyperlink r:id="r107">
              <w:r>
                <w:rPr>
                  <w:rFonts w:ascii="Times New Roman" w:hAnsi="Times New Roman"/>
                  <w:color w:val="000000"/>
                  <w:sz w:val="20"/>
                </w:rPr>
                <w:t>Rule 30(b)(6)</w:t>
              </w:r>
            </w:hyperlink>
            <w:r>
              <w:rPr>
                <w:rFonts w:ascii="Times New Roman" w:hAnsi="Times New Roman"/>
                <w:color w:val="000000"/>
                <w:sz w:val="20"/>
              </w:rPr>
              <w:t xml:space="preserve"> testimony on the issue); Taylor Dep. Tr. 93:6-96:1; Tr. 743:17-748:9 (Plaintiffs objecting to Ms. Taylor's testimony and opinions based on contradictory hearsay outside fact discovery and Court ruling preserving the objection).</w:t>
            </w:r>
          </w:p>
        </w:tc>
      </w:tr>
      <w:tr>
        <w:tblPrEx/>
        <w:trPr/>
        <w:tc>
          <w:tcPr>
            <w:vAlign w:val="top"/>
          </w:tcPr>
          <w:p>
            <w:pPr>
              <w:spacing w:before="0" w:after="0" w:line="275" w:lineRule="atLeast"/>
            </w:pPr>
            <w:hyperlink w:anchor="co_tablefootnote_240_1">
              <w:r>
                <w:rPr>
                  <w:rFonts w:ascii="Times New Roman" w:hAnsi="Times New Roman"/>
                  <w:color w:val="000000"/>
                  <w:sz w:val="20"/>
                  <w:vertAlign w:val="superscript"/>
                </w:rPr>
                <w:t>240</w:t>
              </w:r>
            </w:hyperlink>
          </w:p>
        </w:tc>
        <w:tc>
          <w:tcPr>
            <w:vAlign w:val="top"/>
          </w:tcPr>
          <w:p>
            <w:pPr>
              <w:pBdr>
                <w:bottom w:val="none" w:space="8"/>
              </w:pBdr>
              <w:spacing w:before="0" w:after="0" w:line="275" w:lineRule="atLeast"/>
              <w:jc w:val="both"/>
            </w:pPr>
            <w:r>
              <w:rPr>
                <w:rFonts w:ascii="Times New Roman" w:hAnsi="Times New Roman"/>
                <w:color w:val="000000"/>
                <w:sz w:val="20"/>
              </w:rPr>
              <w:t>Tr. 948:2-14 (Taylor-Cross); Tr. 1157:15-23 (Musey-Direct); JX-3605; JX-2469 at 21.</w:t>
            </w:r>
          </w:p>
        </w:tc>
      </w:tr>
      <w:tr>
        <w:tblPrEx/>
        <w:trPr/>
        <w:tc>
          <w:tcPr>
            <w:vAlign w:val="top"/>
          </w:tcPr>
          <w:p>
            <w:pPr>
              <w:spacing w:before="0" w:after="0" w:line="275" w:lineRule="atLeast"/>
            </w:pPr>
            <w:hyperlink w:anchor="co_tablefootnote_241_1">
              <w:r>
                <w:rPr>
                  <w:rFonts w:ascii="Times New Roman" w:hAnsi="Times New Roman"/>
                  <w:color w:val="000000"/>
                  <w:sz w:val="20"/>
                  <w:vertAlign w:val="superscript"/>
                </w:rPr>
                <w:t>241</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JX-2636 at 1; </w:t>
            </w:r>
            <w:r>
              <w:rPr>
                <w:rFonts w:ascii="Times New Roman" w:hAnsi="Times New Roman"/>
                <w:i/>
                <w:color w:val="000000"/>
                <w:sz w:val="20"/>
              </w:rPr>
              <w:t>see also</w:t>
            </w:r>
            <w:r>
              <w:rPr>
                <w:rFonts w:ascii="Times New Roman" w:hAnsi="Times New Roman"/>
                <w:color w:val="000000"/>
                <w:sz w:val="20"/>
              </w:rPr>
              <w:t xml:space="preserve"> JX-2463 at 75 (Ex. 12) and 106 (Ex. 35); </w:t>
            </w:r>
            <w:r>
              <w:rPr>
                <w:rFonts w:ascii="Times New Roman" w:hAnsi="Times New Roman"/>
                <w:i/>
                <w:color w:val="000000"/>
                <w:sz w:val="20"/>
              </w:rPr>
              <w:t>see also</w:t>
            </w:r>
            <w:r>
              <w:rPr>
                <w:rFonts w:ascii="Times New Roman" w:hAnsi="Times New Roman"/>
                <w:color w:val="000000"/>
                <w:sz w:val="20"/>
              </w:rPr>
              <w:t xml:space="preserve"> Tr. 1183:4-9 (Musey-Direct).</w:t>
            </w:r>
          </w:p>
        </w:tc>
      </w:tr>
      <w:tr>
        <w:tblPrEx/>
        <w:trPr/>
        <w:tc>
          <w:tcPr>
            <w:vAlign w:val="top"/>
          </w:tcPr>
          <w:p>
            <w:pPr>
              <w:spacing w:before="0" w:after="0" w:line="275" w:lineRule="atLeast"/>
            </w:pPr>
            <w:hyperlink w:anchor="co_tablefootnote_242_1">
              <w:r>
                <w:rPr>
                  <w:rFonts w:ascii="Times New Roman" w:hAnsi="Times New Roman"/>
                  <w:color w:val="000000"/>
                  <w:sz w:val="20"/>
                  <w:vertAlign w:val="superscript"/>
                </w:rPr>
                <w:t>242</w:t>
              </w:r>
            </w:hyperlink>
          </w:p>
        </w:tc>
        <w:tc>
          <w:tcPr>
            <w:vAlign w:val="top"/>
          </w:tcPr>
          <w:p>
            <w:pPr>
              <w:pBdr>
                <w:bottom w:val="none" w:space="8"/>
              </w:pBdr>
              <w:spacing w:before="0" w:after="0" w:line="275" w:lineRule="atLeast"/>
              <w:jc w:val="both"/>
            </w:pPr>
            <w:r>
              <w:rPr>
                <w:rFonts w:ascii="Times New Roman" w:hAnsi="Times New Roman"/>
                <w:color w:val="000000"/>
                <w:sz w:val="20"/>
              </w:rPr>
              <w:t>JX-3563 at 51; Tr. 960:6-962:22 (Taylor-Cross). Reseller chum is substantially higher than other subscriber chum. Tr. 742:21-23 (Taylor-Direct).</w:t>
            </w:r>
          </w:p>
        </w:tc>
      </w:tr>
      <w:tr>
        <w:tblPrEx/>
        <w:trPr/>
        <w:tc>
          <w:tcPr>
            <w:vAlign w:val="top"/>
          </w:tcPr>
          <w:p>
            <w:pPr>
              <w:spacing w:before="0" w:after="0" w:line="275" w:lineRule="atLeast"/>
            </w:pPr>
            <w:hyperlink w:anchor="co_tablefootnote_243_1">
              <w:r>
                <w:rPr>
                  <w:rFonts w:ascii="Times New Roman" w:hAnsi="Times New Roman"/>
                  <w:color w:val="000000"/>
                  <w:sz w:val="20"/>
                  <w:vertAlign w:val="superscript"/>
                </w:rPr>
                <w:t>243</w:t>
              </w:r>
            </w:hyperlink>
          </w:p>
        </w:tc>
        <w:tc>
          <w:tcPr>
            <w:vAlign w:val="top"/>
          </w:tcPr>
          <w:p>
            <w:pPr>
              <w:pBdr>
                <w:bottom w:val="none" w:space="8"/>
              </w:pBdr>
              <w:spacing w:before="0" w:after="0" w:line="275" w:lineRule="atLeast"/>
              <w:jc w:val="both"/>
            </w:pPr>
            <w:r>
              <w:rPr>
                <w:rFonts w:ascii="Times New Roman" w:hAnsi="Times New Roman"/>
                <w:color w:val="000000"/>
                <w:sz w:val="20"/>
              </w:rPr>
              <w:t>JX-2467 at 34 and 39.</w:t>
            </w:r>
          </w:p>
        </w:tc>
      </w:tr>
      <w:tr>
        <w:tblPrEx/>
        <w:trPr/>
        <w:tc>
          <w:tcPr>
            <w:vAlign w:val="top"/>
          </w:tcPr>
          <w:p>
            <w:pPr>
              <w:spacing w:before="0" w:after="0" w:line="275" w:lineRule="atLeast"/>
            </w:pPr>
            <w:hyperlink w:anchor="co_tablefootnote_244_1">
              <w:r>
                <w:rPr>
                  <w:rFonts w:ascii="Times New Roman" w:hAnsi="Times New Roman"/>
                  <w:color w:val="000000"/>
                  <w:sz w:val="20"/>
                  <w:vertAlign w:val="superscript"/>
                </w:rPr>
                <w:t>244</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41-42.</w:t>
            </w:r>
          </w:p>
        </w:tc>
      </w:tr>
      <w:tr>
        <w:tblPrEx/>
        <w:trPr/>
        <w:tc>
          <w:tcPr>
            <w:vAlign w:val="top"/>
          </w:tcPr>
          <w:p>
            <w:pPr>
              <w:spacing w:before="0" w:after="0" w:line="275" w:lineRule="atLeast"/>
            </w:pPr>
            <w:hyperlink w:anchor="co_tablefootnote_245_1">
              <w:r>
                <w:rPr>
                  <w:rFonts w:ascii="Times New Roman" w:hAnsi="Times New Roman"/>
                  <w:color w:val="000000"/>
                  <w:sz w:val="20"/>
                  <w:vertAlign w:val="superscript"/>
                </w:rPr>
                <w:t>245</w:t>
              </w:r>
            </w:hyperlink>
          </w:p>
        </w:tc>
        <w:tc>
          <w:tcPr>
            <w:vAlign w:val="top"/>
          </w:tcPr>
          <w:p>
            <w:pPr>
              <w:pBdr>
                <w:bottom w:val="none" w:space="8"/>
              </w:pBdr>
              <w:spacing w:before="0" w:after="0" w:line="275" w:lineRule="atLeast"/>
              <w:jc w:val="both"/>
            </w:pPr>
            <w:r>
              <w:rPr>
                <w:rFonts w:ascii="Times New Roman" w:hAnsi="Times New Roman"/>
                <w:color w:val="000000"/>
                <w:sz w:val="20"/>
              </w:rPr>
              <w:t>Tr. 962:15-22 (Taylor-Cross) (“Q. You're an expert in the industry, yet you're comparing apples and oranges between a partnership and AT&amp;T chum rates, aren't you? A. I don't know.... I don't know the answer. Q. You don't know. A. No, I don't.”).</w:t>
            </w:r>
          </w:p>
        </w:tc>
      </w:tr>
      <w:tr>
        <w:tblPrEx/>
        <w:trPr/>
        <w:tc>
          <w:tcPr>
            <w:vAlign w:val="top"/>
          </w:tcPr>
          <w:p>
            <w:pPr>
              <w:spacing w:before="0" w:after="0" w:line="275" w:lineRule="atLeast"/>
            </w:pPr>
            <w:hyperlink w:anchor="co_tablefootnote_246_1">
              <w:r>
                <w:rPr>
                  <w:rFonts w:ascii="Times New Roman" w:hAnsi="Times New Roman"/>
                  <w:color w:val="000000"/>
                  <w:sz w:val="20"/>
                  <w:vertAlign w:val="superscript"/>
                </w:rPr>
                <w:t>246</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717:22-24 (Taylor-Direct) (“average revenue per user came down significantly, but it's really driven by subscriber mix.”); </w:t>
            </w:r>
            <w:r>
              <w:rPr>
                <w:rFonts w:ascii="Times New Roman" w:hAnsi="Times New Roman"/>
                <w:i/>
                <w:color w:val="000000"/>
                <w:sz w:val="20"/>
              </w:rPr>
              <w:t>id.</w:t>
            </w:r>
            <w:r>
              <w:rPr>
                <w:rFonts w:ascii="Times New Roman" w:hAnsi="Times New Roman"/>
                <w:color w:val="000000"/>
                <w:sz w:val="20"/>
              </w:rPr>
              <w:t xml:space="preserve"> 722:7-9 (Taylor-Direct) (“And what's really driving ARPU is that subscriber mix we were talking about before.”); </w:t>
            </w:r>
            <w:r>
              <w:rPr>
                <w:rFonts w:ascii="Times New Roman" w:hAnsi="Times New Roman"/>
                <w:i/>
                <w:color w:val="000000"/>
                <w:sz w:val="20"/>
              </w:rPr>
              <w:t>id.</w:t>
            </w:r>
            <w:r>
              <w:rPr>
                <w:rFonts w:ascii="Times New Roman" w:hAnsi="Times New Roman"/>
                <w:color w:val="000000"/>
                <w:sz w:val="20"/>
              </w:rPr>
              <w:t xml:space="preserve"> 737:10-18 (Taylor-Direct) (“And the biggest driver of that difference is the mix in terms of how many subscribers of each category.”); </w:t>
            </w:r>
            <w:r>
              <w:rPr>
                <w:rFonts w:ascii="Times New Roman" w:hAnsi="Times New Roman"/>
                <w:i/>
                <w:color w:val="000000"/>
                <w:sz w:val="20"/>
              </w:rPr>
              <w:t>id.</w:t>
            </w:r>
            <w:r>
              <w:rPr>
                <w:rFonts w:ascii="Times New Roman" w:hAnsi="Times New Roman"/>
                <w:color w:val="000000"/>
                <w:sz w:val="20"/>
              </w:rPr>
              <w:t xml:space="preserve"> 928:9-17 (Taylor-Cross) (“Q. What's the other dispute relating to ARPU? A. The mix. He [Mr. Musey] ignores the mix of the partnerships. Q. Okay. A. Subscriber mix, just so I'm clear. Q. Which, in your opinion, plays into projecting ARPU right? A. Yes. Absolutely.”).</w:t>
            </w:r>
          </w:p>
        </w:tc>
      </w:tr>
      <w:tr>
        <w:tblPrEx/>
        <w:trPr/>
        <w:tc>
          <w:tcPr>
            <w:vAlign w:val="top"/>
          </w:tcPr>
          <w:p>
            <w:pPr>
              <w:spacing w:before="0" w:after="0" w:line="275" w:lineRule="atLeast"/>
            </w:pPr>
            <w:hyperlink w:anchor="co_tablefootnote_247_1">
              <w:r>
                <w:rPr>
                  <w:rFonts w:ascii="Times New Roman" w:hAnsi="Times New Roman"/>
                  <w:color w:val="000000"/>
                  <w:sz w:val="20"/>
                  <w:vertAlign w:val="superscript"/>
                </w:rPr>
                <w:t>247</w:t>
              </w:r>
            </w:hyperlink>
          </w:p>
        </w:tc>
        <w:tc>
          <w:tcPr>
            <w:vAlign w:val="top"/>
          </w:tcPr>
          <w:p>
            <w:pPr>
              <w:pBdr>
                <w:bottom w:val="none" w:space="8"/>
              </w:pBdr>
              <w:spacing w:before="0" w:after="0" w:line="275" w:lineRule="atLeast"/>
              <w:jc w:val="both"/>
            </w:pPr>
            <w:r>
              <w:rPr>
                <w:rFonts w:ascii="Times New Roman" w:hAnsi="Times New Roman"/>
                <w:color w:val="000000"/>
                <w:sz w:val="20"/>
              </w:rPr>
              <w:t>JX-3525 Galveston (Taylor ARPU assumption: $56.57; subscriber mix: $53.38; 6% premium); JX-3528 Provo (Taylor ARPU assumption: $59.25; subscriber mix: $56.85; 4% premium); JX-3531 Sarasota (Taylor ARPU assumption: $43.17; subscriber mix: $42.74; 1% premium).</w:t>
            </w:r>
          </w:p>
        </w:tc>
      </w:tr>
      <w:tr>
        <w:tblPrEx/>
        <w:trPr/>
        <w:tc>
          <w:tcPr>
            <w:vAlign w:val="top"/>
          </w:tcPr>
          <w:p>
            <w:pPr>
              <w:spacing w:before="0" w:after="0" w:line="275" w:lineRule="atLeast"/>
            </w:pPr>
            <w:hyperlink w:anchor="co_tablefootnote_248_1">
              <w:r>
                <w:rPr>
                  <w:rFonts w:ascii="Times New Roman" w:hAnsi="Times New Roman"/>
                  <w:color w:val="000000"/>
                  <w:sz w:val="20"/>
                  <w:vertAlign w:val="superscript"/>
                </w:rPr>
                <w:t>248</w:t>
              </w:r>
            </w:hyperlink>
          </w:p>
        </w:tc>
        <w:tc>
          <w:tcPr>
            <w:vAlign w:val="top"/>
          </w:tcPr>
          <w:p>
            <w:pPr>
              <w:pBdr>
                <w:bottom w:val="none" w:space="8"/>
              </w:pBdr>
              <w:spacing w:before="0" w:after="0" w:line="275" w:lineRule="atLeast"/>
              <w:jc w:val="both"/>
            </w:pPr>
            <w:r>
              <w:rPr>
                <w:rFonts w:ascii="Times New Roman" w:hAnsi="Times New Roman"/>
                <w:color w:val="000000"/>
                <w:sz w:val="20"/>
              </w:rPr>
              <w:t>JX-3526 Las Cruces (Taylor ARPU: $48.41; subscriber mix: $56.80; 15% discount); JX-3527 Melbourne (Taylor ARPU: $44.66; subscriber mix: $51.49; 13% discount); JX-3522 Bloomington (Taylor ARPU: $44.45; subscriber mix: $51.33; 13% discount); JX-3520 Alton (Taylor ARPU: $41.68; subscriber mix: $48.11; 13% discount); JX-3532 Visalia (Taylor ARPU: $49.62; subscriber mix: $56.14; 12% discount); JX-3524 Bremerton (Taylor ARPU: $42.55; subscriber mix: $46.19; 8% discount); JX-3530 Salem (Taylor ARPU: $45.68; subscriber mix: $49.92; 8% discount); JX-3529 Reno (Taylor ARPU: $52.42; subscriber mix: $54.75; 4% discount).</w:t>
            </w:r>
          </w:p>
        </w:tc>
      </w:tr>
      <w:tr>
        <w:tblPrEx/>
        <w:trPr/>
        <w:tc>
          <w:tcPr>
            <w:vAlign w:val="top"/>
          </w:tcPr>
          <w:p>
            <w:pPr>
              <w:spacing w:before="0" w:after="0" w:line="275" w:lineRule="atLeast"/>
            </w:pPr>
            <w:hyperlink w:anchor="co_tablefootnote_249_1">
              <w:r>
                <w:rPr>
                  <w:rFonts w:ascii="Times New Roman" w:hAnsi="Times New Roman"/>
                  <w:color w:val="000000"/>
                  <w:sz w:val="20"/>
                  <w:vertAlign w:val="superscript"/>
                </w:rPr>
                <w:t>249</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Based on Taylor's 2010 projected subscriber revenue for the Partnerships. </w:t>
            </w:r>
            <w:r>
              <w:rPr>
                <w:rFonts w:ascii="Times New Roman" w:hAnsi="Times New Roman"/>
                <w:i/>
                <w:color w:val="000000"/>
                <w:sz w:val="20"/>
              </w:rPr>
              <w:t>See supra</w:t>
            </w:r>
            <w:r>
              <w:rPr>
                <w:rFonts w:ascii="Times New Roman" w:hAnsi="Times New Roman"/>
                <w:color w:val="000000"/>
                <w:sz w:val="20"/>
              </w:rPr>
              <w:t xml:space="preserve"> n244 and n245, and JX-2665 at 147-59.</w:t>
            </w:r>
          </w:p>
        </w:tc>
      </w:tr>
      <w:tr>
        <w:tblPrEx/>
        <w:trPr/>
        <w:tc>
          <w:tcPr>
            <w:vAlign w:val="top"/>
          </w:tcPr>
          <w:p>
            <w:pPr>
              <w:spacing w:before="0" w:after="0" w:line="275" w:lineRule="atLeast"/>
            </w:pPr>
            <w:hyperlink w:anchor="co_tablefootnote_250_1">
              <w:r>
                <w:rPr>
                  <w:rFonts w:ascii="Times New Roman" w:hAnsi="Times New Roman"/>
                  <w:color w:val="000000"/>
                  <w:sz w:val="20"/>
                  <w:vertAlign w:val="superscript"/>
                </w:rPr>
                <w:t>250</w:t>
              </w:r>
            </w:hyperlink>
          </w:p>
        </w:tc>
        <w:tc>
          <w:tcPr>
            <w:vAlign w:val="top"/>
          </w:tcPr>
          <w:p>
            <w:pPr>
              <w:pBdr>
                <w:bottom w:val="none" w:space="8"/>
              </w:pBdr>
              <w:spacing w:before="0" w:after="0" w:line="275" w:lineRule="atLeast"/>
              <w:jc w:val="both"/>
            </w:pPr>
            <w:r>
              <w:rPr>
                <w:rFonts w:ascii="Times New Roman" w:hAnsi="Times New Roman"/>
                <w:color w:val="000000"/>
                <w:sz w:val="20"/>
              </w:rPr>
              <w:t>Tr. 931:22-932:10 (Taylor-Cross).</w:t>
            </w:r>
          </w:p>
        </w:tc>
      </w:tr>
      <w:tr>
        <w:tblPrEx/>
        <w:trPr/>
        <w:tc>
          <w:tcPr>
            <w:vAlign w:val="top"/>
          </w:tcPr>
          <w:p>
            <w:pPr>
              <w:spacing w:before="0" w:after="0" w:line="275" w:lineRule="atLeast"/>
            </w:pPr>
            <w:hyperlink w:anchor="co_tablefootnote_251_1">
              <w:r>
                <w:rPr>
                  <w:rFonts w:ascii="Times New Roman" w:hAnsi="Times New Roman"/>
                  <w:color w:val="000000"/>
                  <w:sz w:val="20"/>
                  <w:vertAlign w:val="superscript"/>
                </w:rPr>
                <w:t>251</w:t>
              </w:r>
            </w:hyperlink>
          </w:p>
        </w:tc>
        <w:tc>
          <w:tcPr>
            <w:vAlign w:val="top"/>
          </w:tcPr>
          <w:p>
            <w:pPr>
              <w:pBdr>
                <w:bottom w:val="none" w:space="8"/>
              </w:pBdr>
              <w:spacing w:before="0" w:after="0" w:line="275" w:lineRule="atLeast"/>
              <w:jc w:val="both"/>
            </w:pPr>
            <w:r>
              <w:rPr>
                <w:rFonts w:ascii="Times New Roman" w:hAnsi="Times New Roman"/>
                <w:color w:val="000000"/>
                <w:sz w:val="20"/>
              </w:rPr>
              <w:t>Tr. 931:11-15 (Taylor-Cross).</w:t>
            </w:r>
          </w:p>
        </w:tc>
      </w:tr>
      <w:tr>
        <w:tblPrEx/>
        <w:trPr/>
        <w:tc>
          <w:tcPr>
            <w:vAlign w:val="top"/>
          </w:tcPr>
          <w:p>
            <w:pPr>
              <w:spacing w:before="0" w:after="0" w:line="275" w:lineRule="atLeast"/>
            </w:pPr>
            <w:hyperlink w:anchor="co_tablefootnote_252_1">
              <w:r>
                <w:rPr>
                  <w:rFonts w:ascii="Times New Roman" w:hAnsi="Times New Roman"/>
                  <w:color w:val="000000"/>
                  <w:sz w:val="20"/>
                  <w:vertAlign w:val="superscript"/>
                </w:rPr>
                <w:t>252</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887:6-20 (Taylor-Cross); </w:t>
            </w:r>
            <w:r>
              <w:rPr>
                <w:rFonts w:ascii="Times New Roman" w:hAnsi="Times New Roman"/>
                <w:i/>
                <w:color w:val="000000"/>
                <w:sz w:val="20"/>
              </w:rPr>
              <w:t>see also</w:t>
            </w:r>
            <w:r>
              <w:rPr>
                <w:rFonts w:ascii="Times New Roman" w:hAnsi="Times New Roman"/>
                <w:color w:val="000000"/>
                <w:sz w:val="20"/>
              </w:rPr>
              <w:t xml:space="preserve"> JX-3597.</w:t>
            </w:r>
          </w:p>
        </w:tc>
      </w:tr>
      <w:tr>
        <w:tblPrEx/>
        <w:trPr/>
        <w:tc>
          <w:tcPr>
            <w:vAlign w:val="top"/>
          </w:tcPr>
          <w:p>
            <w:pPr>
              <w:spacing w:before="0" w:after="0" w:line="275" w:lineRule="atLeast"/>
            </w:pPr>
            <w:hyperlink w:anchor="co_tablefootnote_253_1">
              <w:r>
                <w:rPr>
                  <w:rFonts w:ascii="Times New Roman" w:hAnsi="Times New Roman"/>
                  <w:color w:val="000000"/>
                  <w:sz w:val="20"/>
                  <w:vertAlign w:val="superscript"/>
                </w:rPr>
                <w:t>253</w:t>
              </w:r>
            </w:hyperlink>
          </w:p>
        </w:tc>
        <w:tc>
          <w:tcPr>
            <w:vAlign w:val="top"/>
          </w:tcPr>
          <w:p>
            <w:pPr>
              <w:pBdr>
                <w:bottom w:val="none" w:space="8"/>
              </w:pBdr>
              <w:spacing w:before="0" w:after="0" w:line="275" w:lineRule="atLeast"/>
              <w:jc w:val="both"/>
            </w:pPr>
            <w:r>
              <w:rPr>
                <w:rFonts w:ascii="Times New Roman" w:hAnsi="Times New Roman"/>
                <w:color w:val="000000"/>
                <w:sz w:val="20"/>
              </w:rPr>
              <w:t>Tr. 933:14-23 (Taylor-Cross).</w:t>
            </w:r>
          </w:p>
        </w:tc>
      </w:tr>
      <w:tr>
        <w:tblPrEx/>
        <w:trPr/>
        <w:tc>
          <w:tcPr>
            <w:vAlign w:val="top"/>
          </w:tcPr>
          <w:p>
            <w:pPr>
              <w:spacing w:before="0" w:after="0" w:line="275" w:lineRule="atLeast"/>
            </w:pPr>
            <w:hyperlink w:anchor="co_tablefootnote_254_1">
              <w:r>
                <w:rPr>
                  <w:rFonts w:ascii="Times New Roman" w:hAnsi="Times New Roman"/>
                  <w:color w:val="000000"/>
                  <w:sz w:val="20"/>
                  <w:vertAlign w:val="superscript"/>
                </w:rPr>
                <w:t>254</w:t>
              </w:r>
            </w:hyperlink>
          </w:p>
        </w:tc>
        <w:tc>
          <w:tcPr>
            <w:vAlign w:val="top"/>
          </w:tcPr>
          <w:p>
            <w:pPr>
              <w:pBdr>
                <w:bottom w:val="none" w:space="8"/>
              </w:pBdr>
              <w:spacing w:before="0" w:after="0" w:line="275" w:lineRule="atLeast"/>
              <w:jc w:val="both"/>
            </w:pPr>
            <w:r>
              <w:rPr>
                <w:rFonts w:ascii="Times New Roman" w:hAnsi="Times New Roman"/>
                <w:color w:val="000000"/>
                <w:sz w:val="20"/>
              </w:rPr>
              <w:t>Tr. 594:10-596:9 (Teske-Cross); JX-487.</w:t>
            </w:r>
          </w:p>
        </w:tc>
      </w:tr>
      <w:tr>
        <w:tblPrEx/>
        <w:trPr/>
        <w:tc>
          <w:tcPr>
            <w:vAlign w:val="top"/>
          </w:tcPr>
          <w:p>
            <w:pPr>
              <w:spacing w:before="0" w:after="0" w:line="275" w:lineRule="atLeast"/>
            </w:pPr>
            <w:hyperlink w:anchor="co_tablefootnote_255_1">
              <w:r>
                <w:rPr>
                  <w:rFonts w:ascii="Times New Roman" w:hAnsi="Times New Roman"/>
                  <w:color w:val="000000"/>
                  <w:sz w:val="20"/>
                  <w:vertAlign w:val="superscript"/>
                </w:rPr>
                <w:t>255</w:t>
              </w:r>
            </w:hyperlink>
          </w:p>
        </w:tc>
        <w:tc>
          <w:tcPr>
            <w:vAlign w:val="top"/>
          </w:tcPr>
          <w:p>
            <w:pPr>
              <w:pBdr>
                <w:bottom w:val="none" w:space="8"/>
              </w:pBdr>
              <w:spacing w:before="0" w:after="0" w:line="275" w:lineRule="atLeast"/>
              <w:jc w:val="both"/>
            </w:pPr>
            <w:r>
              <w:rPr>
                <w:rFonts w:ascii="Times New Roman" w:hAnsi="Times New Roman"/>
                <w:color w:val="000000"/>
                <w:sz w:val="20"/>
              </w:rPr>
              <w:t>Tr. 589:16-590:7 (Teske-Cross).</w:t>
            </w:r>
          </w:p>
        </w:tc>
      </w:tr>
      <w:tr>
        <w:tblPrEx/>
        <w:trPr/>
        <w:tc>
          <w:tcPr>
            <w:vAlign w:val="top"/>
          </w:tcPr>
          <w:p>
            <w:pPr>
              <w:spacing w:before="0" w:after="0" w:line="275" w:lineRule="atLeast"/>
            </w:pPr>
            <w:hyperlink w:anchor="co_tablefootnote_256_1">
              <w:r>
                <w:rPr>
                  <w:rFonts w:ascii="Times New Roman" w:hAnsi="Times New Roman"/>
                  <w:color w:val="000000"/>
                  <w:sz w:val="20"/>
                  <w:vertAlign w:val="superscript"/>
                </w:rPr>
                <w:t>256</w:t>
              </w:r>
            </w:hyperlink>
          </w:p>
        </w:tc>
        <w:tc>
          <w:tcPr>
            <w:vAlign w:val="top"/>
          </w:tcPr>
          <w:p>
            <w:pPr>
              <w:pBdr>
                <w:bottom w:val="none" w:space="8"/>
              </w:pBdr>
              <w:spacing w:before="0" w:after="0" w:line="275" w:lineRule="atLeast"/>
              <w:jc w:val="both"/>
            </w:pPr>
            <w:r>
              <w:rPr>
                <w:rFonts w:ascii="Times New Roman" w:hAnsi="Times New Roman"/>
                <w:color w:val="000000"/>
                <w:sz w:val="20"/>
              </w:rPr>
              <w:t>JX-2465 at 147-159.</w:t>
            </w:r>
          </w:p>
        </w:tc>
      </w:tr>
      <w:tr>
        <w:tblPrEx/>
        <w:trPr/>
        <w:tc>
          <w:tcPr>
            <w:vAlign w:val="top"/>
          </w:tcPr>
          <w:p>
            <w:pPr>
              <w:spacing w:before="0" w:after="0" w:line="275" w:lineRule="atLeast"/>
            </w:pPr>
            <w:hyperlink w:anchor="co_tablefootnote_257_1">
              <w:r>
                <w:rPr>
                  <w:rFonts w:ascii="Times New Roman" w:hAnsi="Times New Roman"/>
                  <w:color w:val="000000"/>
                  <w:sz w:val="20"/>
                  <w:vertAlign w:val="superscript"/>
                </w:rPr>
                <w:t>257</w:t>
              </w:r>
            </w:hyperlink>
          </w:p>
        </w:tc>
        <w:tc>
          <w:tcPr>
            <w:vAlign w:val="top"/>
          </w:tcPr>
          <w:p>
            <w:pPr>
              <w:pBdr>
                <w:bottom w:val="none" w:space="8"/>
              </w:pBdr>
              <w:spacing w:before="0" w:after="0" w:line="275" w:lineRule="atLeast"/>
              <w:jc w:val="both"/>
            </w:pPr>
            <w:r>
              <w:rPr>
                <w:rFonts w:ascii="Times New Roman" w:hAnsi="Times New Roman"/>
                <w:color w:val="000000"/>
                <w:sz w:val="20"/>
              </w:rPr>
              <w:t>Tr. 935:13-19 (Taylor-Cross).</w:t>
            </w:r>
          </w:p>
        </w:tc>
      </w:tr>
      <w:tr>
        <w:tblPrEx/>
        <w:trPr/>
        <w:tc>
          <w:tcPr>
            <w:vAlign w:val="top"/>
          </w:tcPr>
          <w:p>
            <w:pPr>
              <w:spacing w:before="0" w:after="0" w:line="275" w:lineRule="atLeast"/>
            </w:pPr>
            <w:hyperlink w:anchor="co_tablefootnote_258_1">
              <w:r>
                <w:rPr>
                  <w:rFonts w:ascii="Times New Roman" w:hAnsi="Times New Roman"/>
                  <w:color w:val="000000"/>
                  <w:sz w:val="20"/>
                  <w:vertAlign w:val="superscript"/>
                </w:rPr>
                <w:t>258</w:t>
              </w:r>
            </w:hyperlink>
          </w:p>
        </w:tc>
        <w:tc>
          <w:tcPr>
            <w:vAlign w:val="top"/>
          </w:tcPr>
          <w:p>
            <w:pPr>
              <w:pBdr>
                <w:bottom w:val="none" w:space="8"/>
              </w:pBdr>
              <w:spacing w:before="0" w:after="0" w:line="275" w:lineRule="atLeast"/>
              <w:jc w:val="both"/>
            </w:pPr>
            <w:r>
              <w:rPr>
                <w:rFonts w:ascii="Times New Roman" w:hAnsi="Times New Roman"/>
                <w:color w:val="000000"/>
                <w:sz w:val="20"/>
              </w:rPr>
              <w:t>JX-2107 at 25; Tr. 936:7-937:4 (Taylor-Cross).</w:t>
            </w:r>
          </w:p>
        </w:tc>
      </w:tr>
      <w:tr>
        <w:tblPrEx/>
        <w:trPr/>
        <w:tc>
          <w:tcPr>
            <w:vAlign w:val="top"/>
          </w:tcPr>
          <w:p>
            <w:pPr>
              <w:spacing w:before="0" w:after="0" w:line="275" w:lineRule="atLeast"/>
            </w:pPr>
            <w:hyperlink w:anchor="co_tablefootnote_259_1">
              <w:r>
                <w:rPr>
                  <w:rFonts w:ascii="Times New Roman" w:hAnsi="Times New Roman"/>
                  <w:color w:val="000000"/>
                  <w:sz w:val="20"/>
                  <w:vertAlign w:val="superscript"/>
                </w:rPr>
                <w:t>259</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938:12-24 (“Q. So those few months of data, that was enough for you to be able to project subscriber mix for a ten-year period? Is that what you're testifying to? A. Well, you're -- no. In the prior ones -- maybe, I'd have to go back and look, but there wasn't much of a change, right? And in here, there's only a few where there's a big trended change. And it's really the one that Metro and Leap have entered.”) Recall, “Metro and Leap” were also Ms. Taylor's rationale - indeed, her only rationale for Bellingham, Bremerton, Las Cruces for adding her “size premium.” </w:t>
            </w:r>
            <w:r>
              <w:rPr>
                <w:rFonts w:ascii="Times New Roman" w:hAnsi="Times New Roman"/>
                <w:i/>
                <w:color w:val="000000"/>
                <w:sz w:val="20"/>
              </w:rPr>
              <w:t>See</w:t>
            </w:r>
            <w:r>
              <w:rPr>
                <w:rFonts w:ascii="Times New Roman" w:hAnsi="Times New Roman"/>
                <w:color w:val="000000"/>
                <w:sz w:val="20"/>
              </w:rPr>
              <w:t xml:space="preserve"> JX-2636 at 6; </w:t>
            </w:r>
            <w:r>
              <w:rPr>
                <w:rFonts w:ascii="Times New Roman" w:hAnsi="Times New Roman"/>
                <w:i/>
                <w:color w:val="000000"/>
                <w:sz w:val="20"/>
              </w:rPr>
              <w:t>see also</w:t>
            </w:r>
            <w:r>
              <w:rPr>
                <w:rFonts w:ascii="Times New Roman" w:hAnsi="Times New Roman"/>
                <w:color w:val="000000"/>
                <w:sz w:val="20"/>
              </w:rPr>
              <w:t xml:space="preserve"> Tr. 1320:8-1323:6 (Barrick-Direct) (noting Ms. Taylor is double and triple counting for competition in her models).</w:t>
            </w:r>
          </w:p>
        </w:tc>
      </w:tr>
      <w:tr>
        <w:tblPrEx/>
        <w:trPr/>
        <w:tc>
          <w:tcPr>
            <w:vAlign w:val="top"/>
          </w:tcPr>
          <w:p>
            <w:pPr>
              <w:spacing w:before="0" w:after="0" w:line="275" w:lineRule="atLeast"/>
            </w:pPr>
            <w:hyperlink w:anchor="co_tablefootnote_260_1">
              <w:r>
                <w:rPr>
                  <w:rFonts w:ascii="Times New Roman" w:hAnsi="Times New Roman"/>
                  <w:color w:val="000000"/>
                  <w:sz w:val="20"/>
                  <w:vertAlign w:val="superscript"/>
                </w:rPr>
                <w:t>260</w:t>
              </w:r>
            </w:hyperlink>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JX-3551 at 3 (AT&amp;T “does not have a significant past practice of voluntarily selling licenses where it currently provides wireless service.”). The FCC has forced AT&amp;T to divest assets in the past, but Ms. Taylor concedes that an FCC ordered divestiture of assets is not a comparable transaction. </w:t>
            </w:r>
            <w:r>
              <w:rPr>
                <w:rFonts w:ascii="Times New Roman" w:hAnsi="Times New Roman"/>
                <w:i/>
                <w:color w:val="000000"/>
                <w:sz w:val="20"/>
              </w:rPr>
              <w:t>See, e.g.,</w:t>
            </w:r>
            <w:r>
              <w:rPr>
                <w:rFonts w:ascii="Times New Roman" w:hAnsi="Times New Roman"/>
                <w:color w:val="000000"/>
                <w:sz w:val="20"/>
              </w:rPr>
              <w:t xml:space="preserve"> JX-2463 at 118.</w:t>
            </w:r>
          </w:p>
        </w:tc>
      </w:tr>
      <w:tr>
        <w:tblPrEx/>
        <w:trPr/>
        <w:tc>
          <w:tcPr>
            <w:vAlign w:val="top"/>
          </w:tcPr>
          <w:p>
            <w:pPr>
              <w:spacing w:before="0" w:after="0" w:line="275" w:lineRule="atLeast"/>
            </w:pPr>
            <w:hyperlink w:anchor="co_tablefootnote_261_1">
              <w:r>
                <w:rPr>
                  <w:rFonts w:ascii="Times New Roman" w:hAnsi="Times New Roman"/>
                  <w:color w:val="000000"/>
                  <w:sz w:val="20"/>
                  <w:vertAlign w:val="superscript"/>
                </w:rPr>
                <w:t>261</w:t>
              </w:r>
            </w:hyperlink>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JX-3551 at 3 (AT&amp;T “believes that if it were to sell any of its licenses, it is probable that a substantial portion of the licenses would be sold together.”).</w:t>
            </w:r>
          </w:p>
        </w:tc>
      </w:tr>
      <w:tr>
        <w:tblPrEx/>
        <w:trPr/>
        <w:tc>
          <w:tcPr>
            <w:vAlign w:val="top"/>
          </w:tcPr>
          <w:p>
            <w:pPr>
              <w:spacing w:before="0" w:after="0" w:line="275" w:lineRule="atLeast"/>
            </w:pPr>
            <w:hyperlink w:anchor="co_tablefootnote_262_1">
              <w:r>
                <w:rPr>
                  <w:rFonts w:ascii="Times New Roman" w:hAnsi="Times New Roman"/>
                  <w:color w:val="000000"/>
                  <w:sz w:val="20"/>
                  <w:vertAlign w:val="superscript"/>
                </w:rPr>
                <w:t>262</w:t>
              </w:r>
            </w:hyperlink>
          </w:p>
        </w:tc>
        <w:tc>
          <w:tcPr>
            <w:vAlign w:val="top"/>
          </w:tcPr>
          <w:p>
            <w:pPr>
              <w:pBdr>
                <w:bottom w:val="none" w:space="8"/>
              </w:pBdr>
              <w:spacing w:before="0" w:after="0" w:line="275" w:lineRule="atLeast"/>
              <w:jc w:val="both"/>
            </w:pPr>
            <w:r>
              <w:rPr>
                <w:rFonts w:ascii="Times New Roman" w:hAnsi="Times New Roman"/>
                <w:i/>
                <w:color w:val="000000"/>
                <w:sz w:val="20"/>
              </w:rPr>
              <w:t>See, e.g.,</w:t>
            </w:r>
            <w:r>
              <w:rPr>
                <w:rFonts w:ascii="Times New Roman" w:hAnsi="Times New Roman"/>
                <w:color w:val="000000"/>
                <w:sz w:val="20"/>
              </w:rPr>
              <w:t xml:space="preserve"> JX-1996 at 4; </w:t>
            </w:r>
            <w:r>
              <w:rPr>
                <w:rFonts w:ascii="Times New Roman" w:hAnsi="Times New Roman"/>
                <w:i/>
                <w:color w:val="000000"/>
                <w:sz w:val="20"/>
              </w:rPr>
              <w:t>but see</w:t>
            </w:r>
            <w:r>
              <w:rPr>
                <w:rFonts w:ascii="Times New Roman" w:hAnsi="Times New Roman"/>
                <w:color w:val="000000"/>
                <w:sz w:val="20"/>
              </w:rPr>
              <w:t xml:space="preserve"> Taylor Dep. Tr. 216:24-217:2 (testifying she was unaware of the fact).</w:t>
            </w:r>
          </w:p>
        </w:tc>
      </w:tr>
      <w:tr>
        <w:tblPrEx/>
        <w:trPr/>
        <w:tc>
          <w:tcPr>
            <w:vAlign w:val="top"/>
          </w:tcPr>
          <w:p>
            <w:pPr>
              <w:spacing w:before="0" w:after="0" w:line="275" w:lineRule="atLeast"/>
            </w:pPr>
            <w:hyperlink w:anchor="co_tablefootnote_263_1">
              <w:r>
                <w:rPr>
                  <w:rFonts w:ascii="Times New Roman" w:hAnsi="Times New Roman"/>
                  <w:color w:val="000000"/>
                  <w:sz w:val="20"/>
                  <w:vertAlign w:val="superscript"/>
                </w:rPr>
                <w:t>263</w:t>
              </w:r>
            </w:hyperlink>
          </w:p>
        </w:tc>
        <w:tc>
          <w:tcPr>
            <w:vAlign w:val="top"/>
          </w:tcPr>
          <w:p>
            <w:pPr>
              <w:pBdr>
                <w:bottom w:val="none" w:space="8"/>
              </w:pBdr>
              <w:spacing w:before="0" w:after="0" w:line="275" w:lineRule="atLeast"/>
              <w:jc w:val="both"/>
            </w:pPr>
            <w:r>
              <w:rPr>
                <w:rFonts w:ascii="Times New Roman" w:hAnsi="Times New Roman"/>
                <w:color w:val="000000"/>
                <w:sz w:val="20"/>
              </w:rPr>
              <w:t>Tr. 1326:1-7 (Barrick-Direct).</w:t>
            </w:r>
          </w:p>
        </w:tc>
      </w:tr>
      <w:tr>
        <w:tblPrEx/>
        <w:trPr/>
        <w:tc>
          <w:tcPr>
            <w:vAlign w:val="top"/>
          </w:tcPr>
          <w:p>
            <w:pPr>
              <w:spacing w:before="0" w:after="0" w:line="275" w:lineRule="atLeast"/>
            </w:pPr>
            <w:hyperlink w:anchor="co_tablefootnote_264_1">
              <w:r>
                <w:rPr>
                  <w:rFonts w:ascii="Times New Roman" w:hAnsi="Times New Roman"/>
                  <w:color w:val="000000"/>
                  <w:sz w:val="20"/>
                  <w:vertAlign w:val="superscript"/>
                </w:rPr>
                <w:t>264</w:t>
              </w:r>
            </w:hyperlink>
          </w:p>
        </w:tc>
        <w:tc>
          <w:tcPr>
            <w:vAlign w:val="top"/>
          </w:tcPr>
          <w:p>
            <w:pPr>
              <w:pBdr>
                <w:bottom w:val="none" w:space="8"/>
              </w:pBdr>
              <w:spacing w:before="0" w:after="0" w:line="275" w:lineRule="atLeast"/>
              <w:jc w:val="both"/>
            </w:pPr>
            <w:r>
              <w:rPr>
                <w:rFonts w:ascii="Times New Roman" w:hAnsi="Times New Roman"/>
                <w:color w:val="000000"/>
                <w:sz w:val="20"/>
              </w:rPr>
              <w:t>JX-2469 at 30.</w:t>
            </w:r>
          </w:p>
        </w:tc>
      </w:tr>
      <w:tr>
        <w:tblPrEx/>
        <w:trPr/>
        <w:tc>
          <w:tcPr>
            <w:vAlign w:val="top"/>
          </w:tcPr>
          <w:p>
            <w:pPr>
              <w:spacing w:before="0" w:after="0" w:line="275" w:lineRule="atLeast"/>
            </w:pPr>
            <w:hyperlink w:anchor="co_tablefootnote_265_1">
              <w:r>
                <w:rPr>
                  <w:rFonts w:ascii="Times New Roman" w:hAnsi="Times New Roman"/>
                  <w:color w:val="000000"/>
                  <w:sz w:val="20"/>
                  <w:vertAlign w:val="superscript"/>
                </w:rPr>
                <w:t>265</w:t>
              </w:r>
            </w:hyperlink>
          </w:p>
        </w:tc>
        <w:tc>
          <w:tcPr>
            <w:vAlign w:val="top"/>
          </w:tcPr>
          <w:p>
            <w:pPr>
              <w:pBdr>
                <w:bottom w:val="none" w:space="8"/>
              </w:pBdr>
              <w:spacing w:before="0" w:after="0" w:line="275" w:lineRule="atLeast"/>
              <w:jc w:val="both"/>
            </w:pPr>
            <w:r>
              <w:rPr>
                <w:rFonts w:ascii="Times New Roman" w:hAnsi="Times New Roman"/>
                <w:color w:val="000000"/>
                <w:sz w:val="20"/>
              </w:rPr>
              <w:t>JX-2469 at 32.</w:t>
            </w:r>
          </w:p>
        </w:tc>
      </w:tr>
      <w:tr>
        <w:tblPrEx/>
        <w:trPr/>
        <w:tc>
          <w:tcPr>
            <w:vAlign w:val="top"/>
          </w:tcPr>
          <w:p>
            <w:pPr>
              <w:spacing w:before="0" w:after="0" w:line="275" w:lineRule="atLeast"/>
            </w:pPr>
            <w:hyperlink w:anchor="co_tablefootnote_266_1">
              <w:r>
                <w:rPr>
                  <w:rFonts w:ascii="Times New Roman" w:hAnsi="Times New Roman"/>
                  <w:color w:val="000000"/>
                  <w:sz w:val="20"/>
                  <w:vertAlign w:val="superscript"/>
                </w:rPr>
                <w:t>266</w:t>
              </w:r>
            </w:hyperlink>
          </w:p>
        </w:tc>
        <w:tc>
          <w:tcPr>
            <w:vAlign w:val="top"/>
          </w:tcPr>
          <w:p>
            <w:pPr>
              <w:pBdr>
                <w:bottom w:val="none" w:space="8"/>
              </w:pBdr>
              <w:spacing w:before="0" w:after="0" w:line="275" w:lineRule="atLeast"/>
              <w:jc w:val="both"/>
            </w:pPr>
            <w:r>
              <w:rPr>
                <w:rFonts w:ascii="Times New Roman" w:hAnsi="Times New Roman"/>
                <w:color w:val="000000"/>
                <w:sz w:val="20"/>
              </w:rPr>
              <w:t>JX-3552 at 54.</w:t>
            </w:r>
          </w:p>
        </w:tc>
      </w:tr>
      <w:tr>
        <w:tblPrEx/>
        <w:trPr/>
        <w:tc>
          <w:tcPr>
            <w:vAlign w:val="top"/>
          </w:tcPr>
          <w:p>
            <w:pPr>
              <w:spacing w:before="0" w:after="0" w:line="275" w:lineRule="atLeast"/>
            </w:pPr>
            <w:hyperlink w:anchor="co_tablefootnote_267_1">
              <w:r>
                <w:rPr>
                  <w:rFonts w:ascii="Times New Roman" w:hAnsi="Times New Roman"/>
                  <w:color w:val="000000"/>
                  <w:sz w:val="20"/>
                  <w:vertAlign w:val="superscript"/>
                </w:rPr>
                <w:t>267</w:t>
              </w:r>
            </w:hyperlink>
          </w:p>
        </w:tc>
        <w:tc>
          <w:tcPr>
            <w:vAlign w:val="top"/>
          </w:tcPr>
          <w:p>
            <w:pPr>
              <w:pBdr>
                <w:bottom w:val="none" w:space="8"/>
              </w:pBdr>
              <w:spacing w:before="0" w:after="0" w:line="275" w:lineRule="atLeast"/>
              <w:jc w:val="both"/>
            </w:pPr>
            <w:r>
              <w:rPr>
                <w:rFonts w:ascii="Times New Roman" w:hAnsi="Times New Roman"/>
                <w:color w:val="000000"/>
                <w:sz w:val="20"/>
              </w:rPr>
              <w:t>JX-2463 at 120 (Ex. 46); Tr. 984:11-21 (Taylor-Cross).</w:t>
            </w:r>
          </w:p>
        </w:tc>
      </w:tr>
      <w:tr>
        <w:tblPrEx/>
        <w:trPr/>
        <w:tc>
          <w:tcPr>
            <w:vAlign w:val="top"/>
          </w:tcPr>
          <w:p>
            <w:pPr>
              <w:spacing w:before="0" w:after="0" w:line="275" w:lineRule="atLeast"/>
            </w:pPr>
            <w:hyperlink w:anchor="co_tablefootnote_268_1">
              <w:r>
                <w:rPr>
                  <w:rFonts w:ascii="Times New Roman" w:hAnsi="Times New Roman"/>
                  <w:color w:val="000000"/>
                  <w:sz w:val="20"/>
                  <w:vertAlign w:val="superscript"/>
                </w:rPr>
                <w:t>268</w:t>
              </w:r>
            </w:hyperlink>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JX-2463 at 120 (Ex. 46). Ms. Taylor first adds an additional $1.8 billion to T-Multiple's profitability. She then divides her artificial LTM EBITA ($4.08 billion) by T-Mobile's actual profitability, which equals 1.8 (i.e., 80% more profitable than T-Mobile actually was). Ms. Taylor than divides the deal price ($39 billion) by 1.8 to arrive at her assumed “Adjusted EV with Control Only.” She then divides her adjusted equity value rather than T-Mobile's actual equity value by T-Mobile's actual LTM EBITA to derive her deeply discounted 9.6x EBITA multiple.</w:t>
            </w:r>
          </w:p>
        </w:tc>
      </w:tr>
      <w:tr>
        <w:tblPrEx/>
        <w:trPr/>
        <w:tc>
          <w:tcPr>
            <w:vAlign w:val="top"/>
          </w:tcPr>
          <w:p>
            <w:pPr>
              <w:spacing w:before="0" w:after="0" w:line="275" w:lineRule="atLeast"/>
            </w:pPr>
            <w:hyperlink w:anchor="co_tablefootnote_269_1">
              <w:r>
                <w:rPr>
                  <w:rFonts w:ascii="Times New Roman" w:hAnsi="Times New Roman"/>
                  <w:color w:val="000000"/>
                  <w:sz w:val="20"/>
                  <w:vertAlign w:val="superscript"/>
                </w:rPr>
                <w:t>269</w:t>
              </w:r>
            </w:hyperlink>
          </w:p>
        </w:tc>
        <w:tc>
          <w:tcPr>
            <w:vAlign w:val="top"/>
          </w:tcPr>
          <w:p>
            <w:pPr>
              <w:pBdr>
                <w:bottom w:val="none" w:space="8"/>
              </w:pBdr>
              <w:spacing w:before="0" w:after="0" w:line="275" w:lineRule="atLeast"/>
              <w:jc w:val="both"/>
            </w:pPr>
            <w:r>
              <w:rPr>
                <w:rFonts w:ascii="Times New Roman" w:hAnsi="Times New Roman"/>
                <w:color w:val="000000"/>
                <w:sz w:val="20"/>
              </w:rPr>
              <w:t>Tr. 984:17-21 (Taylor-Cross).</w:t>
            </w:r>
          </w:p>
        </w:tc>
      </w:tr>
      <w:tr>
        <w:tblPrEx/>
        <w:trPr/>
        <w:tc>
          <w:tcPr>
            <w:vAlign w:val="top"/>
          </w:tcPr>
          <w:p>
            <w:pPr>
              <w:spacing w:before="0" w:after="0" w:line="275" w:lineRule="atLeast"/>
            </w:pPr>
            <w:hyperlink w:anchor="co_tablefootnote_270_1">
              <w:r>
                <w:rPr>
                  <w:rFonts w:ascii="Times New Roman" w:hAnsi="Times New Roman"/>
                  <w:color w:val="000000"/>
                  <w:sz w:val="20"/>
                  <w:vertAlign w:val="superscript"/>
                </w:rPr>
                <w:t>270</w:t>
              </w:r>
            </w:hyperlink>
          </w:p>
        </w:tc>
        <w:tc>
          <w:tcPr>
            <w:vAlign w:val="top"/>
          </w:tcPr>
          <w:p>
            <w:pPr>
              <w:pBdr>
                <w:bottom w:val="none" w:space="8"/>
              </w:pBdr>
              <w:spacing w:before="0" w:after="0" w:line="275" w:lineRule="atLeast"/>
              <w:jc w:val="both"/>
            </w:pPr>
            <w:r>
              <w:rPr>
                <w:rFonts w:ascii="Times New Roman" w:hAnsi="Times New Roman"/>
                <w:color w:val="000000"/>
                <w:sz w:val="20"/>
              </w:rPr>
              <w:t>JX-2463 at 120 (Ex. 46, n.2: “T-Mobile synergies represent 2012E cash impact of the transaction.”).</w:t>
            </w:r>
          </w:p>
        </w:tc>
      </w:tr>
      <w:tr>
        <w:tblPrEx/>
        <w:trPr/>
        <w:tc>
          <w:tcPr>
            <w:vAlign w:val="top"/>
          </w:tcPr>
          <w:p>
            <w:pPr>
              <w:spacing w:before="0" w:after="0" w:line="275" w:lineRule="atLeast"/>
            </w:pPr>
            <w:hyperlink w:anchor="co_tablefootnote_271_1">
              <w:r>
                <w:rPr>
                  <w:rFonts w:ascii="Times New Roman" w:hAnsi="Times New Roman"/>
                  <w:color w:val="000000"/>
                  <w:sz w:val="20"/>
                  <w:vertAlign w:val="superscript"/>
                </w:rPr>
                <w:t>271</w:t>
              </w:r>
            </w:hyperlink>
          </w:p>
        </w:tc>
        <w:tc>
          <w:tcPr>
            <w:vAlign w:val="top"/>
          </w:tcPr>
          <w:p>
            <w:pPr>
              <w:pBdr>
                <w:bottom w:val="none" w:space="8"/>
              </w:pBdr>
              <w:spacing w:before="0" w:after="0" w:line="275" w:lineRule="atLeast"/>
              <w:jc w:val="both"/>
            </w:pPr>
            <w:r>
              <w:rPr>
                <w:rFonts w:ascii="Times New Roman" w:hAnsi="Times New Roman"/>
                <w:color w:val="000000"/>
                <w:sz w:val="20"/>
              </w:rPr>
              <w:t>JX-1893 at 6.</w:t>
            </w:r>
          </w:p>
        </w:tc>
      </w:tr>
      <w:tr>
        <w:tblPrEx/>
        <w:trPr/>
        <w:tc>
          <w:tcPr>
            <w:vAlign w:val="top"/>
          </w:tcPr>
          <w:p>
            <w:pPr>
              <w:spacing w:before="0" w:after="0" w:line="275" w:lineRule="atLeast"/>
            </w:pPr>
            <w:hyperlink w:anchor="co_tablefootnote_272_1">
              <w:r>
                <w:rPr>
                  <w:rFonts w:ascii="Times New Roman" w:hAnsi="Times New Roman"/>
                  <w:color w:val="000000"/>
                  <w:sz w:val="20"/>
                  <w:vertAlign w:val="superscript"/>
                </w:rPr>
                <w:t>272</w:t>
              </w:r>
            </w:hyperlink>
          </w:p>
        </w:tc>
        <w:tc>
          <w:tcPr>
            <w:vAlign w:val="top"/>
          </w:tcPr>
          <w:p>
            <w:pPr>
              <w:pBdr>
                <w:bottom w:val="none" w:space="8"/>
              </w:pBdr>
              <w:spacing w:before="0" w:after="0" w:line="275" w:lineRule="atLeast"/>
              <w:jc w:val="both"/>
            </w:pPr>
            <w:r>
              <w:rPr>
                <w:rFonts w:ascii="Times New Roman" w:hAnsi="Times New Roman"/>
                <w:color w:val="000000"/>
                <w:sz w:val="20"/>
              </w:rPr>
              <w:t>Tr. 988:5-7 (Taylor-Cross).</w:t>
            </w:r>
          </w:p>
        </w:tc>
      </w:tr>
      <w:tr>
        <w:tblPrEx/>
        <w:trPr/>
        <w:tc>
          <w:tcPr>
            <w:vAlign w:val="top"/>
          </w:tcPr>
          <w:p>
            <w:pPr>
              <w:spacing w:before="0" w:after="0" w:line="275" w:lineRule="atLeast"/>
            </w:pPr>
            <w:hyperlink w:anchor="co_tablefootnote_273_1">
              <w:r>
                <w:rPr>
                  <w:rFonts w:ascii="Times New Roman" w:hAnsi="Times New Roman"/>
                  <w:color w:val="000000"/>
                  <w:sz w:val="20"/>
                  <w:vertAlign w:val="superscript"/>
                </w:rPr>
                <w:t>273</w:t>
              </w:r>
            </w:hyperlink>
          </w:p>
        </w:tc>
        <w:tc>
          <w:tcPr>
            <w:vAlign w:val="top"/>
          </w:tcPr>
          <w:p>
            <w:pPr>
              <w:pBdr>
                <w:bottom w:val="none" w:space="8"/>
              </w:pBdr>
              <w:spacing w:before="0" w:after="0" w:line="275" w:lineRule="atLeast"/>
              <w:jc w:val="both"/>
            </w:pPr>
            <w:r>
              <w:rPr>
                <w:rFonts w:ascii="Times New Roman" w:hAnsi="Times New Roman"/>
                <w:color w:val="000000"/>
                <w:sz w:val="20"/>
              </w:rPr>
              <w:t>JX-1893 at 7 ($1.8 - $3.6 = $1.8).</w:t>
            </w:r>
          </w:p>
        </w:tc>
      </w:tr>
      <w:tr>
        <w:tblPrEx/>
        <w:trPr/>
        <w:tc>
          <w:tcPr>
            <w:vAlign w:val="top"/>
          </w:tcPr>
          <w:p>
            <w:pPr>
              <w:spacing w:before="0" w:after="0" w:line="275" w:lineRule="atLeast"/>
            </w:pPr>
            <w:hyperlink w:anchor="co_tablefootnote_274_1">
              <w:r>
                <w:rPr>
                  <w:rFonts w:ascii="Times New Roman" w:hAnsi="Times New Roman"/>
                  <w:color w:val="000000"/>
                  <w:sz w:val="20"/>
                  <w:vertAlign w:val="superscript"/>
                </w:rPr>
                <w:t>274</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T-Mobile is not the only instance of Ms. Taylor's financial ju-jitsu: Ms. Taylor assumes Alltel was 60% more profitable than it was. JX-2463 at 120 (Ex. 46). Similarly, without analysis, Ms. Taylor assumes only 15% of the 121.4% premium paid by AT&amp;T to acquire Centennial Communications in November 2008 related to control value, and the rest reflected synergistic value. </w:t>
            </w:r>
            <w:r>
              <w:rPr>
                <w:rFonts w:ascii="Times New Roman" w:hAnsi="Times New Roman"/>
                <w:i/>
                <w:color w:val="000000"/>
                <w:sz w:val="20"/>
              </w:rPr>
              <w:t>Id.</w:t>
            </w:r>
            <w:r>
              <w:rPr>
                <w:rFonts w:ascii="Times New Roman" w:hAnsi="Times New Roman"/>
                <w:color w:val="000000"/>
                <w:sz w:val="20"/>
              </w:rPr>
              <w:t xml:space="preserve"> at 119. This Court rejected this transaction as comparable in the Appraisal Action noting AT&amp;T acquired Centennial at the trough of the Great Recession, which involved one of the direst liquidity crises the world has ever experienced. Centennial was also distressed. JX-2468 at 69.</w:t>
            </w:r>
          </w:p>
        </w:tc>
      </w:tr>
      <w:tr>
        <w:tblPrEx/>
        <w:trPr/>
        <w:tc>
          <w:tcPr>
            <w:vAlign w:val="top"/>
          </w:tcPr>
          <w:p>
            <w:pPr>
              <w:spacing w:before="0" w:after="0" w:line="275" w:lineRule="atLeast"/>
            </w:pPr>
            <w:hyperlink w:anchor="co_tablefootnote_275_1">
              <w:r>
                <w:rPr>
                  <w:rFonts w:ascii="Times New Roman" w:hAnsi="Times New Roman"/>
                  <w:color w:val="000000"/>
                  <w:sz w:val="20"/>
                  <w:vertAlign w:val="superscript"/>
                </w:rPr>
                <w:t>275</w:t>
              </w:r>
            </w:hyperlink>
          </w:p>
        </w:tc>
        <w:tc>
          <w:tcPr>
            <w:vAlign w:val="top"/>
          </w:tcPr>
          <w:p>
            <w:pPr>
              <w:pBdr>
                <w:bottom w:val="none" w:space="8"/>
              </w:pBdr>
              <w:spacing w:before="0" w:after="0" w:line="275" w:lineRule="atLeast"/>
              <w:jc w:val="both"/>
            </w:pPr>
            <w:r>
              <w:rPr>
                <w:rFonts w:ascii="Times New Roman" w:hAnsi="Times New Roman"/>
                <w:color w:val="000000"/>
                <w:sz w:val="20"/>
              </w:rPr>
              <w:t>JX-2465 at 118 (“Given that Verizon was forced to divest the assets the transaction occurred at suppressed EBITDA multiples, which make it incompatible for use in FTI's valuation.”).</w:t>
            </w:r>
          </w:p>
        </w:tc>
      </w:tr>
      <w:tr>
        <w:tblPrEx/>
        <w:trPr/>
        <w:tc>
          <w:tcPr>
            <w:vAlign w:val="top"/>
          </w:tcPr>
          <w:p>
            <w:pPr>
              <w:spacing w:before="0" w:after="0" w:line="275" w:lineRule="atLeast"/>
            </w:pPr>
            <w:hyperlink w:anchor="co_tablefootnote_276_1">
              <w:r>
                <w:rPr>
                  <w:rFonts w:ascii="Times New Roman" w:hAnsi="Times New Roman"/>
                  <w:color w:val="000000"/>
                  <w:sz w:val="20"/>
                  <w:vertAlign w:val="superscript"/>
                </w:rPr>
                <w:t>276</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AT&amp;T has waived argument on the legal standard. </w:t>
            </w:r>
            <w:hyperlink r:id="r108">
              <w:r>
                <w:rPr>
                  <w:rFonts w:ascii="Times New Roman" w:hAnsi="Times New Roman"/>
                  <w:i/>
                  <w:color w:val="000000"/>
                  <w:sz w:val="20"/>
                </w:rPr>
                <w:t>Emerald Partners v. Berlin,</w:t>
              </w:r>
              <w:r>
                <w:rPr>
                  <w:rFonts w:ascii="Times New Roman" w:hAnsi="Times New Roman"/>
                  <w:color w:val="000000"/>
                  <w:sz w:val="20"/>
                </w:rPr>
                <w:t xml:space="preserve"> 726 A.2d 1215, 1224 (Del. 1999)</w:t>
              </w:r>
            </w:hyperlink>
            <w:r>
              <w:rPr>
                <w:rFonts w:ascii="Times New Roman" w:hAnsi="Times New Roman"/>
                <w:color w:val="000000"/>
                <w:sz w:val="20"/>
              </w:rPr>
              <w:t xml:space="preserve"> (“Issues not briefed are deemed waived.”); </w:t>
            </w:r>
            <w:r>
              <w:rPr>
                <w:rFonts w:ascii="Times New Roman" w:hAnsi="Times New Roman"/>
                <w:i/>
                <w:color w:val="000000"/>
                <w:sz w:val="20"/>
              </w:rPr>
              <w:t>see also</w:t>
            </w:r>
            <w:r>
              <w:rPr>
                <w:rFonts w:ascii="Times New Roman" w:hAnsi="Times New Roman"/>
                <w:color w:val="000000"/>
                <w:sz w:val="20"/>
              </w:rPr>
              <w:t xml:space="preserve"> Prickett Pls. Pretrial Br. at 45-51 (briefing the legal standard on damages).</w:t>
            </w:r>
          </w:p>
        </w:tc>
      </w:tr>
      <w:tr>
        <w:tblPrEx/>
        <w:trPr/>
        <w:tc>
          <w:tcPr>
            <w:vAlign w:val="top"/>
          </w:tcPr>
          <w:p>
            <w:pPr>
              <w:spacing w:before="0" w:after="0" w:line="275" w:lineRule="atLeast"/>
            </w:pPr>
            <w:hyperlink w:anchor="co_tablefootnote_277_1">
              <w:r>
                <w:rPr>
                  <w:rFonts w:ascii="Times New Roman" w:hAnsi="Times New Roman"/>
                  <w:color w:val="000000"/>
                  <w:sz w:val="20"/>
                  <w:vertAlign w:val="superscript"/>
                </w:rPr>
                <w:t>277</w:t>
              </w:r>
            </w:hyperlink>
          </w:p>
        </w:tc>
        <w:tc>
          <w:tcPr>
            <w:vAlign w:val="top"/>
          </w:tcPr>
          <w:p>
            <w:pPr>
              <w:pBdr>
                <w:bottom w:val="none" w:space="8"/>
              </w:pBdr>
              <w:spacing w:before="0" w:after="0" w:line="275" w:lineRule="atLeast"/>
              <w:jc w:val="both"/>
            </w:pPr>
            <w:hyperlink r:id="r109">
              <w:r>
                <w:rPr>
                  <w:rFonts w:ascii="Times New Roman" w:hAnsi="Times New Roman"/>
                  <w:i/>
                  <w:color w:val="000000"/>
                  <w:sz w:val="20"/>
                </w:rPr>
                <w:t>In re Dole Food Co., Inc. S'holder Litig.,</w:t>
              </w:r>
              <w:r>
                <w:rPr>
                  <w:rFonts w:ascii="Times New Roman" w:hAnsi="Times New Roman"/>
                  <w:color w:val="000000"/>
                  <w:sz w:val="20"/>
                </w:rPr>
                <w:t xml:space="preserve"> 2015 WL 5052214, at *44 (Del. Ch. Aug. 27, 2015)</w:t>
              </w:r>
            </w:hyperlink>
            <w:r>
              <w:rPr>
                <w:rFonts w:ascii="Times New Roman" w:hAnsi="Times New Roman"/>
                <w:color w:val="000000"/>
                <w:sz w:val="20"/>
              </w:rPr>
              <w:t xml:space="preserve"> (quoting </w:t>
            </w:r>
            <w:hyperlink r:id="r110">
              <w:r>
                <w:rPr>
                  <w:rFonts w:ascii="Times New Roman" w:hAnsi="Times New Roman"/>
                  <w:i/>
                  <w:color w:val="000000"/>
                  <w:sz w:val="20"/>
                </w:rPr>
                <w:t>Weinberger,</w:t>
              </w:r>
              <w:r>
                <w:rPr>
                  <w:rFonts w:ascii="Times New Roman" w:hAnsi="Times New Roman"/>
                  <w:color w:val="000000"/>
                  <w:sz w:val="20"/>
                </w:rPr>
                <w:t xml:space="preserve"> 457 A.2d at 714</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278_1">
              <w:r>
                <w:rPr>
                  <w:rFonts w:ascii="Times New Roman" w:hAnsi="Times New Roman"/>
                  <w:color w:val="000000"/>
                  <w:sz w:val="20"/>
                  <w:vertAlign w:val="superscript"/>
                </w:rPr>
                <w:t>278</w:t>
              </w:r>
            </w:hyperlink>
          </w:p>
        </w:tc>
        <w:tc>
          <w:tcPr>
            <w:vAlign w:val="top"/>
          </w:tcPr>
          <w:p>
            <w:pPr>
              <w:pBdr>
                <w:bottom w:val="none" w:space="8"/>
              </w:pBdr>
              <w:spacing w:before="0" w:after="0" w:line="275" w:lineRule="atLeast"/>
              <w:jc w:val="both"/>
            </w:pPr>
            <w:hyperlink r:id="r111">
              <w:r>
                <w:rPr>
                  <w:rFonts w:ascii="Times New Roman" w:hAnsi="Times New Roman"/>
                  <w:i/>
                  <w:color w:val="000000"/>
                  <w:sz w:val="20"/>
                </w:rPr>
                <w:t>Bomarko,</w:t>
              </w:r>
              <w:r>
                <w:rPr>
                  <w:rFonts w:ascii="Times New Roman" w:hAnsi="Times New Roman"/>
                  <w:color w:val="000000"/>
                  <w:sz w:val="20"/>
                </w:rPr>
                <w:t xml:space="preserve"> 794 A.2d at 1184</w:t>
              </w:r>
            </w:hyperlink>
            <w:r>
              <w:rPr>
                <w:rFonts w:ascii="Times New Roman" w:hAnsi="Times New Roman"/>
                <w:color w:val="000000"/>
                <w:sz w:val="20"/>
              </w:rPr>
              <w:t xml:space="preserve"> (citing </w:t>
            </w:r>
            <w:hyperlink r:id="r112">
              <w:r>
                <w:rPr>
                  <w:rFonts w:ascii="Times New Roman" w:hAnsi="Times New Roman"/>
                  <w:i/>
                  <w:color w:val="000000"/>
                  <w:sz w:val="20"/>
                </w:rPr>
                <w:t>Red Sail Easter Ltd. Partners, L.P. v. Radio City Music Hall Prods., Inc.,</w:t>
              </w:r>
              <w:r>
                <w:rPr>
                  <w:rFonts w:ascii="Times New Roman" w:hAnsi="Times New Roman"/>
                  <w:color w:val="000000"/>
                  <w:sz w:val="20"/>
                </w:rPr>
                <w:t xml:space="preserve"> 1992 WL 251380, at *7 (Del. Ch. Sept. 29, 1992)</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279_1">
              <w:r>
                <w:rPr>
                  <w:rFonts w:ascii="Times New Roman" w:hAnsi="Times New Roman"/>
                  <w:color w:val="000000"/>
                  <w:sz w:val="20"/>
                  <w:vertAlign w:val="superscript"/>
                </w:rPr>
                <w:t>279</w:t>
              </w:r>
            </w:hyperlink>
          </w:p>
        </w:tc>
        <w:tc>
          <w:tcPr>
            <w:vAlign w:val="top"/>
          </w:tcPr>
          <w:p>
            <w:pPr>
              <w:pBdr>
                <w:bottom w:val="none" w:space="8"/>
              </w:pBdr>
              <w:spacing w:before="0" w:after="0" w:line="275" w:lineRule="atLeast"/>
              <w:jc w:val="both"/>
            </w:pPr>
            <w:r>
              <w:rPr>
                <w:rFonts w:ascii="Times New Roman" w:hAnsi="Times New Roman"/>
                <w:i/>
                <w:color w:val="000000"/>
                <w:sz w:val="20"/>
              </w:rPr>
              <w:t xml:space="preserve">Id. (citing </w:t>
            </w:r>
            <w:hyperlink r:id="r113">
              <w:r>
                <w:rPr>
                  <w:rFonts w:ascii="Times New Roman" w:hAnsi="Times New Roman"/>
                  <w:i/>
                  <w:color w:val="000000"/>
                  <w:sz w:val="20"/>
                </w:rPr>
                <w:t>Red Sail,</w:t>
              </w:r>
              <w:r>
                <w:rPr>
                  <w:rFonts w:ascii="Times New Roman" w:hAnsi="Times New Roman"/>
                  <w:color w:val="000000"/>
                  <w:sz w:val="20"/>
                </w:rPr>
                <w:t xml:space="preserve"> 1992 WL 251380, at *7</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280_1">
              <w:r>
                <w:rPr>
                  <w:rFonts w:ascii="Times New Roman" w:hAnsi="Times New Roman"/>
                  <w:color w:val="000000"/>
                  <w:sz w:val="20"/>
                  <w:vertAlign w:val="superscript"/>
                </w:rPr>
                <w:t>280</w:t>
              </w:r>
            </w:hyperlink>
          </w:p>
        </w:tc>
        <w:tc>
          <w:tcPr>
            <w:vAlign w:val="top"/>
          </w:tcPr>
          <w:p>
            <w:pPr>
              <w:pBdr>
                <w:bottom w:val="none" w:space="8"/>
              </w:pBdr>
              <w:spacing w:before="0" w:after="0" w:line="275" w:lineRule="atLeast"/>
              <w:jc w:val="both"/>
            </w:pPr>
            <w:r>
              <w:rPr>
                <w:rFonts w:ascii="Times New Roman" w:hAnsi="Times New Roman"/>
                <w:i/>
                <w:color w:val="000000"/>
                <w:sz w:val="20"/>
              </w:rPr>
              <w:t xml:space="preserve">See </w:t>
            </w:r>
            <w:hyperlink r:id="r114">
              <w:r>
                <w:rPr>
                  <w:rFonts w:ascii="Times New Roman" w:hAnsi="Times New Roman"/>
                  <w:i/>
                  <w:color w:val="000000"/>
                  <w:sz w:val="20"/>
                </w:rPr>
                <w:t>Thorpe v. CERBCO, Inc.,</w:t>
              </w:r>
              <w:r>
                <w:rPr>
                  <w:rFonts w:ascii="Times New Roman" w:hAnsi="Times New Roman"/>
                  <w:color w:val="000000"/>
                  <w:sz w:val="20"/>
                </w:rPr>
                <w:t xml:space="preserve"> 1993 WL 443406, at *12 (Del. Ch. Oct. 29, 1993)</w:t>
              </w:r>
            </w:hyperlink>
            <w:r>
              <w:rPr>
                <w:rFonts w:ascii="Times New Roman" w:hAnsi="Times New Roman"/>
                <w:color w:val="000000"/>
                <w:sz w:val="20"/>
              </w:rPr>
              <w:t xml:space="preserve"> (“Furthermore, once a breach of duty is established, uncertainties in awarding damages are generally resolved the wrongdoer.”).</w:t>
            </w:r>
          </w:p>
        </w:tc>
      </w:tr>
      <w:tr>
        <w:tblPrEx/>
        <w:trPr/>
        <w:tc>
          <w:tcPr>
            <w:vAlign w:val="top"/>
          </w:tcPr>
          <w:p>
            <w:pPr>
              <w:spacing w:before="0" w:after="0" w:line="275" w:lineRule="atLeast"/>
            </w:pPr>
            <w:hyperlink w:anchor="co_tablefootnote_281_1">
              <w:r>
                <w:rPr>
                  <w:rFonts w:ascii="Times New Roman" w:hAnsi="Times New Roman"/>
                  <w:color w:val="000000"/>
                  <w:sz w:val="20"/>
                  <w:vertAlign w:val="superscript"/>
                </w:rPr>
                <w:t>281</w:t>
              </w:r>
            </w:hyperlink>
          </w:p>
        </w:tc>
        <w:tc>
          <w:tcPr>
            <w:vAlign w:val="top"/>
          </w:tcPr>
          <w:p>
            <w:pPr>
              <w:pBdr>
                <w:bottom w:val="none" w:space="8"/>
              </w:pBdr>
              <w:spacing w:before="0" w:after="0" w:line="275" w:lineRule="atLeast"/>
              <w:jc w:val="both"/>
            </w:pPr>
            <w:hyperlink r:id="r115">
              <w:r>
                <w:rPr>
                  <w:rFonts w:ascii="Times New Roman" w:hAnsi="Times New Roman"/>
                  <w:i/>
                  <w:color w:val="000000"/>
                  <w:sz w:val="20"/>
                </w:rPr>
                <w:t>Reis v. Hazelett Strip-Casting Corp.,</w:t>
              </w:r>
              <w:r>
                <w:rPr>
                  <w:rFonts w:ascii="Times New Roman" w:hAnsi="Times New Roman"/>
                  <w:color w:val="000000"/>
                  <w:sz w:val="20"/>
                </w:rPr>
                <w:t xml:space="preserve"> 28 A.3d 442, 468 (Del. Ch. 2011)</w:t>
              </w:r>
            </w:hyperlink>
            <w:r>
              <w:rPr>
                <w:rFonts w:ascii="Times New Roman" w:hAnsi="Times New Roman"/>
                <w:color w:val="000000"/>
                <w:sz w:val="20"/>
              </w:rPr>
              <w:t>; Prickett Pls. Pretrial Br. at 46-47.</w:t>
            </w:r>
          </w:p>
        </w:tc>
      </w:tr>
      <w:tr>
        <w:tblPrEx/>
        <w:trPr/>
        <w:tc>
          <w:tcPr>
            <w:vAlign w:val="top"/>
          </w:tcPr>
          <w:p>
            <w:pPr>
              <w:spacing w:before="0" w:after="0" w:line="275" w:lineRule="atLeast"/>
            </w:pPr>
            <w:hyperlink w:anchor="co_tablefootnote_282_1">
              <w:r>
                <w:rPr>
                  <w:rFonts w:ascii="Times New Roman" w:hAnsi="Times New Roman"/>
                  <w:color w:val="000000"/>
                  <w:sz w:val="20"/>
                  <w:vertAlign w:val="superscript"/>
                </w:rPr>
                <w:t>282</w:t>
              </w:r>
            </w:hyperlink>
          </w:p>
        </w:tc>
        <w:tc>
          <w:tcPr>
            <w:vAlign w:val="top"/>
          </w:tcPr>
          <w:p>
            <w:pPr>
              <w:pBdr>
                <w:bottom w:val="none" w:space="8"/>
              </w:pBdr>
              <w:spacing w:before="0" w:after="0" w:line="275" w:lineRule="atLeast"/>
              <w:jc w:val="both"/>
            </w:pPr>
            <w:hyperlink r:id="r116">
              <w:r>
                <w:rPr>
                  <w:rFonts w:ascii="Times New Roman" w:hAnsi="Times New Roman"/>
                  <w:i/>
                  <w:color w:val="000000"/>
                  <w:sz w:val="20"/>
                </w:rPr>
                <w:t>Gesoff,</w:t>
              </w:r>
              <w:r>
                <w:rPr>
                  <w:rFonts w:ascii="Times New Roman" w:hAnsi="Times New Roman"/>
                  <w:color w:val="000000"/>
                  <w:sz w:val="20"/>
                </w:rPr>
                <w:t xml:space="preserve"> 902 A.2d at 1154</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283_1">
              <w:r>
                <w:rPr>
                  <w:rFonts w:ascii="Times New Roman" w:hAnsi="Times New Roman"/>
                  <w:color w:val="000000"/>
                  <w:sz w:val="20"/>
                  <w:vertAlign w:val="superscript"/>
                </w:rPr>
                <w:t>283</w:t>
              </w:r>
            </w:hyperlink>
          </w:p>
        </w:tc>
        <w:tc>
          <w:tcPr>
            <w:vAlign w:val="top"/>
          </w:tcPr>
          <w:p>
            <w:pPr>
              <w:pBdr>
                <w:bottom w:val="none" w:space="8"/>
              </w:pBdr>
              <w:spacing w:before="0" w:after="0" w:line="275" w:lineRule="atLeast"/>
              <w:jc w:val="both"/>
            </w:pPr>
            <w:hyperlink r:id="r117">
              <w:r>
                <w:rPr>
                  <w:rFonts w:ascii="Times New Roman" w:hAnsi="Times New Roman"/>
                  <w:i/>
                  <w:color w:val="000000"/>
                  <w:sz w:val="20"/>
                </w:rPr>
                <w:t>Thorpe v. CERBCO, Inc.,</w:t>
              </w:r>
              <w:r>
                <w:rPr>
                  <w:rFonts w:ascii="Times New Roman" w:hAnsi="Times New Roman"/>
                  <w:color w:val="000000"/>
                  <w:sz w:val="20"/>
                </w:rPr>
                <w:t xml:space="preserve"> 676 A.2d 436, 445 (Del. 1996)</w:t>
              </w:r>
            </w:hyperlink>
            <w:r>
              <w:rPr>
                <w:rFonts w:ascii="Times New Roman" w:hAnsi="Times New Roman"/>
                <w:color w:val="000000"/>
                <w:sz w:val="20"/>
              </w:rPr>
              <w:t xml:space="preserve"> (citations omitted).</w:t>
            </w:r>
          </w:p>
        </w:tc>
      </w:tr>
      <w:tr>
        <w:tblPrEx/>
        <w:trPr/>
        <w:tc>
          <w:tcPr>
            <w:vAlign w:val="top"/>
          </w:tcPr>
          <w:p>
            <w:pPr>
              <w:spacing w:before="0" w:after="0" w:line="275" w:lineRule="atLeast"/>
            </w:pPr>
            <w:hyperlink w:anchor="co_tablefootnote_284_1">
              <w:r>
                <w:rPr>
                  <w:rFonts w:ascii="Times New Roman" w:hAnsi="Times New Roman"/>
                  <w:color w:val="000000"/>
                  <w:sz w:val="20"/>
                  <w:vertAlign w:val="superscript"/>
                </w:rPr>
                <w:t>284</w:t>
              </w:r>
            </w:hyperlink>
          </w:p>
        </w:tc>
        <w:tc>
          <w:tcPr>
            <w:vAlign w:val="top"/>
          </w:tcPr>
          <w:p>
            <w:pPr>
              <w:pBdr>
                <w:bottom w:val="none" w:space="8"/>
              </w:pBdr>
              <w:spacing w:before="0" w:after="0" w:line="275" w:lineRule="atLeast"/>
              <w:jc w:val="both"/>
            </w:pPr>
            <w:hyperlink r:id="r118">
              <w:r>
                <w:rPr>
                  <w:rFonts w:ascii="Times New Roman" w:hAnsi="Times New Roman"/>
                  <w:i/>
                  <w:color w:val="000000"/>
                  <w:sz w:val="20"/>
                </w:rPr>
                <w:t>Int'l Telecharge, Inc. v. Bomarko, Inc.,</w:t>
              </w:r>
              <w:r>
                <w:rPr>
                  <w:rFonts w:ascii="Times New Roman" w:hAnsi="Times New Roman"/>
                  <w:color w:val="000000"/>
                  <w:sz w:val="20"/>
                </w:rPr>
                <w:t xml:space="preserve"> 766 A.2d 437, 441 (Del. 2000)</w:t>
              </w:r>
            </w:hyperlink>
            <w:r>
              <w:rPr>
                <w:rFonts w:ascii="Times New Roman" w:hAnsi="Times New Roman"/>
                <w:color w:val="000000"/>
                <w:sz w:val="20"/>
              </w:rPr>
              <w:t>; Prickett Pls. Pretrial Br. at 46-47.</w:t>
            </w:r>
          </w:p>
        </w:tc>
      </w:tr>
      <w:tr>
        <w:tblPrEx/>
        <w:trPr/>
        <w:tc>
          <w:tcPr>
            <w:vAlign w:val="top"/>
          </w:tcPr>
          <w:p>
            <w:pPr>
              <w:spacing w:before="0" w:after="0" w:line="275" w:lineRule="atLeast"/>
            </w:pPr>
            <w:hyperlink w:anchor="co_tablefootnote_285_1">
              <w:r>
                <w:rPr>
                  <w:rFonts w:ascii="Times New Roman" w:hAnsi="Times New Roman"/>
                  <w:color w:val="000000"/>
                  <w:sz w:val="20"/>
                  <w:vertAlign w:val="superscript"/>
                </w:rPr>
                <w:t>285</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1285:9-13 (Barrick-Direct) (“what the plaintiffs have lost in this case is the opportunity to participate in a future cash flow stream. And what they've lost is the present value of their share of that future cash flow stream.”); </w:t>
            </w:r>
            <w:r>
              <w:rPr>
                <w:rFonts w:ascii="Times New Roman" w:hAnsi="Times New Roman"/>
                <w:i/>
                <w:color w:val="000000"/>
                <w:sz w:val="20"/>
              </w:rPr>
              <w:t>id.</w:t>
            </w:r>
            <w:r>
              <w:rPr>
                <w:rFonts w:ascii="Times New Roman" w:hAnsi="Times New Roman"/>
                <w:color w:val="000000"/>
                <w:sz w:val="20"/>
              </w:rPr>
              <w:t xml:space="preserve"> at 1382:16-1383:3 (Barrick-Cross).</w:t>
            </w:r>
          </w:p>
        </w:tc>
      </w:tr>
      <w:tr>
        <w:tblPrEx/>
        <w:trPr/>
        <w:tc>
          <w:tcPr>
            <w:vAlign w:val="top"/>
          </w:tcPr>
          <w:p>
            <w:pPr>
              <w:spacing w:before="0" w:after="0" w:line="275" w:lineRule="atLeast"/>
            </w:pPr>
            <w:hyperlink w:anchor="co_tablefootnote_286_1">
              <w:r>
                <w:rPr>
                  <w:rFonts w:ascii="Times New Roman" w:hAnsi="Times New Roman"/>
                  <w:color w:val="000000"/>
                  <w:sz w:val="20"/>
                  <w:vertAlign w:val="superscript"/>
                </w:rPr>
                <w:t>286</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994:8-14 (Taylor-Cross); </w:t>
            </w:r>
            <w:r>
              <w:rPr>
                <w:rFonts w:ascii="Times New Roman" w:hAnsi="Times New Roman"/>
                <w:i/>
                <w:color w:val="000000"/>
                <w:sz w:val="20"/>
              </w:rPr>
              <w:t>see also</w:t>
            </w:r>
            <w:r>
              <w:rPr>
                <w:rFonts w:ascii="Times New Roman" w:hAnsi="Times New Roman"/>
                <w:color w:val="000000"/>
                <w:sz w:val="20"/>
              </w:rPr>
              <w:t xml:space="preserve"> Taylor Dep. Tr. 257:2-13.</w:t>
            </w:r>
          </w:p>
        </w:tc>
      </w:tr>
      <w:tr>
        <w:tblPrEx/>
        <w:trPr/>
        <w:tc>
          <w:tcPr>
            <w:vAlign w:val="top"/>
          </w:tcPr>
          <w:p>
            <w:pPr>
              <w:spacing w:before="0" w:after="0" w:line="275" w:lineRule="atLeast"/>
            </w:pPr>
            <w:hyperlink w:anchor="co_tablefootnote_287_1">
              <w:r>
                <w:rPr>
                  <w:rFonts w:ascii="Times New Roman" w:hAnsi="Times New Roman"/>
                  <w:color w:val="000000"/>
                  <w:sz w:val="20"/>
                  <w:vertAlign w:val="superscript"/>
                </w:rPr>
                <w:t>287</w:t>
              </w:r>
            </w:hyperlink>
          </w:p>
        </w:tc>
        <w:tc>
          <w:tcPr>
            <w:vAlign w:val="top"/>
          </w:tcPr>
          <w:p>
            <w:pPr>
              <w:pBdr>
                <w:bottom w:val="none" w:space="8"/>
              </w:pBdr>
              <w:spacing w:before="0" w:after="0" w:line="275" w:lineRule="atLeast"/>
              <w:jc w:val="both"/>
            </w:pPr>
            <w:r>
              <w:rPr>
                <w:rFonts w:ascii="Times New Roman" w:hAnsi="Times New Roman"/>
                <w:color w:val="000000"/>
                <w:sz w:val="20"/>
              </w:rPr>
              <w:t>Tr. 1295:8-20 (Barrick-Direct).</w:t>
            </w:r>
          </w:p>
        </w:tc>
      </w:tr>
      <w:tr>
        <w:tblPrEx/>
        <w:trPr/>
        <w:tc>
          <w:tcPr>
            <w:vAlign w:val="top"/>
          </w:tcPr>
          <w:p>
            <w:pPr>
              <w:spacing w:before="0" w:after="0" w:line="275" w:lineRule="atLeast"/>
            </w:pPr>
            <w:hyperlink w:anchor="co_tablefootnote_288_1">
              <w:r>
                <w:rPr>
                  <w:rFonts w:ascii="Times New Roman" w:hAnsi="Times New Roman"/>
                  <w:color w:val="000000"/>
                  <w:sz w:val="20"/>
                  <w:vertAlign w:val="superscript"/>
                </w:rPr>
                <w:t>288</w:t>
              </w:r>
            </w:hyperlink>
          </w:p>
        </w:tc>
        <w:tc>
          <w:tcPr>
            <w:vAlign w:val="top"/>
          </w:tcPr>
          <w:p>
            <w:pPr>
              <w:pBdr>
                <w:bottom w:val="none" w:space="8"/>
              </w:pBdr>
              <w:spacing w:before="0" w:after="0" w:line="275" w:lineRule="atLeast"/>
              <w:jc w:val="both"/>
            </w:pPr>
            <w:hyperlink r:id="r119">
              <w:r>
                <w:rPr>
                  <w:rFonts w:ascii="Times New Roman" w:hAnsi="Times New Roman"/>
                  <w:i/>
                  <w:color w:val="000000"/>
                  <w:sz w:val="20"/>
                </w:rPr>
                <w:t>Great Hill Equity Partners IV, LP v. SIG Growth Equity Fund I, LLLP,</w:t>
              </w:r>
              <w:r>
                <w:rPr>
                  <w:rFonts w:ascii="Times New Roman" w:hAnsi="Times New Roman"/>
                  <w:color w:val="000000"/>
                  <w:sz w:val="20"/>
                </w:rPr>
                <w:t xml:space="preserve"> 2020 WL 948513, at *22 (Del. Ch. Feb. 27, 2020)</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289_1">
              <w:r>
                <w:rPr>
                  <w:rFonts w:ascii="Times New Roman" w:hAnsi="Times New Roman"/>
                  <w:color w:val="000000"/>
                  <w:sz w:val="20"/>
                  <w:vertAlign w:val="superscript"/>
                </w:rPr>
                <w:t>289</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1286:1-3 (“damage awards are given pre-tax, so that after paying the tax, the plaintiff is whole.”); </w:t>
            </w:r>
            <w:r>
              <w:rPr>
                <w:rFonts w:ascii="Times New Roman" w:hAnsi="Times New Roman"/>
                <w:i/>
                <w:color w:val="000000"/>
                <w:sz w:val="20"/>
              </w:rPr>
              <w:t>see also</w:t>
            </w:r>
            <w:r>
              <w:rPr>
                <w:rFonts w:ascii="Times New Roman" w:hAnsi="Times New Roman"/>
                <w:color w:val="000000"/>
                <w:sz w:val="20"/>
              </w:rPr>
              <w:t xml:space="preserve"> JX-2462.</w:t>
            </w:r>
          </w:p>
        </w:tc>
      </w:tr>
      <w:tr>
        <w:tblPrEx/>
        <w:trPr/>
        <w:tc>
          <w:tcPr>
            <w:vAlign w:val="top"/>
          </w:tcPr>
          <w:p>
            <w:pPr>
              <w:spacing w:before="0" w:after="0" w:line="275" w:lineRule="atLeast"/>
            </w:pPr>
            <w:hyperlink w:anchor="co_tablefootnote_290_1">
              <w:r>
                <w:rPr>
                  <w:rFonts w:ascii="Times New Roman" w:hAnsi="Times New Roman"/>
                  <w:color w:val="000000"/>
                  <w:sz w:val="20"/>
                  <w:vertAlign w:val="superscript"/>
                </w:rPr>
                <w:t>290</w:t>
              </w:r>
            </w:hyperlink>
          </w:p>
        </w:tc>
        <w:tc>
          <w:tcPr>
            <w:vAlign w:val="top"/>
          </w:tcPr>
          <w:p>
            <w:pPr>
              <w:pBdr>
                <w:bottom w:val="none" w:space="8"/>
              </w:pBdr>
              <w:spacing w:before="0" w:after="0" w:line="275" w:lineRule="atLeast"/>
              <w:jc w:val="both"/>
            </w:pPr>
            <w:r>
              <w:rPr>
                <w:rFonts w:ascii="Times New Roman" w:hAnsi="Times New Roman"/>
                <w:color w:val="000000"/>
                <w:sz w:val="20"/>
              </w:rPr>
              <w:t>Prickett Pls. Pretrial Br. at 45-51.</w:t>
            </w:r>
          </w:p>
        </w:tc>
      </w:tr>
      <w:tr>
        <w:tblPrEx/>
        <w:trPr/>
        <w:tc>
          <w:tcPr>
            <w:vAlign w:val="top"/>
          </w:tcPr>
          <w:p>
            <w:pPr>
              <w:spacing w:before="0" w:after="0" w:line="275" w:lineRule="atLeast"/>
            </w:pPr>
            <w:hyperlink w:anchor="co_tablefootnote_291_1">
              <w:r>
                <w:rPr>
                  <w:rFonts w:ascii="Times New Roman" w:hAnsi="Times New Roman"/>
                  <w:color w:val="000000"/>
                  <w:sz w:val="20"/>
                  <w:vertAlign w:val="superscript"/>
                </w:rPr>
                <w:t>291</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1286:1-3 (Barrick-Direct); </w:t>
            </w:r>
            <w:r>
              <w:rPr>
                <w:rFonts w:ascii="Times New Roman" w:hAnsi="Times New Roman"/>
                <w:i/>
                <w:color w:val="000000"/>
                <w:sz w:val="20"/>
              </w:rPr>
              <w:t>see also</w:t>
            </w:r>
            <w:r>
              <w:rPr>
                <w:rFonts w:ascii="Times New Roman" w:hAnsi="Times New Roman"/>
                <w:color w:val="000000"/>
                <w:sz w:val="20"/>
              </w:rPr>
              <w:t xml:space="preserve"> Taylor Dep. Tr. 256:1-11.</w:t>
            </w:r>
          </w:p>
        </w:tc>
      </w:tr>
      <w:tr>
        <w:tblPrEx/>
        <w:trPr/>
        <w:tc>
          <w:tcPr>
            <w:vAlign w:val="top"/>
          </w:tcPr>
          <w:p>
            <w:pPr>
              <w:spacing w:before="0" w:after="0" w:line="275" w:lineRule="atLeast"/>
            </w:pPr>
            <w:hyperlink w:anchor="co_tablefootnote_292_1">
              <w:r>
                <w:rPr>
                  <w:rFonts w:ascii="Times New Roman" w:hAnsi="Times New Roman"/>
                  <w:color w:val="000000"/>
                  <w:sz w:val="20"/>
                  <w:vertAlign w:val="superscript"/>
                </w:rPr>
                <w:t>292</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1286:1-3 (Barrick-Direct); </w:t>
            </w:r>
            <w:r>
              <w:rPr>
                <w:rFonts w:ascii="Times New Roman" w:hAnsi="Times New Roman"/>
                <w:i/>
                <w:color w:val="000000"/>
                <w:sz w:val="20"/>
              </w:rPr>
              <w:t>see also</w:t>
            </w:r>
            <w:r>
              <w:rPr>
                <w:rFonts w:ascii="Times New Roman" w:hAnsi="Times New Roman"/>
                <w:color w:val="000000"/>
                <w:sz w:val="20"/>
              </w:rPr>
              <w:t xml:space="preserve"> Taylor Dep. Tr. 246:8-14.</w:t>
            </w:r>
          </w:p>
        </w:tc>
      </w:tr>
      <w:tr>
        <w:tblPrEx/>
        <w:trPr/>
        <w:tc>
          <w:tcPr>
            <w:vAlign w:val="top"/>
          </w:tcPr>
          <w:p>
            <w:pPr>
              <w:spacing w:before="0" w:after="0" w:line="275" w:lineRule="atLeast"/>
            </w:pPr>
            <w:hyperlink w:anchor="co_tablefootnote_293_1">
              <w:r>
                <w:rPr>
                  <w:rFonts w:ascii="Times New Roman" w:hAnsi="Times New Roman"/>
                  <w:color w:val="000000"/>
                  <w:sz w:val="20"/>
                  <w:vertAlign w:val="superscript"/>
                </w:rPr>
                <w:t>293</w:t>
              </w:r>
            </w:hyperlink>
          </w:p>
        </w:tc>
        <w:tc>
          <w:tcPr>
            <w:vAlign w:val="top"/>
          </w:tcPr>
          <w:p>
            <w:pPr>
              <w:pBdr>
                <w:bottom w:val="none" w:space="8"/>
              </w:pBdr>
              <w:spacing w:before="0" w:after="0" w:line="275" w:lineRule="atLeast"/>
              <w:jc w:val="both"/>
            </w:pPr>
            <w:r>
              <w:rPr>
                <w:rFonts w:ascii="Times New Roman" w:hAnsi="Times New Roman"/>
                <w:i/>
                <w:color w:val="000000"/>
                <w:sz w:val="20"/>
              </w:rPr>
              <w:t xml:space="preserve">See </w:t>
            </w:r>
            <w:hyperlink r:id="r120">
              <w:r>
                <w:rPr>
                  <w:rFonts w:ascii="Times New Roman" w:hAnsi="Times New Roman"/>
                  <w:i/>
                  <w:color w:val="000000"/>
                  <w:sz w:val="20"/>
                </w:rPr>
                <w:t>Lynch v. Vickers Energy Corp.,</w:t>
              </w:r>
              <w:r>
                <w:rPr>
                  <w:rFonts w:ascii="Times New Roman" w:hAnsi="Times New Roman"/>
                  <w:color w:val="000000"/>
                  <w:sz w:val="20"/>
                </w:rPr>
                <w:t xml:space="preserve"> 429 A.2d 497, 501-04 (Del. 1981)</w:t>
              </w:r>
            </w:hyperlink>
            <w:r>
              <w:rPr>
                <w:rFonts w:ascii="Times New Roman" w:hAnsi="Times New Roman"/>
                <w:color w:val="000000"/>
                <w:sz w:val="20"/>
              </w:rPr>
              <w:t xml:space="preserve">, </w:t>
            </w:r>
            <w:r>
              <w:rPr>
                <w:rFonts w:ascii="Times New Roman" w:hAnsi="Times New Roman"/>
                <w:i/>
                <w:color w:val="000000"/>
                <w:sz w:val="20"/>
              </w:rPr>
              <w:t xml:space="preserve">overruled in non-pertinent part, </w:t>
            </w:r>
            <w:hyperlink r:id="r121">
              <w:r>
                <w:rPr>
                  <w:rFonts w:ascii="Times New Roman" w:hAnsi="Times New Roman"/>
                  <w:i/>
                  <w:color w:val="000000"/>
                  <w:sz w:val="20"/>
                </w:rPr>
                <w:t>Weinberger v. UOP, Inc.,</w:t>
              </w:r>
              <w:r>
                <w:rPr>
                  <w:rFonts w:ascii="Times New Roman" w:hAnsi="Times New Roman"/>
                  <w:color w:val="000000"/>
                  <w:sz w:val="20"/>
                </w:rPr>
                <w:t xml:space="preserve"> 457 A.2d 701, 704 (Del. 1983)</w:t>
              </w:r>
            </w:hyperlink>
            <w:r>
              <w:rPr>
                <w:rFonts w:ascii="Times New Roman" w:hAnsi="Times New Roman"/>
                <w:color w:val="000000"/>
                <w:sz w:val="20"/>
              </w:rPr>
              <w:t xml:space="preserve">; </w:t>
            </w:r>
            <w:r>
              <w:rPr>
                <w:rFonts w:ascii="Times New Roman" w:hAnsi="Times New Roman"/>
                <w:i/>
                <w:color w:val="000000"/>
                <w:sz w:val="20"/>
              </w:rPr>
              <w:t xml:space="preserve">see also </w:t>
            </w:r>
            <w:hyperlink r:id="r122">
              <w:r>
                <w:rPr>
                  <w:rFonts w:ascii="Times New Roman" w:hAnsi="Times New Roman"/>
                  <w:i/>
                  <w:color w:val="000000"/>
                  <w:sz w:val="20"/>
                </w:rPr>
                <w:t>Cede &amp; Co. v. Technicolor, Inc.,</w:t>
              </w:r>
              <w:r>
                <w:rPr>
                  <w:rFonts w:ascii="Times New Roman" w:hAnsi="Times New Roman"/>
                  <w:color w:val="000000"/>
                  <w:sz w:val="20"/>
                </w:rPr>
                <w:t xml:space="preserve"> 542 A.2d 1182, 1191 (Del. 1988)</w:t>
              </w:r>
            </w:hyperlink>
            <w:r>
              <w:rPr>
                <w:rFonts w:ascii="Times New Roman" w:hAnsi="Times New Roman"/>
                <w:color w:val="000000"/>
                <w:sz w:val="20"/>
              </w:rPr>
              <w:t xml:space="preserve"> ( “[I]f it is determined that the merger should not have occurred due to ... breach of fiduciary duty, or other wrongdoing on the part of the defendants, then ... [the plaintiff] will be entitled to ... rescissory damages.”), </w:t>
            </w:r>
            <w:r>
              <w:rPr>
                <w:rFonts w:ascii="Times New Roman" w:hAnsi="Times New Roman"/>
                <w:i/>
                <w:color w:val="000000"/>
                <w:sz w:val="20"/>
              </w:rPr>
              <w:t>modified on subsequent appeal,</w:t>
            </w:r>
            <w:r>
              <w:rPr>
                <w:rFonts w:ascii="Times New Roman" w:hAnsi="Times New Roman"/>
                <w:color w:val="000000"/>
                <w:sz w:val="20"/>
              </w:rPr>
              <w:t xml:space="preserve"> </w:t>
            </w:r>
            <w:hyperlink r:id="r123">
              <w:r>
                <w:rPr>
                  <w:rFonts w:ascii="Times New Roman" w:hAnsi="Times New Roman"/>
                  <w:color w:val="000000"/>
                  <w:sz w:val="20"/>
                </w:rPr>
                <w:t>634 A.2d 345, 372 (Del. 1993)</w:t>
              </w:r>
            </w:hyperlink>
            <w:r>
              <w:rPr>
                <w:rFonts w:ascii="Times New Roman" w:hAnsi="Times New Roman"/>
                <w:color w:val="000000"/>
                <w:sz w:val="20"/>
              </w:rPr>
              <w:t xml:space="preserve"> (conditioning award of rescissory damages on “a defendant's failure to meet its burden of showing the entire fairness of the transaction”); </w:t>
            </w:r>
            <w:hyperlink r:id="r124">
              <w:r>
                <w:rPr>
                  <w:rFonts w:ascii="Times New Roman" w:hAnsi="Times New Roman"/>
                  <w:i/>
                  <w:color w:val="000000"/>
                  <w:sz w:val="20"/>
                </w:rPr>
                <w:t>Oberly v. Kirby,</w:t>
              </w:r>
              <w:r>
                <w:rPr>
                  <w:rFonts w:ascii="Times New Roman" w:hAnsi="Times New Roman"/>
                  <w:color w:val="000000"/>
                  <w:sz w:val="20"/>
                </w:rPr>
                <w:t xml:space="preserve"> 592 A.2d 445, 466 (Del. 1991)</w:t>
              </w:r>
            </w:hyperlink>
            <w:r>
              <w:rPr>
                <w:rFonts w:ascii="Times New Roman" w:hAnsi="Times New Roman"/>
                <w:color w:val="000000"/>
                <w:sz w:val="20"/>
              </w:rPr>
              <w:t xml:space="preserve"> (ruling if transaction was not entirely fair “the stockholders may ... demand ... payment of rescissory damages”); </w:t>
            </w:r>
            <w:hyperlink r:id="r125">
              <w:r>
                <w:rPr>
                  <w:rFonts w:ascii="Times New Roman" w:hAnsi="Times New Roman"/>
                  <w:i/>
                  <w:color w:val="000000"/>
                  <w:sz w:val="20"/>
                </w:rPr>
                <w:t>Basho Techs. Holdco B, LLC v. Georgetown Basho Investors LLC,</w:t>
              </w:r>
              <w:r>
                <w:rPr>
                  <w:rFonts w:ascii="Times New Roman" w:hAnsi="Times New Roman"/>
                  <w:color w:val="000000"/>
                  <w:sz w:val="20"/>
                </w:rPr>
                <w:t xml:space="preserve"> 2018 WL 3326693, at *49 (Del. Ch. July 6, 2018)</w:t>
              </w:r>
            </w:hyperlink>
            <w:r>
              <w:rPr>
                <w:rFonts w:ascii="Times New Roman" w:hAnsi="Times New Roman"/>
                <w:color w:val="000000"/>
                <w:sz w:val="20"/>
              </w:rPr>
              <w:t xml:space="preserve"> (ruling “Delaware courts have awarded rescissory damages for adjudicated breaches of the duty of loyalty, particularly in cases where a fiduciary has selfishly appropriated the property of a beneficiary”</w:t>
            </w:r>
            <w:r>
              <w:rPr>
                <w:rFonts w:ascii="Times New Roman" w:hAnsi="Times New Roman"/>
                <w:color w:val="000000"/>
                <w:sz w:val="20"/>
              </w:rPr>
              <w:t xml:space="preserve"> and awarding a type of rescissory damages); </w:t>
            </w:r>
            <w:hyperlink r:id="r126">
              <w:r>
                <w:rPr>
                  <w:rFonts w:ascii="Times New Roman" w:hAnsi="Times New Roman"/>
                  <w:i/>
                  <w:color w:val="000000"/>
                  <w:sz w:val="20"/>
                </w:rPr>
                <w:t>Strassburger v. Earley,</w:t>
              </w:r>
              <w:r>
                <w:rPr>
                  <w:rFonts w:ascii="Times New Roman" w:hAnsi="Times New Roman"/>
                  <w:color w:val="000000"/>
                  <w:sz w:val="20"/>
                </w:rPr>
                <w:t xml:space="preserve"> 752 A.2d 557 (Del. Ch. 2000)</w:t>
              </w:r>
            </w:hyperlink>
            <w:r>
              <w:rPr>
                <w:rFonts w:ascii="Times New Roman" w:hAnsi="Times New Roman"/>
                <w:color w:val="000000"/>
                <w:sz w:val="20"/>
              </w:rPr>
              <w:t xml:space="preserve"> (awarding rescissory damages for breach of loyalty); Donald J. Wolfe &amp; Michael A. Pittenger, </w:t>
            </w:r>
            <w:r>
              <w:rPr>
                <w:rFonts w:ascii="Times New Roman" w:hAnsi="Times New Roman"/>
                <w:i/>
                <w:color w:val="000000"/>
                <w:sz w:val="20"/>
              </w:rPr>
              <w:t>Corporate and Commerical Practice in the Del. Court of Chancery,</w:t>
            </w:r>
            <w:r>
              <w:rPr>
                <w:rFonts w:ascii="Times New Roman" w:hAnsi="Times New Roman"/>
                <w:color w:val="000000"/>
                <w:sz w:val="20"/>
              </w:rPr>
              <w:t xml:space="preserve"> § 12.04[b] at 12-72 (“[T]he Delaware Supreme Court has suggested on more than one occasion that rescissory damages are the preferred remedial measure where a transaction fails to pass the test of entire fairness ...”).</w:t>
            </w:r>
          </w:p>
        </w:tc>
      </w:tr>
      <w:tr>
        <w:tblPrEx/>
        <w:trPr/>
        <w:tc>
          <w:tcPr>
            <w:vAlign w:val="top"/>
          </w:tcPr>
          <w:p>
            <w:pPr>
              <w:spacing w:before="0" w:after="0" w:line="275" w:lineRule="atLeast"/>
            </w:pPr>
            <w:hyperlink w:anchor="co_tablefootnote_294_1">
              <w:r>
                <w:rPr>
                  <w:rFonts w:ascii="Times New Roman" w:hAnsi="Times New Roman"/>
                  <w:color w:val="000000"/>
                  <w:sz w:val="20"/>
                  <w:vertAlign w:val="superscript"/>
                </w:rPr>
                <w:t>294</w:t>
              </w:r>
            </w:hyperlink>
          </w:p>
        </w:tc>
        <w:tc>
          <w:tcPr>
            <w:vAlign w:val="top"/>
          </w:tcPr>
          <w:p>
            <w:pPr>
              <w:pBdr>
                <w:bottom w:val="none" w:space="8"/>
              </w:pBdr>
              <w:spacing w:before="0" w:after="0" w:line="275" w:lineRule="atLeast"/>
              <w:jc w:val="both"/>
            </w:pPr>
            <w:hyperlink r:id="r127">
              <w:r>
                <w:rPr>
                  <w:rFonts w:ascii="Times New Roman" w:hAnsi="Times New Roman"/>
                  <w:i/>
                  <w:color w:val="000000"/>
                  <w:sz w:val="20"/>
                </w:rPr>
                <w:t>In re OrchardEnters., Inc. S'holder Litig.,</w:t>
              </w:r>
              <w:r>
                <w:rPr>
                  <w:rFonts w:ascii="Times New Roman" w:hAnsi="Times New Roman"/>
                  <w:color w:val="000000"/>
                  <w:sz w:val="20"/>
                </w:rPr>
                <w:t xml:space="preserve"> 88 A.3d 1, 38-39 (Del. Ch. 2014)</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295_1">
              <w:r>
                <w:rPr>
                  <w:rFonts w:ascii="Times New Roman" w:hAnsi="Times New Roman"/>
                  <w:color w:val="000000"/>
                  <w:sz w:val="20"/>
                  <w:vertAlign w:val="superscript"/>
                </w:rPr>
                <w:t>295</w:t>
              </w:r>
            </w:hyperlink>
          </w:p>
        </w:tc>
        <w:tc>
          <w:tcPr>
            <w:vAlign w:val="top"/>
          </w:tcPr>
          <w:p>
            <w:pPr>
              <w:pBdr>
                <w:bottom w:val="none" w:space="8"/>
              </w:pBdr>
              <w:spacing w:before="0" w:after="0" w:line="275" w:lineRule="atLeast"/>
              <w:jc w:val="both"/>
            </w:pPr>
            <w:r>
              <w:rPr>
                <w:rFonts w:ascii="Times New Roman" w:hAnsi="Times New Roman"/>
                <w:color w:val="000000"/>
                <w:sz w:val="20"/>
              </w:rPr>
              <w:t>Tr. 1382:18-23 (Barrick-Cross).</w:t>
            </w:r>
          </w:p>
        </w:tc>
      </w:tr>
      <w:tr>
        <w:tblPrEx/>
        <w:trPr/>
        <w:tc>
          <w:tcPr>
            <w:vAlign w:val="top"/>
          </w:tcPr>
          <w:p>
            <w:pPr>
              <w:spacing w:before="0" w:after="0" w:line="275" w:lineRule="atLeast"/>
            </w:pPr>
            <w:hyperlink w:anchor="co_tablefootnote_296_1">
              <w:r>
                <w:rPr>
                  <w:rFonts w:ascii="Times New Roman" w:hAnsi="Times New Roman"/>
                  <w:color w:val="000000"/>
                  <w:sz w:val="20"/>
                  <w:vertAlign w:val="superscript"/>
                </w:rPr>
                <w:t>296</w:t>
              </w:r>
            </w:hyperlink>
          </w:p>
        </w:tc>
        <w:tc>
          <w:tcPr>
            <w:vAlign w:val="top"/>
          </w:tcPr>
          <w:p>
            <w:pPr>
              <w:pBdr>
                <w:bottom w:val="none" w:space="8"/>
              </w:pBdr>
              <w:spacing w:before="0" w:after="0" w:line="275" w:lineRule="atLeast"/>
              <w:jc w:val="both"/>
            </w:pPr>
            <w:r>
              <w:rPr>
                <w:rFonts w:ascii="Times New Roman" w:hAnsi="Times New Roman"/>
                <w:i/>
                <w:color w:val="000000"/>
                <w:sz w:val="20"/>
              </w:rPr>
              <w:t>OrchardEnters.,</w:t>
            </w:r>
            <w:r>
              <w:rPr>
                <w:rFonts w:ascii="Times New Roman" w:hAnsi="Times New Roman"/>
                <w:color w:val="000000"/>
                <w:sz w:val="20"/>
              </w:rPr>
              <w:t xml:space="preserve"> </w:t>
            </w:r>
            <w:hyperlink r:id="r128">
              <w:r>
                <w:rPr>
                  <w:rFonts w:ascii="Times New Roman" w:hAnsi="Times New Roman"/>
                  <w:color w:val="000000"/>
                  <w:sz w:val="20"/>
                </w:rPr>
                <w:t>88 A.3d at 38-39</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297_1">
              <w:r>
                <w:rPr>
                  <w:rFonts w:ascii="Times New Roman" w:hAnsi="Times New Roman"/>
                  <w:color w:val="000000"/>
                  <w:sz w:val="20"/>
                  <w:vertAlign w:val="superscript"/>
                </w:rPr>
                <w:t>297</w:t>
              </w:r>
            </w:hyperlink>
          </w:p>
        </w:tc>
        <w:tc>
          <w:tcPr>
            <w:vAlign w:val="top"/>
          </w:tcPr>
          <w:p>
            <w:pPr>
              <w:pBdr>
                <w:bottom w:val="none" w:space="8"/>
              </w:pBdr>
              <w:spacing w:before="0" w:after="0" w:line="275" w:lineRule="atLeast"/>
              <w:jc w:val="both"/>
            </w:pPr>
            <w:hyperlink r:id="r129">
              <w:r>
                <w:rPr>
                  <w:rFonts w:ascii="Times New Roman" w:hAnsi="Times New Roman"/>
                  <w:i/>
                  <w:color w:val="000000"/>
                  <w:sz w:val="20"/>
                </w:rPr>
                <w:t>Thorpe,</w:t>
              </w:r>
              <w:r>
                <w:rPr>
                  <w:rFonts w:ascii="Times New Roman" w:hAnsi="Times New Roman"/>
                  <w:color w:val="000000"/>
                  <w:sz w:val="20"/>
                </w:rPr>
                <w:t xml:space="preserve"> 676 A.2d at 445</w:t>
              </w:r>
            </w:hyperlink>
            <w:r>
              <w:rPr>
                <w:rFonts w:ascii="Times New Roman" w:hAnsi="Times New Roman"/>
                <w:color w:val="000000"/>
                <w:sz w:val="20"/>
              </w:rPr>
              <w:t xml:space="preserve"> (relying on </w:t>
            </w:r>
            <w:hyperlink r:id="r130">
              <w:r>
                <w:rPr>
                  <w:rFonts w:ascii="Times New Roman" w:hAnsi="Times New Roman"/>
                  <w:i/>
                  <w:color w:val="000000"/>
                  <w:sz w:val="20"/>
                </w:rPr>
                <w:t>Guth v. Loft, Inc.,</w:t>
              </w:r>
              <w:r>
                <w:rPr>
                  <w:rFonts w:ascii="Times New Roman" w:hAnsi="Times New Roman"/>
                  <w:color w:val="000000"/>
                  <w:sz w:val="20"/>
                </w:rPr>
                <w:t xml:space="preserve"> 5 A.2d 503, 510 (Del. 1939)</w:t>
              </w:r>
            </w:hyperlink>
            <w:r>
              <w:rPr>
                <w:rFonts w:ascii="Times New Roman" w:hAnsi="Times New Roman"/>
                <w:color w:val="000000"/>
                <w:sz w:val="20"/>
              </w:rPr>
              <w:t xml:space="preserve">); </w:t>
            </w:r>
            <w:hyperlink r:id="r131">
              <w:r>
                <w:rPr>
                  <w:rFonts w:ascii="Times New Roman" w:hAnsi="Times New Roman"/>
                  <w:i/>
                  <w:color w:val="000000"/>
                  <w:sz w:val="20"/>
                </w:rPr>
                <w:t>Int'l Telecharge,</w:t>
              </w:r>
              <w:r>
                <w:rPr>
                  <w:rFonts w:ascii="Times New Roman" w:hAnsi="Times New Roman"/>
                  <w:color w:val="000000"/>
                  <w:sz w:val="20"/>
                </w:rPr>
                <w:t xml:space="preserve"> 766 A.2d at 441</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298_1">
              <w:r>
                <w:rPr>
                  <w:rFonts w:ascii="Times New Roman" w:hAnsi="Times New Roman"/>
                  <w:color w:val="000000"/>
                  <w:sz w:val="20"/>
                  <w:vertAlign w:val="superscript"/>
                </w:rPr>
                <w:t>298</w:t>
              </w:r>
            </w:hyperlink>
          </w:p>
        </w:tc>
        <w:tc>
          <w:tcPr>
            <w:vAlign w:val="top"/>
          </w:tcPr>
          <w:p>
            <w:pPr>
              <w:pBdr>
                <w:bottom w:val="none" w:space="8"/>
              </w:pBdr>
              <w:spacing w:before="0" w:after="0" w:line="275" w:lineRule="atLeast"/>
              <w:jc w:val="both"/>
            </w:pPr>
            <w:r>
              <w:rPr>
                <w:rFonts w:ascii="Times New Roman" w:hAnsi="Times New Roman"/>
                <w:color w:val="000000"/>
                <w:sz w:val="20"/>
              </w:rPr>
              <w:t>Prickett Pls. Pretrial Br. at 48-50.</w:t>
            </w:r>
          </w:p>
        </w:tc>
      </w:tr>
      <w:tr>
        <w:tblPrEx/>
        <w:trPr/>
        <w:tc>
          <w:tcPr>
            <w:vAlign w:val="top"/>
          </w:tcPr>
          <w:p>
            <w:pPr>
              <w:spacing w:before="0" w:after="0" w:line="275" w:lineRule="atLeast"/>
            </w:pPr>
            <w:hyperlink w:anchor="co_tablefootnote_299_1">
              <w:r>
                <w:rPr>
                  <w:rFonts w:ascii="Times New Roman" w:hAnsi="Times New Roman"/>
                  <w:color w:val="000000"/>
                  <w:sz w:val="20"/>
                  <w:vertAlign w:val="superscript"/>
                </w:rPr>
                <w:t>299</w:t>
              </w:r>
            </w:hyperlink>
          </w:p>
        </w:tc>
        <w:tc>
          <w:tcPr>
            <w:vAlign w:val="top"/>
          </w:tcPr>
          <w:p>
            <w:pPr>
              <w:pBdr>
                <w:bottom w:val="none" w:space="8"/>
              </w:pBdr>
              <w:spacing w:before="0" w:after="0" w:line="275" w:lineRule="atLeast"/>
              <w:jc w:val="both"/>
            </w:pPr>
            <w:r>
              <w:rPr>
                <w:rFonts w:ascii="Times New Roman" w:hAnsi="Times New Roman"/>
                <w:color w:val="000000"/>
                <w:sz w:val="20"/>
              </w:rPr>
              <w:t>JX-3505 at 192:8-13 (Taylor-Direct) (“Now, on the other hand, it's a partnership that's selling. So there's - it's a tax-favored entity, and there's a huge tax benefit they can convey on a buyer. And that's a step-up basis in the assets which can then be amortized over 15 years.”).</w:t>
            </w:r>
          </w:p>
        </w:tc>
      </w:tr>
      <w:tr>
        <w:tblPrEx/>
        <w:trPr/>
        <w:tc>
          <w:tcPr>
            <w:vAlign w:val="top"/>
          </w:tcPr>
          <w:p>
            <w:pPr>
              <w:spacing w:before="0" w:after="0" w:line="275" w:lineRule="atLeast"/>
            </w:pPr>
            <w:hyperlink w:anchor="co_tablefootnote_300_1">
              <w:r>
                <w:rPr>
                  <w:rFonts w:ascii="Times New Roman" w:hAnsi="Times New Roman"/>
                  <w:color w:val="000000"/>
                  <w:sz w:val="20"/>
                  <w:vertAlign w:val="superscript"/>
                </w:rPr>
                <w:t>300</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JX-3516 also shows the value of the tax benefit moves proportionately with the purchase price. This is consistent with Ms. Taylor's testimony </w:t>
            </w:r>
            <w:r>
              <w:rPr>
                <w:rFonts w:ascii="Times New Roman" w:hAnsi="Times New Roman"/>
                <w:i/>
                <w:color w:val="000000"/>
                <w:sz w:val="20"/>
              </w:rPr>
              <w:t>inB&amp;L Cellular. JX-</w:t>
            </w:r>
            <w:r>
              <w:rPr>
                <w:rFonts w:ascii="Times New Roman" w:hAnsi="Times New Roman"/>
                <w:color w:val="000000"/>
                <w:sz w:val="20"/>
              </w:rPr>
              <w:t xml:space="preserve"> 3505 at 195:14-17 (Taylor-Direct).</w:t>
            </w:r>
          </w:p>
        </w:tc>
      </w:tr>
      <w:tr>
        <w:tblPrEx/>
        <w:trPr/>
        <w:tc>
          <w:tcPr>
            <w:vAlign w:val="top"/>
          </w:tcPr>
          <w:p>
            <w:pPr>
              <w:spacing w:before="0" w:after="0" w:line="275" w:lineRule="atLeast"/>
            </w:pPr>
            <w:hyperlink w:anchor="co_tablefootnote_301_1">
              <w:r>
                <w:rPr>
                  <w:rFonts w:ascii="Times New Roman" w:hAnsi="Times New Roman"/>
                  <w:color w:val="000000"/>
                  <w:sz w:val="20"/>
                  <w:vertAlign w:val="superscript"/>
                </w:rPr>
                <w:t>301</w:t>
              </w:r>
            </w:hyperlink>
          </w:p>
        </w:tc>
        <w:tc>
          <w:tcPr>
            <w:vAlign w:val="top"/>
          </w:tcPr>
          <w:p>
            <w:pPr>
              <w:pBdr>
                <w:bottom w:val="none" w:space="8"/>
              </w:pBdr>
              <w:spacing w:before="0" w:after="0" w:line="275" w:lineRule="atLeast"/>
              <w:jc w:val="both"/>
            </w:pPr>
            <w:r>
              <w:rPr>
                <w:rFonts w:ascii="Times New Roman" w:hAnsi="Times New Roman"/>
                <w:color w:val="000000"/>
                <w:sz w:val="20"/>
              </w:rPr>
              <w:t>JX-3514 at 3.</w:t>
            </w:r>
          </w:p>
        </w:tc>
      </w:tr>
      <w:tr>
        <w:tblPrEx/>
        <w:trPr/>
        <w:tc>
          <w:tcPr>
            <w:vAlign w:val="top"/>
          </w:tcPr>
          <w:p>
            <w:pPr>
              <w:spacing w:before="0" w:after="0" w:line="275" w:lineRule="atLeast"/>
            </w:pPr>
            <w:hyperlink w:anchor="co_tablefootnote_302_1">
              <w:r>
                <w:rPr>
                  <w:rFonts w:ascii="Times New Roman" w:hAnsi="Times New Roman"/>
                  <w:color w:val="000000"/>
                  <w:sz w:val="20"/>
                  <w:vertAlign w:val="superscript"/>
                </w:rPr>
                <w:t>302</w:t>
              </w:r>
            </w:hyperlink>
          </w:p>
        </w:tc>
        <w:tc>
          <w:tcPr>
            <w:vAlign w:val="top"/>
          </w:tcPr>
          <w:p>
            <w:pPr>
              <w:pBdr>
                <w:bottom w:val="none" w:space="8"/>
              </w:pBdr>
              <w:spacing w:before="0" w:after="0" w:line="275" w:lineRule="atLeast"/>
              <w:jc w:val="both"/>
            </w:pPr>
            <w:r>
              <w:rPr>
                <w:rFonts w:ascii="Times New Roman" w:hAnsi="Times New Roman"/>
                <w:i/>
                <w:color w:val="000000"/>
                <w:sz w:val="20"/>
              </w:rPr>
              <w:t>Id.; see also</w:t>
            </w:r>
            <w:r>
              <w:rPr>
                <w:rFonts w:ascii="Times New Roman" w:hAnsi="Times New Roman"/>
                <w:color w:val="000000"/>
                <w:sz w:val="20"/>
              </w:rPr>
              <w:t xml:space="preserve"> JX-3516.</w:t>
            </w:r>
          </w:p>
        </w:tc>
      </w:tr>
      <w:tr>
        <w:tblPrEx/>
        <w:trPr/>
        <w:tc>
          <w:tcPr>
            <w:vAlign w:val="top"/>
          </w:tcPr>
          <w:p>
            <w:pPr>
              <w:spacing w:before="0" w:after="0" w:line="275" w:lineRule="atLeast"/>
            </w:pPr>
            <w:hyperlink w:anchor="co_tablefootnote_303_1">
              <w:r>
                <w:rPr>
                  <w:rFonts w:ascii="Times New Roman" w:hAnsi="Times New Roman"/>
                  <w:color w:val="000000"/>
                  <w:sz w:val="20"/>
                  <w:vertAlign w:val="superscript"/>
                </w:rPr>
                <w:t>303</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70.</w:t>
            </w:r>
          </w:p>
        </w:tc>
      </w:tr>
      <w:tr>
        <w:tblPrEx/>
        <w:trPr/>
        <w:tc>
          <w:tcPr>
            <w:vAlign w:val="top"/>
          </w:tcPr>
          <w:p>
            <w:pPr>
              <w:spacing w:before="0" w:after="0" w:line="275" w:lineRule="atLeast"/>
            </w:pPr>
            <w:hyperlink w:anchor="co_tablefootnote_304_1">
              <w:r>
                <w:rPr>
                  <w:rFonts w:ascii="Times New Roman" w:hAnsi="Times New Roman"/>
                  <w:color w:val="000000"/>
                  <w:sz w:val="20"/>
                  <w:vertAlign w:val="superscript"/>
                </w:rPr>
                <w:t>304</w:t>
              </w:r>
            </w:hyperlink>
          </w:p>
        </w:tc>
        <w:tc>
          <w:tcPr>
            <w:vAlign w:val="top"/>
          </w:tcPr>
          <w:p>
            <w:pPr>
              <w:pBdr>
                <w:bottom w:val="none" w:space="8"/>
              </w:pBdr>
              <w:spacing w:before="0" w:after="0" w:line="275" w:lineRule="atLeast"/>
              <w:jc w:val="both"/>
            </w:pPr>
            <w:r>
              <w:rPr>
                <w:rFonts w:ascii="Times New Roman" w:hAnsi="Times New Roman"/>
                <w:i/>
                <w:color w:val="000000"/>
                <w:sz w:val="20"/>
              </w:rPr>
              <w:t xml:space="preserve">See </w:t>
            </w:r>
            <w:hyperlink r:id="r132">
              <w:r>
                <w:rPr>
                  <w:rFonts w:ascii="Times New Roman" w:hAnsi="Times New Roman"/>
                  <w:i/>
                  <w:color w:val="000000"/>
                  <w:sz w:val="20"/>
                </w:rPr>
                <w:t>Randall v. Loftsgaarden,</w:t>
              </w:r>
              <w:r>
                <w:rPr>
                  <w:rFonts w:ascii="Times New Roman" w:hAnsi="Times New Roman"/>
                  <w:color w:val="000000"/>
                  <w:sz w:val="20"/>
                </w:rPr>
                <w:t xml:space="preserve"> 478 U. S. 647, 660-64 (1986)</w:t>
              </w:r>
            </w:hyperlink>
            <w:r>
              <w:rPr>
                <w:rFonts w:ascii="Times New Roman" w:hAnsi="Times New Roman"/>
                <w:color w:val="000000"/>
                <w:sz w:val="20"/>
              </w:rPr>
              <w:t xml:space="preserve"> (concluding that under federal securities laws defrauded investors' damages should not be offset by tax-shelter benefits investors received).</w:t>
            </w:r>
          </w:p>
        </w:tc>
      </w:tr>
      <w:tr>
        <w:tblPrEx/>
        <w:trPr/>
        <w:tc>
          <w:tcPr>
            <w:vAlign w:val="top"/>
          </w:tcPr>
          <w:p>
            <w:pPr>
              <w:spacing w:before="0" w:after="0" w:line="275" w:lineRule="atLeast"/>
            </w:pPr>
            <w:hyperlink w:anchor="co_tablefootnote_305_1">
              <w:r>
                <w:rPr>
                  <w:rFonts w:ascii="Times New Roman" w:hAnsi="Times New Roman"/>
                  <w:color w:val="000000"/>
                  <w:sz w:val="20"/>
                  <w:vertAlign w:val="superscript"/>
                </w:rPr>
                <w:t>305</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1381:4-7 (Barrick-Cross); </w:t>
            </w:r>
            <w:r>
              <w:rPr>
                <w:rFonts w:ascii="Times New Roman" w:hAnsi="Times New Roman"/>
                <w:i/>
                <w:color w:val="000000"/>
                <w:sz w:val="20"/>
              </w:rPr>
              <w:t>see also JX</w:t>
            </w:r>
            <w:r>
              <w:rPr>
                <w:rFonts w:ascii="Times New Roman" w:hAnsi="Times New Roman"/>
                <w:color w:val="000000"/>
                <w:sz w:val="20"/>
              </w:rPr>
              <w:t xml:space="preserve"> 2467 at 16-18.</w:t>
            </w:r>
          </w:p>
        </w:tc>
      </w:tr>
      <w:tr>
        <w:tblPrEx/>
        <w:trPr/>
        <w:tc>
          <w:tcPr>
            <w:vAlign w:val="top"/>
          </w:tcPr>
          <w:p>
            <w:pPr>
              <w:spacing w:before="0" w:after="0" w:line="275" w:lineRule="atLeast"/>
            </w:pPr>
            <w:hyperlink w:anchor="co_tablefootnote_306_1">
              <w:r>
                <w:rPr>
                  <w:rFonts w:ascii="Times New Roman" w:hAnsi="Times New Roman"/>
                  <w:color w:val="000000"/>
                  <w:sz w:val="20"/>
                  <w:vertAlign w:val="superscript"/>
                </w:rPr>
                <w:t>306</w:t>
              </w:r>
            </w:hyperlink>
          </w:p>
        </w:tc>
        <w:tc>
          <w:tcPr>
            <w:vAlign w:val="top"/>
          </w:tcPr>
          <w:p>
            <w:pPr>
              <w:pBdr>
                <w:bottom w:val="none" w:space="8"/>
              </w:pBdr>
              <w:spacing w:before="0" w:after="0" w:line="275" w:lineRule="atLeast"/>
              <w:jc w:val="both"/>
            </w:pPr>
            <w:r>
              <w:rPr>
                <w:rFonts w:ascii="Times New Roman" w:hAnsi="Times New Roman"/>
                <w:color w:val="000000"/>
                <w:sz w:val="20"/>
              </w:rPr>
              <w:t>Tr. 1381:8-9 (Barrick-Cross).</w:t>
            </w:r>
          </w:p>
        </w:tc>
      </w:tr>
      <w:tr>
        <w:tblPrEx/>
        <w:trPr/>
        <w:tc>
          <w:tcPr>
            <w:vAlign w:val="top"/>
          </w:tcPr>
          <w:p>
            <w:pPr>
              <w:spacing w:before="0" w:after="0" w:line="275" w:lineRule="atLeast"/>
            </w:pPr>
            <w:hyperlink w:anchor="co_tablefootnote_307_1">
              <w:r>
                <w:rPr>
                  <w:rFonts w:ascii="Times New Roman" w:hAnsi="Times New Roman"/>
                  <w:color w:val="000000"/>
                  <w:sz w:val="20"/>
                  <w:vertAlign w:val="superscript"/>
                </w:rPr>
                <w:t>307</w:t>
              </w:r>
            </w:hyperlink>
          </w:p>
        </w:tc>
        <w:tc>
          <w:tcPr>
            <w:vAlign w:val="top"/>
          </w:tcPr>
          <w:p>
            <w:pPr>
              <w:pBdr>
                <w:bottom w:val="none" w:space="8"/>
              </w:pBdr>
              <w:spacing w:before="0" w:after="0" w:line="275" w:lineRule="atLeast"/>
              <w:jc w:val="both"/>
            </w:pPr>
            <w:r>
              <w:rPr>
                <w:rFonts w:ascii="Times New Roman" w:hAnsi="Times New Roman"/>
                <w:color w:val="000000"/>
                <w:sz w:val="20"/>
              </w:rPr>
              <w:t>Tr. 1381:10-21 (Barrick-Cross).</w:t>
            </w:r>
          </w:p>
        </w:tc>
      </w:tr>
      <w:tr>
        <w:tblPrEx/>
        <w:trPr/>
        <w:tc>
          <w:tcPr>
            <w:vAlign w:val="top"/>
          </w:tcPr>
          <w:p>
            <w:pPr>
              <w:spacing w:before="0" w:after="0" w:line="275" w:lineRule="atLeast"/>
            </w:pPr>
            <w:hyperlink w:anchor="co_tablefootnote_308_1">
              <w:r>
                <w:rPr>
                  <w:rFonts w:ascii="Times New Roman" w:hAnsi="Times New Roman"/>
                  <w:color w:val="000000"/>
                  <w:sz w:val="20"/>
                  <w:vertAlign w:val="superscript"/>
                </w:rPr>
                <w:t>308</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1381:20-21; </w:t>
            </w:r>
            <w:r>
              <w:rPr>
                <w:rFonts w:ascii="Times New Roman" w:hAnsi="Times New Roman"/>
                <w:i/>
                <w:color w:val="000000"/>
                <w:sz w:val="20"/>
              </w:rPr>
              <w:t>see also</w:t>
            </w:r>
            <w:r>
              <w:rPr>
                <w:rFonts w:ascii="Times New Roman" w:hAnsi="Times New Roman"/>
                <w:color w:val="000000"/>
                <w:sz w:val="20"/>
              </w:rPr>
              <w:t xml:space="preserve"> Tr. 786:9-11 (Taylor-Direct) (“AT&amp;T was effectively underwriting, if you will, the availability of liquidity to build the next generation of technology, right.”).</w:t>
            </w:r>
          </w:p>
        </w:tc>
      </w:tr>
      <w:tr>
        <w:tblPrEx/>
        <w:trPr/>
        <w:tc>
          <w:tcPr>
            <w:vAlign w:val="top"/>
          </w:tcPr>
          <w:p>
            <w:pPr>
              <w:spacing w:before="0" w:after="0" w:line="275" w:lineRule="atLeast"/>
            </w:pPr>
            <w:hyperlink w:anchor="co_tablefootnote_309_1">
              <w:r>
                <w:rPr>
                  <w:rFonts w:ascii="Times New Roman" w:hAnsi="Times New Roman"/>
                  <w:color w:val="000000"/>
                  <w:sz w:val="20"/>
                  <w:vertAlign w:val="superscript"/>
                </w:rPr>
                <w:t>309</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39 (identifying “major drivers of differences”).</w:t>
            </w:r>
          </w:p>
        </w:tc>
      </w:tr>
      <w:tr>
        <w:tblPrEx/>
        <w:trPr/>
        <w:tc>
          <w:tcPr>
            <w:vAlign w:val="top"/>
          </w:tcPr>
          <w:p>
            <w:pPr>
              <w:spacing w:before="0" w:after="0" w:line="275" w:lineRule="atLeast"/>
            </w:pPr>
            <w:hyperlink w:anchor="co_tablefootnote_310_1">
              <w:r>
                <w:rPr>
                  <w:rFonts w:ascii="Times New Roman" w:hAnsi="Times New Roman"/>
                  <w:color w:val="000000"/>
                  <w:sz w:val="20"/>
                  <w:vertAlign w:val="superscript"/>
                </w:rPr>
                <w:t>310</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1369:2-3 (“the emphasis really is on the point where you've achieved stable growth.”); </w:t>
            </w:r>
            <w:r>
              <w:rPr>
                <w:rFonts w:ascii="Times New Roman" w:hAnsi="Times New Roman"/>
                <w:i/>
                <w:color w:val="000000"/>
                <w:sz w:val="20"/>
              </w:rPr>
              <w:t>see also</w:t>
            </w:r>
            <w:r>
              <w:rPr>
                <w:rFonts w:ascii="Times New Roman" w:hAnsi="Times New Roman"/>
                <w:color w:val="000000"/>
                <w:sz w:val="20"/>
              </w:rPr>
              <w:t xml:space="preserve"> Shannon P. Pratt, </w:t>
            </w:r>
            <w:r>
              <w:rPr>
                <w:rFonts w:ascii="Times New Roman" w:hAnsi="Times New Roman"/>
                <w:i/>
                <w:color w:val="000000"/>
                <w:sz w:val="20"/>
              </w:rPr>
              <w:t>Valuing a Business: The Analysis and Appraisal of Closely Held Companies</w:t>
            </w:r>
            <w:r>
              <w:rPr>
                <w:rFonts w:ascii="Times New Roman" w:hAnsi="Times New Roman"/>
                <w:color w:val="000000"/>
                <w:sz w:val="20"/>
              </w:rPr>
              <w:t xml:space="preserve"> (5th ed. 2008) at 219.</w:t>
            </w:r>
          </w:p>
        </w:tc>
      </w:tr>
      <w:tr>
        <w:tblPrEx/>
        <w:trPr/>
        <w:tc>
          <w:tcPr>
            <w:vAlign w:val="top"/>
          </w:tcPr>
          <w:p>
            <w:pPr>
              <w:spacing w:before="0" w:after="0" w:line="275" w:lineRule="atLeast"/>
            </w:pPr>
            <w:hyperlink w:anchor="co_tablefootnote_311_1">
              <w:r>
                <w:rPr>
                  <w:rFonts w:ascii="Times New Roman" w:hAnsi="Times New Roman"/>
                  <w:color w:val="000000"/>
                  <w:sz w:val="20"/>
                  <w:vertAlign w:val="superscript"/>
                </w:rPr>
                <w:t>311</w:t>
              </w:r>
            </w:hyperlink>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Prickett Pls. Pretrial Br. at 42-43 (“if [Ms. Taylor's] DCF analyses calculated terminal value after 3 years, instead of 10 years, while keeping all other assumptions the same including her 1.0-1.5% terminal growth rate, the sum of her DCF analyses for all the Partnerships is $2,464,125,000, just 1.3% more than the $2,432,445,000 she calculated using a 10 year period.”).</w:t>
            </w:r>
          </w:p>
        </w:tc>
      </w:tr>
      <w:tr>
        <w:tblPrEx/>
        <w:trPr/>
        <w:tc>
          <w:tcPr>
            <w:vAlign w:val="top"/>
          </w:tcPr>
          <w:p>
            <w:pPr>
              <w:spacing w:before="0" w:after="0" w:line="275" w:lineRule="atLeast"/>
            </w:pPr>
            <w:hyperlink w:anchor="co_tablefootnote_312_1">
              <w:r>
                <w:rPr>
                  <w:rFonts w:ascii="Times New Roman" w:hAnsi="Times New Roman"/>
                  <w:color w:val="000000"/>
                  <w:sz w:val="20"/>
                  <w:vertAlign w:val="superscript"/>
                </w:rPr>
                <w:t>312</w:t>
              </w:r>
            </w:hyperlink>
          </w:p>
        </w:tc>
        <w:tc>
          <w:tcPr>
            <w:vAlign w:val="top"/>
          </w:tcPr>
          <w:p>
            <w:pPr>
              <w:pBdr>
                <w:bottom w:val="none" w:space="8"/>
              </w:pBdr>
              <w:spacing w:before="0" w:after="0" w:line="275" w:lineRule="atLeast"/>
              <w:jc w:val="both"/>
            </w:pPr>
            <w:r>
              <w:rPr>
                <w:rFonts w:ascii="Times New Roman" w:hAnsi="Times New Roman"/>
                <w:color w:val="000000"/>
                <w:sz w:val="20"/>
              </w:rPr>
              <w:t>AT&amp;T's claim that Mr. Musey is not a wireless industry expert is as credible as the rest of its positions. AT&amp;T is well-aware of Mr. Musey's standing in the industry, including the fact that he was actively engaged by the Department of Justice in its antitrust review of the T-Mobile/Sprint merger at the time of his deposition. Musey Dep. Tr. 42:15-43:8. Knowing the engagement was no longer confidential at the time of trial, AT&amp;T avoided the topic.</w:t>
            </w:r>
          </w:p>
        </w:tc>
      </w:tr>
      <w:tr>
        <w:tblPrEx/>
        <w:trPr/>
        <w:tc>
          <w:tcPr>
            <w:vAlign w:val="top"/>
          </w:tcPr>
          <w:p>
            <w:pPr>
              <w:spacing w:before="0" w:after="0" w:line="275" w:lineRule="atLeast"/>
            </w:pPr>
            <w:hyperlink w:anchor="co_tablefootnote_313_1">
              <w:r>
                <w:rPr>
                  <w:rFonts w:ascii="Times New Roman" w:hAnsi="Times New Roman"/>
                  <w:color w:val="000000"/>
                  <w:sz w:val="20"/>
                  <w:vertAlign w:val="superscript"/>
                </w:rPr>
                <w:t>313</w:t>
              </w:r>
            </w:hyperlink>
          </w:p>
        </w:tc>
        <w:tc>
          <w:tcPr>
            <w:vAlign w:val="top"/>
          </w:tcPr>
          <w:p>
            <w:pPr>
              <w:pBdr>
                <w:bottom w:val="none" w:space="8"/>
              </w:pBdr>
              <w:spacing w:before="0" w:after="0" w:line="275" w:lineRule="atLeast"/>
              <w:jc w:val="both"/>
            </w:pPr>
            <w:r>
              <w:rPr>
                <w:rFonts w:ascii="Times New Roman" w:hAnsi="Times New Roman"/>
                <w:i/>
                <w:color w:val="000000"/>
                <w:sz w:val="20"/>
              </w:rPr>
              <w:t>See, generally,</w:t>
            </w:r>
            <w:r>
              <w:rPr>
                <w:rFonts w:ascii="Times New Roman" w:hAnsi="Times New Roman"/>
                <w:color w:val="000000"/>
                <w:sz w:val="20"/>
              </w:rPr>
              <w:t xml:space="preserve"> Plaintiffs' Post-Trial Opening Br. in Support of Their Breach of Contract Claims; </w:t>
            </w:r>
            <w:r>
              <w:rPr>
                <w:rFonts w:ascii="Times New Roman" w:hAnsi="Times New Roman"/>
                <w:i/>
                <w:color w:val="000000"/>
                <w:sz w:val="20"/>
              </w:rPr>
              <w:t>see also, e.g.,</w:t>
            </w:r>
            <w:r>
              <w:rPr>
                <w:rFonts w:ascii="Times New Roman" w:hAnsi="Times New Roman"/>
                <w:color w:val="000000"/>
                <w:sz w:val="20"/>
              </w:rPr>
              <w:t xml:space="preserve"> JX- 180 at 9 (requiring AT&amp;T “to record the financial aspects of the Owner's Business, all consistent with the provisions of this Sharing Agreement.”).</w:t>
            </w:r>
          </w:p>
        </w:tc>
      </w:tr>
      <w:tr>
        <w:tblPrEx/>
        <w:trPr/>
        <w:tc>
          <w:tcPr>
            <w:vAlign w:val="top"/>
          </w:tcPr>
          <w:p>
            <w:pPr>
              <w:spacing w:before="0" w:after="0" w:line="275" w:lineRule="atLeast"/>
            </w:pPr>
            <w:hyperlink w:anchor="co_tablefootnote_314_1">
              <w:r>
                <w:rPr>
                  <w:rFonts w:ascii="Times New Roman" w:hAnsi="Times New Roman"/>
                  <w:color w:val="000000"/>
                  <w:sz w:val="20"/>
                  <w:vertAlign w:val="superscript"/>
                </w:rPr>
                <w:t>314</w:t>
              </w:r>
            </w:hyperlink>
          </w:p>
        </w:tc>
        <w:tc>
          <w:tcPr>
            <w:vAlign w:val="top"/>
          </w:tcPr>
          <w:p>
            <w:pPr>
              <w:pBdr>
                <w:bottom w:val="none" w:space="8"/>
              </w:pBdr>
              <w:spacing w:before="0" w:after="0" w:line="275" w:lineRule="atLeast"/>
              <w:jc w:val="both"/>
            </w:pPr>
            <w:r>
              <w:rPr>
                <w:rFonts w:ascii="Times New Roman" w:hAnsi="Times New Roman"/>
                <w:color w:val="000000"/>
                <w:sz w:val="20"/>
              </w:rPr>
              <w:t>Pls. PTOB at 28-35.</w:t>
            </w:r>
          </w:p>
        </w:tc>
      </w:tr>
      <w:tr>
        <w:tblPrEx/>
        <w:trPr/>
        <w:tc>
          <w:tcPr>
            <w:vAlign w:val="top"/>
          </w:tcPr>
          <w:p>
            <w:pPr>
              <w:spacing w:before="0" w:after="0" w:line="275" w:lineRule="atLeast"/>
            </w:pPr>
            <w:hyperlink w:anchor="co_tablefootnote_315_1">
              <w:r>
                <w:rPr>
                  <w:rFonts w:ascii="Times New Roman" w:hAnsi="Times New Roman"/>
                  <w:color w:val="000000"/>
                  <w:sz w:val="20"/>
                  <w:vertAlign w:val="superscript"/>
                </w:rPr>
                <w:t>315</w:t>
              </w:r>
            </w:hyperlink>
          </w:p>
        </w:tc>
        <w:tc>
          <w:tcPr>
            <w:vAlign w:val="top"/>
          </w:tcPr>
          <w:p>
            <w:pPr>
              <w:pBdr>
                <w:bottom w:val="none" w:space="8"/>
              </w:pBdr>
              <w:spacing w:before="0" w:after="0" w:line="275" w:lineRule="atLeast"/>
              <w:jc w:val="both"/>
            </w:pPr>
            <w:r>
              <w:rPr>
                <w:rFonts w:ascii="Times New Roman" w:hAnsi="Times New Roman"/>
                <w:color w:val="000000"/>
                <w:sz w:val="20"/>
              </w:rPr>
              <w:t>Pls. PTOB at 32; Tr. 406:16-407:6 (Wages-Cross) (“Q. And we'll never know how much more money the Partnerships were entitled to receive from operation of Emerging and Connected Devices if AT&amp;T had accounted for them in accordance with the plain language of the Management and Network Sharing Agreements, will we? A. No, we won't, if we looked at it specifically that way.”).</w:t>
            </w:r>
          </w:p>
        </w:tc>
      </w:tr>
      <w:tr>
        <w:tblPrEx/>
        <w:trPr/>
        <w:tc>
          <w:tcPr>
            <w:vAlign w:val="top"/>
          </w:tcPr>
          <w:p>
            <w:pPr>
              <w:spacing w:before="0" w:after="0" w:line="275" w:lineRule="atLeast"/>
            </w:pPr>
            <w:hyperlink w:anchor="co_tablefootnote_316_1">
              <w:r>
                <w:rPr>
                  <w:rFonts w:ascii="Times New Roman" w:hAnsi="Times New Roman"/>
                  <w:color w:val="000000"/>
                  <w:sz w:val="20"/>
                  <w:vertAlign w:val="superscript"/>
                </w:rPr>
                <w:t>316</w:t>
              </w:r>
            </w:hyperlink>
          </w:p>
        </w:tc>
        <w:tc>
          <w:tcPr>
            <w:vAlign w:val="top"/>
          </w:tcPr>
          <w:p>
            <w:pPr>
              <w:pBdr>
                <w:bottom w:val="none" w:space="8"/>
              </w:pBdr>
              <w:spacing w:before="0" w:after="0" w:line="275" w:lineRule="atLeast"/>
              <w:jc w:val="both"/>
            </w:pPr>
            <w:r>
              <w:rPr>
                <w:rFonts w:ascii="Times New Roman" w:hAnsi="Times New Roman"/>
                <w:color w:val="000000"/>
                <w:sz w:val="20"/>
              </w:rPr>
              <w:t>Pls. PTOB at 32-34.</w:t>
            </w:r>
          </w:p>
        </w:tc>
      </w:tr>
      <w:tr>
        <w:tblPrEx/>
        <w:trPr/>
        <w:tc>
          <w:tcPr>
            <w:vAlign w:val="top"/>
          </w:tcPr>
          <w:p>
            <w:pPr>
              <w:spacing w:before="0" w:after="0" w:line="275" w:lineRule="atLeast"/>
            </w:pPr>
            <w:hyperlink w:anchor="co_tablefootnote_317_1">
              <w:r>
                <w:rPr>
                  <w:rFonts w:ascii="Times New Roman" w:hAnsi="Times New Roman"/>
                  <w:color w:val="000000"/>
                  <w:sz w:val="20"/>
                  <w:vertAlign w:val="superscript"/>
                </w:rPr>
                <w:t>317</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Tr. 1113:16:17 (Hall-Cross) (“We didn't do any analysis like that.”); </w:t>
            </w:r>
            <w:r>
              <w:rPr>
                <w:rFonts w:ascii="Times New Roman" w:hAnsi="Times New Roman"/>
                <w:i/>
                <w:color w:val="000000"/>
                <w:sz w:val="20"/>
              </w:rPr>
              <w:t>id.</w:t>
            </w:r>
            <w:r>
              <w:rPr>
                <w:rFonts w:ascii="Times New Roman" w:hAnsi="Times New Roman"/>
                <w:color w:val="000000"/>
                <w:sz w:val="20"/>
              </w:rPr>
              <w:t xml:space="preserve"> 1127:6-1128:1.</w:t>
            </w:r>
          </w:p>
        </w:tc>
      </w:tr>
      <w:tr>
        <w:tblPrEx/>
        <w:trPr/>
        <w:tc>
          <w:tcPr>
            <w:vAlign w:val="top"/>
          </w:tcPr>
          <w:p>
            <w:pPr>
              <w:spacing w:before="0" w:after="0" w:line="275" w:lineRule="atLeast"/>
            </w:pPr>
            <w:hyperlink w:anchor="co_tablefootnote_318_1">
              <w:r>
                <w:rPr>
                  <w:rFonts w:ascii="Times New Roman" w:hAnsi="Times New Roman"/>
                  <w:color w:val="000000"/>
                  <w:sz w:val="20"/>
                  <w:vertAlign w:val="superscript"/>
                </w:rPr>
                <w:t>318</w:t>
              </w:r>
            </w:hyperlink>
          </w:p>
        </w:tc>
        <w:tc>
          <w:tcPr>
            <w:vAlign w:val="top"/>
          </w:tcPr>
          <w:p>
            <w:pPr>
              <w:pBdr>
                <w:bottom w:val="none" w:space="8"/>
              </w:pBdr>
              <w:spacing w:before="0" w:after="0" w:line="275" w:lineRule="atLeast"/>
              <w:jc w:val="both"/>
            </w:pPr>
            <w:r>
              <w:rPr>
                <w:rFonts w:ascii="Times New Roman" w:hAnsi="Times New Roman"/>
                <w:color w:val="000000"/>
                <w:sz w:val="20"/>
              </w:rPr>
              <w:t>Tr. 1110:3-1111:12 (Hall-Cross); JX-3606 (“NPA/NXX blocks can only be assigned to one general ledger company”).</w:t>
            </w:r>
          </w:p>
        </w:tc>
      </w:tr>
      <w:tr>
        <w:tblPrEx/>
        <w:trPr/>
        <w:tc>
          <w:tcPr>
            <w:vAlign w:val="top"/>
          </w:tcPr>
          <w:p>
            <w:pPr>
              <w:spacing w:before="0" w:after="0" w:line="275" w:lineRule="atLeast"/>
            </w:pPr>
            <w:hyperlink w:anchor="co_tablefootnote_319_1">
              <w:r>
                <w:rPr>
                  <w:rFonts w:ascii="Times New Roman" w:hAnsi="Times New Roman"/>
                  <w:color w:val="000000"/>
                  <w:sz w:val="20"/>
                  <w:vertAlign w:val="superscript"/>
                </w:rPr>
                <w:t>319</w:t>
              </w:r>
            </w:hyperlink>
          </w:p>
        </w:tc>
        <w:tc>
          <w:tcPr>
            <w:vAlign w:val="top"/>
          </w:tcPr>
          <w:p>
            <w:pPr>
              <w:pBdr>
                <w:bottom w:val="none" w:space="8"/>
              </w:pBdr>
              <w:spacing w:before="0" w:after="0" w:line="275" w:lineRule="atLeast"/>
              <w:jc w:val="both"/>
            </w:pPr>
            <w:r>
              <w:rPr>
                <w:rFonts w:ascii="Times New Roman" w:hAnsi="Times New Roman"/>
                <w:color w:val="000000"/>
                <w:sz w:val="20"/>
              </w:rPr>
              <w:t>Pls. PTOB at 40-41; Tr. 355:22-356:3 (Wages-Cross), 356:4-356:13 (Wages-Cross), 364:13-365:24 (Wages-Cross).</w:t>
            </w:r>
          </w:p>
        </w:tc>
      </w:tr>
      <w:tr>
        <w:tblPrEx/>
        <w:trPr/>
        <w:tc>
          <w:tcPr>
            <w:vAlign w:val="top"/>
          </w:tcPr>
          <w:p>
            <w:pPr>
              <w:spacing w:before="0" w:after="0" w:line="275" w:lineRule="atLeast"/>
            </w:pPr>
            <w:hyperlink w:anchor="co_tablefootnote_320_1">
              <w:r>
                <w:rPr>
                  <w:rFonts w:ascii="Times New Roman" w:hAnsi="Times New Roman"/>
                  <w:color w:val="000000"/>
                  <w:sz w:val="20"/>
                  <w:vertAlign w:val="superscript"/>
                </w:rPr>
                <w:t>320</w:t>
              </w:r>
            </w:hyperlink>
          </w:p>
        </w:tc>
        <w:tc>
          <w:tcPr>
            <w:vAlign w:val="top"/>
          </w:tcPr>
          <w:p>
            <w:pPr>
              <w:pBdr>
                <w:bottom w:val="none" w:space="8"/>
              </w:pBdr>
              <w:spacing w:before="0" w:after="0" w:line="275" w:lineRule="atLeast"/>
              <w:jc w:val="both"/>
            </w:pPr>
            <w:r>
              <w:rPr>
                <w:rFonts w:ascii="Times New Roman" w:hAnsi="Times New Roman"/>
                <w:color w:val="000000"/>
                <w:sz w:val="20"/>
              </w:rPr>
              <w:t>Tr. 1113:16-22 (Hall-Cross).</w:t>
            </w:r>
          </w:p>
        </w:tc>
      </w:tr>
      <w:tr>
        <w:tblPrEx/>
        <w:trPr/>
        <w:tc>
          <w:tcPr>
            <w:vAlign w:val="top"/>
          </w:tcPr>
          <w:p>
            <w:pPr>
              <w:spacing w:before="0" w:after="0" w:line="275" w:lineRule="atLeast"/>
            </w:pPr>
            <w:hyperlink w:anchor="co_tablefootnote_321_1">
              <w:r>
                <w:rPr>
                  <w:rFonts w:ascii="Times New Roman" w:hAnsi="Times New Roman"/>
                  <w:color w:val="000000"/>
                  <w:sz w:val="20"/>
                  <w:vertAlign w:val="superscript"/>
                </w:rPr>
                <w:t>321</w:t>
              </w:r>
            </w:hyperlink>
          </w:p>
        </w:tc>
        <w:tc>
          <w:tcPr>
            <w:vAlign w:val="top"/>
          </w:tcPr>
          <w:p>
            <w:pPr>
              <w:pBdr>
                <w:bottom w:val="none" w:space="8"/>
              </w:pBdr>
              <w:spacing w:before="0" w:after="0" w:line="275" w:lineRule="atLeast"/>
              <w:jc w:val="both"/>
            </w:pPr>
            <w:r>
              <w:rPr>
                <w:rFonts w:ascii="Times New Roman" w:hAnsi="Times New Roman"/>
                <w:color w:val="000000"/>
                <w:sz w:val="20"/>
              </w:rPr>
              <w:t>Pls. PTOB at 42; Tr. 346:10-347:2 (Wages-Cross).</w:t>
            </w:r>
          </w:p>
        </w:tc>
      </w:tr>
      <w:tr>
        <w:tblPrEx/>
        <w:trPr/>
        <w:tc>
          <w:tcPr>
            <w:vAlign w:val="top"/>
          </w:tcPr>
          <w:p>
            <w:pPr>
              <w:spacing w:before="0" w:after="0" w:line="275" w:lineRule="atLeast"/>
            </w:pPr>
            <w:hyperlink w:anchor="co_tablefootnote_322_1">
              <w:r>
                <w:rPr>
                  <w:rFonts w:ascii="Times New Roman" w:hAnsi="Times New Roman"/>
                  <w:color w:val="000000"/>
                  <w:sz w:val="20"/>
                  <w:vertAlign w:val="superscript"/>
                </w:rPr>
                <w:t>322</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JX-3590; JX-2468; Tr. 1181:8-16 (Musey-Direct); </w:t>
            </w:r>
            <w:r>
              <w:rPr>
                <w:rFonts w:ascii="Times New Roman" w:hAnsi="Times New Roman"/>
                <w:i/>
                <w:color w:val="000000"/>
                <w:sz w:val="20"/>
              </w:rPr>
              <w:t>see also id.</w:t>
            </w:r>
            <w:r>
              <w:rPr>
                <w:rFonts w:ascii="Times New Roman" w:hAnsi="Times New Roman"/>
                <w:color w:val="000000"/>
                <w:sz w:val="20"/>
              </w:rPr>
              <w:t xml:space="preserve"> 1186:3-15.</w:t>
            </w:r>
          </w:p>
        </w:tc>
      </w:tr>
      <w:tr>
        <w:tblPrEx/>
        <w:trPr/>
        <w:tc>
          <w:tcPr>
            <w:vAlign w:val="top"/>
          </w:tcPr>
          <w:p>
            <w:pPr>
              <w:spacing w:before="0" w:after="0" w:line="275" w:lineRule="atLeast"/>
            </w:pPr>
            <w:hyperlink w:anchor="co_tablefootnote_323_1">
              <w:r>
                <w:rPr>
                  <w:rFonts w:ascii="Times New Roman" w:hAnsi="Times New Roman"/>
                  <w:color w:val="000000"/>
                  <w:sz w:val="20"/>
                  <w:vertAlign w:val="superscript"/>
                </w:rPr>
                <w:t>323</w:t>
              </w:r>
            </w:hyperlink>
          </w:p>
        </w:tc>
        <w:tc>
          <w:tcPr>
            <w:vAlign w:val="top"/>
          </w:tcPr>
          <w:p>
            <w:pPr>
              <w:pBdr>
                <w:bottom w:val="none" w:space="8"/>
              </w:pBdr>
              <w:spacing w:before="0" w:after="0" w:line="275" w:lineRule="atLeast"/>
              <w:jc w:val="both"/>
            </w:pPr>
            <w:r>
              <w:rPr>
                <w:rFonts w:ascii="Times New Roman" w:hAnsi="Times New Roman"/>
                <w:color w:val="000000"/>
                <w:sz w:val="20"/>
              </w:rPr>
              <w:t>Tr. 1157:15-16 (Musey-Direct).</w:t>
            </w:r>
          </w:p>
        </w:tc>
      </w:tr>
      <w:tr>
        <w:tblPrEx/>
        <w:trPr/>
        <w:tc>
          <w:tcPr>
            <w:vAlign w:val="top"/>
          </w:tcPr>
          <w:p>
            <w:pPr>
              <w:spacing w:before="0" w:after="0" w:line="275" w:lineRule="atLeast"/>
            </w:pPr>
            <w:hyperlink w:anchor="co_tablefootnote_324_1">
              <w:r>
                <w:rPr>
                  <w:rFonts w:ascii="Times New Roman" w:hAnsi="Times New Roman"/>
                  <w:color w:val="000000"/>
                  <w:sz w:val="20"/>
                  <w:vertAlign w:val="superscript"/>
                </w:rPr>
                <w:t>324</w:t>
              </w:r>
            </w:hyperlink>
          </w:p>
        </w:tc>
        <w:tc>
          <w:tcPr>
            <w:vAlign w:val="top"/>
          </w:tcPr>
          <w:p>
            <w:pPr>
              <w:pBdr>
                <w:bottom w:val="none" w:space="8"/>
              </w:pBdr>
              <w:spacing w:before="0" w:after="0" w:line="275" w:lineRule="atLeast"/>
              <w:jc w:val="both"/>
            </w:pPr>
            <w:r>
              <w:rPr>
                <w:rFonts w:ascii="Times New Roman" w:hAnsi="Times New Roman"/>
                <w:color w:val="000000"/>
                <w:sz w:val="20"/>
              </w:rPr>
              <w:t>Tr. 703:1-4 (Taylor-Direct).</w:t>
            </w:r>
          </w:p>
        </w:tc>
      </w:tr>
      <w:tr>
        <w:tblPrEx/>
        <w:trPr/>
        <w:tc>
          <w:tcPr>
            <w:vAlign w:val="top"/>
          </w:tcPr>
          <w:p>
            <w:pPr>
              <w:spacing w:before="0" w:after="0" w:line="275" w:lineRule="atLeast"/>
            </w:pPr>
            <w:hyperlink w:anchor="co_tablefootnote_325_1">
              <w:r>
                <w:rPr>
                  <w:rFonts w:ascii="Times New Roman" w:hAnsi="Times New Roman"/>
                  <w:color w:val="000000"/>
                  <w:sz w:val="20"/>
                  <w:vertAlign w:val="superscript"/>
                </w:rPr>
                <w:t>325</w:t>
              </w:r>
            </w:hyperlink>
          </w:p>
        </w:tc>
        <w:tc>
          <w:tcPr>
            <w:vAlign w:val="top"/>
          </w:tcPr>
          <w:p>
            <w:pPr>
              <w:pBdr>
                <w:bottom w:val="none" w:space="8"/>
              </w:pBdr>
              <w:spacing w:before="0" w:after="0" w:line="275" w:lineRule="atLeast"/>
              <w:jc w:val="both"/>
            </w:pPr>
            <w:r>
              <w:rPr>
                <w:rFonts w:ascii="Times New Roman" w:hAnsi="Times New Roman"/>
                <w:i/>
                <w:color w:val="000000"/>
                <w:sz w:val="20"/>
              </w:rPr>
              <w:t>Supra,</w:t>
            </w:r>
            <w:r>
              <w:rPr>
                <w:rFonts w:ascii="Times New Roman" w:hAnsi="Times New Roman"/>
                <w:color w:val="000000"/>
                <w:sz w:val="20"/>
              </w:rPr>
              <w:t xml:space="preserve"> Section I.B.2.f; Tr. 743:2-7 (Taylor-Direct) and 962:15-22 (Taylor-Cross).</w:t>
            </w:r>
          </w:p>
        </w:tc>
      </w:tr>
      <w:tr>
        <w:tblPrEx/>
        <w:trPr/>
        <w:tc>
          <w:tcPr>
            <w:vAlign w:val="top"/>
          </w:tcPr>
          <w:p>
            <w:pPr>
              <w:spacing w:before="0" w:after="0" w:line="275" w:lineRule="atLeast"/>
            </w:pPr>
            <w:hyperlink w:anchor="co_tablefootnote_326_1">
              <w:r>
                <w:rPr>
                  <w:rFonts w:ascii="Times New Roman" w:hAnsi="Times New Roman"/>
                  <w:color w:val="000000"/>
                  <w:sz w:val="20"/>
                  <w:vertAlign w:val="superscript"/>
                </w:rPr>
                <w:t>326</w:t>
              </w:r>
            </w:hyperlink>
          </w:p>
        </w:tc>
        <w:tc>
          <w:tcPr>
            <w:vAlign w:val="top"/>
          </w:tcPr>
          <w:p>
            <w:pPr>
              <w:pBdr>
                <w:bottom w:val="none" w:space="8"/>
              </w:pBdr>
              <w:spacing w:before="0" w:after="0" w:line="275" w:lineRule="atLeast"/>
              <w:jc w:val="both"/>
            </w:pPr>
            <w:r>
              <w:rPr>
                <w:rFonts w:ascii="Times New Roman" w:hAnsi="Times New Roman"/>
                <w:color w:val="000000"/>
                <w:sz w:val="20"/>
              </w:rPr>
              <w:t>Tr. 943:16-20 (Taylor-Cross).</w:t>
            </w:r>
          </w:p>
        </w:tc>
      </w:tr>
      <w:tr>
        <w:tblPrEx/>
        <w:trPr/>
        <w:tc>
          <w:tcPr>
            <w:vAlign w:val="top"/>
          </w:tcPr>
          <w:p>
            <w:pPr>
              <w:spacing w:before="0" w:after="0" w:line="275" w:lineRule="atLeast"/>
            </w:pPr>
            <w:hyperlink w:anchor="co_tablefootnote_327_1">
              <w:r>
                <w:rPr>
                  <w:rFonts w:ascii="Times New Roman" w:hAnsi="Times New Roman"/>
                  <w:color w:val="000000"/>
                  <w:sz w:val="20"/>
                  <w:vertAlign w:val="superscript"/>
                </w:rPr>
                <w:t>327</w:t>
              </w:r>
            </w:hyperlink>
          </w:p>
        </w:tc>
        <w:tc>
          <w:tcPr>
            <w:vAlign w:val="top"/>
          </w:tcPr>
          <w:p>
            <w:pPr>
              <w:pBdr>
                <w:bottom w:val="none" w:space="8"/>
              </w:pBdr>
              <w:spacing w:before="0" w:after="0" w:line="275" w:lineRule="atLeast"/>
              <w:jc w:val="both"/>
            </w:pPr>
            <w:r>
              <w:rPr>
                <w:rFonts w:ascii="Times New Roman" w:hAnsi="Times New Roman"/>
                <w:color w:val="000000"/>
                <w:sz w:val="20"/>
              </w:rPr>
              <w:t>JX-3590 at 75.</w:t>
            </w:r>
          </w:p>
        </w:tc>
      </w:tr>
      <w:tr>
        <w:tblPrEx/>
        <w:trPr/>
        <w:tc>
          <w:tcPr>
            <w:vAlign w:val="top"/>
          </w:tcPr>
          <w:p>
            <w:pPr>
              <w:spacing w:before="0" w:after="0" w:line="275" w:lineRule="atLeast"/>
            </w:pPr>
            <w:hyperlink w:anchor="co_tablefootnote_328_1">
              <w:r>
                <w:rPr>
                  <w:rFonts w:ascii="Times New Roman" w:hAnsi="Times New Roman"/>
                  <w:color w:val="000000"/>
                  <w:sz w:val="20"/>
                  <w:vertAlign w:val="superscript"/>
                </w:rPr>
                <w:t>328</w:t>
              </w:r>
            </w:hyperlink>
          </w:p>
        </w:tc>
        <w:tc>
          <w:tcPr>
            <w:vAlign w:val="top"/>
          </w:tcPr>
          <w:p>
            <w:pPr>
              <w:pBdr>
                <w:bottom w:val="none" w:space="8"/>
              </w:pBdr>
              <w:spacing w:before="0" w:after="0" w:line="275" w:lineRule="atLeast"/>
              <w:jc w:val="both"/>
            </w:pPr>
            <w:r>
              <w:rPr>
                <w:rFonts w:ascii="Times New Roman" w:hAnsi="Times New Roman"/>
                <w:color w:val="000000"/>
                <w:sz w:val="20"/>
              </w:rPr>
              <w:t>Tr. 1180:13-1181:1 (Musey-Direct); JX-3590 at 38.</w:t>
            </w:r>
          </w:p>
        </w:tc>
      </w:tr>
      <w:tr>
        <w:tblPrEx/>
        <w:trPr/>
        <w:tc>
          <w:tcPr>
            <w:vAlign w:val="top"/>
          </w:tcPr>
          <w:p>
            <w:pPr>
              <w:spacing w:before="0" w:after="0" w:line="275" w:lineRule="atLeast"/>
            </w:pPr>
            <w:hyperlink w:anchor="co_tablefootnote_329_1">
              <w:r>
                <w:rPr>
                  <w:rFonts w:ascii="Times New Roman" w:hAnsi="Times New Roman"/>
                  <w:color w:val="000000"/>
                  <w:sz w:val="20"/>
                  <w:vertAlign w:val="superscript"/>
                </w:rPr>
                <w:t>329</w:t>
              </w:r>
            </w:hyperlink>
          </w:p>
        </w:tc>
        <w:tc>
          <w:tcPr>
            <w:vAlign w:val="top"/>
          </w:tcPr>
          <w:p>
            <w:pPr>
              <w:pBdr>
                <w:bottom w:val="none" w:space="8"/>
              </w:pBdr>
              <w:spacing w:before="0" w:after="0" w:line="275" w:lineRule="atLeast"/>
              <w:jc w:val="both"/>
            </w:pPr>
            <w:r>
              <w:rPr>
                <w:rFonts w:ascii="Times New Roman" w:hAnsi="Times New Roman"/>
                <w:color w:val="000000"/>
                <w:sz w:val="20"/>
              </w:rPr>
              <w:t>JX-3590 at 74.</w:t>
            </w:r>
          </w:p>
        </w:tc>
      </w:tr>
      <w:tr>
        <w:tblPrEx/>
        <w:trPr/>
        <w:tc>
          <w:tcPr>
            <w:vAlign w:val="top"/>
          </w:tcPr>
          <w:p>
            <w:pPr>
              <w:spacing w:before="0" w:after="0" w:line="275" w:lineRule="atLeast"/>
            </w:pPr>
            <w:hyperlink w:anchor="co_tablefootnote_330_1">
              <w:r>
                <w:rPr>
                  <w:rFonts w:ascii="Times New Roman" w:hAnsi="Times New Roman"/>
                  <w:color w:val="000000"/>
                  <w:sz w:val="20"/>
                  <w:vertAlign w:val="superscript"/>
                </w:rPr>
                <w:t>330</w:t>
              </w:r>
            </w:hyperlink>
          </w:p>
        </w:tc>
        <w:tc>
          <w:tcPr>
            <w:vAlign w:val="top"/>
          </w:tcPr>
          <w:p>
            <w:pPr>
              <w:pBdr>
                <w:bottom w:val="none" w:space="8"/>
              </w:pBdr>
              <w:spacing w:before="0" w:after="0" w:line="275" w:lineRule="atLeast"/>
              <w:jc w:val="both"/>
            </w:pPr>
            <w:r>
              <w:rPr>
                <w:rFonts w:ascii="Times New Roman" w:hAnsi="Times New Roman"/>
                <w:color w:val="000000"/>
                <w:sz w:val="20"/>
              </w:rPr>
              <w:t>These are the very metrics that PwC guessed at based on an apples-to-oranges comparison of Partnership chum and AT&amp;T chum. Taylor Dep. Tr. 131:4-132:1.</w:t>
            </w:r>
          </w:p>
        </w:tc>
      </w:tr>
      <w:tr>
        <w:tblPrEx/>
        <w:trPr/>
        <w:tc>
          <w:tcPr>
            <w:vAlign w:val="top"/>
          </w:tcPr>
          <w:p>
            <w:pPr>
              <w:spacing w:before="0" w:after="0" w:line="275" w:lineRule="atLeast"/>
            </w:pPr>
            <w:hyperlink w:anchor="co_tablefootnote_331_1">
              <w:r>
                <w:rPr>
                  <w:rFonts w:ascii="Times New Roman" w:hAnsi="Times New Roman"/>
                  <w:color w:val="000000"/>
                  <w:sz w:val="20"/>
                  <w:vertAlign w:val="superscript"/>
                </w:rPr>
                <w:t>331</w:t>
              </w:r>
            </w:hyperlink>
          </w:p>
        </w:tc>
        <w:tc>
          <w:tcPr>
            <w:vAlign w:val="top"/>
          </w:tcPr>
          <w:p>
            <w:pPr>
              <w:pBdr>
                <w:bottom w:val="none" w:space="8"/>
              </w:pBdr>
              <w:spacing w:before="0" w:after="0" w:line="275" w:lineRule="atLeast"/>
              <w:jc w:val="both"/>
            </w:pPr>
            <w:r>
              <w:rPr>
                <w:rFonts w:ascii="Times New Roman" w:hAnsi="Times New Roman"/>
                <w:color w:val="000000"/>
                <w:sz w:val="20"/>
              </w:rPr>
              <w:t>JX-3590 at 74-75.</w:t>
            </w:r>
          </w:p>
        </w:tc>
      </w:tr>
      <w:tr>
        <w:tblPrEx/>
        <w:trPr/>
        <w:tc>
          <w:tcPr>
            <w:vAlign w:val="top"/>
          </w:tcPr>
          <w:p>
            <w:pPr>
              <w:spacing w:before="0" w:after="0" w:line="275" w:lineRule="atLeast"/>
            </w:pPr>
            <w:hyperlink w:anchor="co_tablefootnote_332_1">
              <w:r>
                <w:rPr>
                  <w:rFonts w:ascii="Times New Roman" w:hAnsi="Times New Roman"/>
                  <w:color w:val="000000"/>
                  <w:sz w:val="20"/>
                  <w:vertAlign w:val="superscript"/>
                </w:rPr>
                <w:t>332</w:t>
              </w:r>
            </w:hyperlink>
          </w:p>
        </w:tc>
        <w:tc>
          <w:tcPr>
            <w:vAlign w:val="top"/>
          </w:tcPr>
          <w:p>
            <w:pPr>
              <w:pBdr>
                <w:bottom w:val="none" w:space="8"/>
              </w:pBdr>
              <w:spacing w:before="0" w:after="0" w:line="275" w:lineRule="atLeast"/>
              <w:jc w:val="both"/>
            </w:pPr>
            <w:r>
              <w:rPr>
                <w:rFonts w:ascii="Times New Roman" w:hAnsi="Times New Roman"/>
                <w:color w:val="000000"/>
                <w:sz w:val="20"/>
              </w:rPr>
              <w:t>Tr. 749:16-18 (Taylor-Direct).</w:t>
            </w:r>
          </w:p>
        </w:tc>
      </w:tr>
      <w:tr>
        <w:tblPrEx/>
        <w:trPr/>
        <w:tc>
          <w:tcPr>
            <w:vAlign w:val="top"/>
          </w:tcPr>
          <w:p>
            <w:pPr>
              <w:spacing w:before="0" w:after="0" w:line="275" w:lineRule="atLeast"/>
            </w:pPr>
            <w:hyperlink w:anchor="co_tablefootnote_333_1">
              <w:r>
                <w:rPr>
                  <w:rFonts w:ascii="Times New Roman" w:hAnsi="Times New Roman"/>
                  <w:color w:val="000000"/>
                  <w:sz w:val="20"/>
                  <w:vertAlign w:val="superscript"/>
                </w:rPr>
                <w:t>333</w:t>
              </w:r>
            </w:hyperlink>
          </w:p>
        </w:tc>
        <w:tc>
          <w:tcPr>
            <w:vAlign w:val="top"/>
          </w:tcPr>
          <w:p>
            <w:pPr>
              <w:pBdr>
                <w:bottom w:val="none" w:space="8"/>
              </w:pBdr>
              <w:spacing w:before="0" w:after="0" w:line="275" w:lineRule="atLeast"/>
              <w:jc w:val="both"/>
            </w:pPr>
            <w:r>
              <w:rPr>
                <w:rFonts w:ascii="Times New Roman" w:hAnsi="Times New Roman"/>
                <w:color w:val="000000"/>
                <w:sz w:val="20"/>
              </w:rPr>
              <w:t>Tr. 942:9-13 (Taylor-Cross) (“Q. I guess, Ms. Taylor, your hypothetical about the size of the slice of the pie that you are taking out of the pie, that's only true if the pie and the slice are changing in size proportionately, right? A. Yeah. That's the whole point.”).</w:t>
            </w:r>
          </w:p>
        </w:tc>
      </w:tr>
      <w:tr>
        <w:tblPrEx/>
        <w:trPr/>
        <w:tc>
          <w:tcPr>
            <w:vAlign w:val="top"/>
          </w:tcPr>
          <w:p>
            <w:pPr>
              <w:spacing w:before="0" w:after="0" w:line="275" w:lineRule="atLeast"/>
            </w:pPr>
            <w:hyperlink w:anchor="co_tablefootnote_334_1">
              <w:r>
                <w:rPr>
                  <w:rFonts w:ascii="Times New Roman" w:hAnsi="Times New Roman"/>
                  <w:color w:val="000000"/>
                  <w:sz w:val="20"/>
                  <w:vertAlign w:val="superscript"/>
                </w:rPr>
                <w:t>334</w:t>
              </w:r>
            </w:hyperlink>
          </w:p>
        </w:tc>
        <w:tc>
          <w:tcPr>
            <w:vAlign w:val="top"/>
          </w:tcPr>
          <w:p>
            <w:pPr>
              <w:pBdr>
                <w:bottom w:val="none" w:space="8"/>
              </w:pBdr>
              <w:spacing w:before="0" w:after="0" w:line="275" w:lineRule="atLeast"/>
              <w:jc w:val="both"/>
            </w:pPr>
            <w:r>
              <w:rPr>
                <w:rFonts w:ascii="Times New Roman" w:hAnsi="Times New Roman"/>
                <w:i/>
                <w:color w:val="000000"/>
                <w:sz w:val="20"/>
              </w:rPr>
              <w:t>Supra,</w:t>
            </w:r>
            <w:r>
              <w:rPr>
                <w:rFonts w:ascii="Times New Roman" w:hAnsi="Times New Roman"/>
                <w:color w:val="000000"/>
                <w:sz w:val="20"/>
              </w:rPr>
              <w:t xml:space="preserve"> Section I.B.2.f</w:t>
            </w:r>
          </w:p>
        </w:tc>
      </w:tr>
      <w:tr>
        <w:tblPrEx/>
        <w:trPr/>
        <w:tc>
          <w:tcPr>
            <w:vAlign w:val="top"/>
          </w:tcPr>
          <w:p>
            <w:pPr>
              <w:spacing w:before="0" w:after="0" w:line="275" w:lineRule="atLeast"/>
            </w:pPr>
            <w:hyperlink w:anchor="co_tablefootnote_335_1">
              <w:r>
                <w:rPr>
                  <w:rFonts w:ascii="Times New Roman" w:hAnsi="Times New Roman"/>
                  <w:color w:val="000000"/>
                  <w:sz w:val="20"/>
                  <w:vertAlign w:val="superscript"/>
                </w:rPr>
                <w:t>335</w:t>
              </w:r>
            </w:hyperlink>
          </w:p>
        </w:tc>
        <w:tc>
          <w:tcPr>
            <w:vAlign w:val="top"/>
          </w:tcPr>
          <w:p>
            <w:pPr>
              <w:pBdr>
                <w:bottom w:val="none" w:space="8"/>
              </w:pBdr>
              <w:spacing w:before="0" w:after="0" w:line="275" w:lineRule="atLeast"/>
              <w:jc w:val="both"/>
            </w:pPr>
            <w:r>
              <w:rPr>
                <w:rFonts w:ascii="Times New Roman" w:hAnsi="Times New Roman"/>
                <w:color w:val="000000"/>
                <w:sz w:val="20"/>
              </w:rPr>
              <w:t>Tr. 762:17 (Taylor-Direct).</w:t>
            </w:r>
          </w:p>
        </w:tc>
      </w:tr>
      <w:tr>
        <w:tblPrEx/>
        <w:trPr/>
        <w:tc>
          <w:tcPr>
            <w:vAlign w:val="top"/>
          </w:tcPr>
          <w:p>
            <w:pPr>
              <w:spacing w:before="0" w:after="0" w:line="275" w:lineRule="atLeast"/>
            </w:pPr>
            <w:hyperlink w:anchor="co_tablefootnote_336_1">
              <w:r>
                <w:rPr>
                  <w:rFonts w:ascii="Times New Roman" w:hAnsi="Times New Roman"/>
                  <w:color w:val="000000"/>
                  <w:sz w:val="20"/>
                  <w:vertAlign w:val="superscript"/>
                </w:rPr>
                <w:t>336</w:t>
              </w:r>
            </w:hyperlink>
          </w:p>
        </w:tc>
        <w:tc>
          <w:tcPr>
            <w:vAlign w:val="top"/>
          </w:tcPr>
          <w:p>
            <w:pPr>
              <w:pBdr>
                <w:bottom w:val="none" w:space="8"/>
              </w:pBdr>
              <w:spacing w:before="0" w:after="0" w:line="275" w:lineRule="atLeast"/>
              <w:jc w:val="both"/>
            </w:pPr>
            <w:r>
              <w:rPr>
                <w:rFonts w:ascii="Times New Roman" w:hAnsi="Times New Roman"/>
                <w:color w:val="000000"/>
                <w:sz w:val="20"/>
              </w:rPr>
              <w:t>Pls. PTOB at 41.</w:t>
            </w:r>
          </w:p>
        </w:tc>
      </w:tr>
      <w:tr>
        <w:tblPrEx/>
        <w:trPr/>
        <w:tc>
          <w:tcPr>
            <w:vAlign w:val="top"/>
          </w:tcPr>
          <w:p>
            <w:pPr>
              <w:spacing w:before="0" w:after="0" w:line="275" w:lineRule="atLeast"/>
            </w:pPr>
            <w:hyperlink w:anchor="co_tablefootnote_337_1">
              <w:r>
                <w:rPr>
                  <w:rFonts w:ascii="Times New Roman" w:hAnsi="Times New Roman"/>
                  <w:color w:val="000000"/>
                  <w:sz w:val="20"/>
                  <w:vertAlign w:val="superscript"/>
                </w:rPr>
                <w:t>337</w:t>
              </w:r>
            </w:hyperlink>
          </w:p>
        </w:tc>
        <w:tc>
          <w:tcPr>
            <w:vAlign w:val="top"/>
          </w:tcPr>
          <w:p>
            <w:pPr>
              <w:pBdr>
                <w:bottom w:val="none" w:space="8"/>
              </w:pBdr>
              <w:spacing w:before="0" w:after="0" w:line="275" w:lineRule="atLeast"/>
              <w:jc w:val="both"/>
            </w:pPr>
            <w:r>
              <w:rPr>
                <w:rFonts w:ascii="Times New Roman" w:hAnsi="Times New Roman"/>
                <w:color w:val="000000"/>
                <w:sz w:val="20"/>
              </w:rPr>
              <w:t>Tr. 756:19-757:15 (Taylor-Direct). Ms. Taylor notes that in the aggregate there is really no issue at all but notes a “swing factor in the individual models was like 18 percent, plus or minus.” It is impossible to know without reviewing her workpapers, but the swing she is referring to is more likely related to the difference in ARPU.</w:t>
            </w:r>
          </w:p>
        </w:tc>
      </w:tr>
      <w:tr>
        <w:tblPrEx/>
        <w:trPr/>
        <w:tc>
          <w:tcPr>
            <w:vAlign w:val="top"/>
          </w:tcPr>
          <w:p>
            <w:pPr>
              <w:spacing w:before="0" w:after="0" w:line="275" w:lineRule="atLeast"/>
            </w:pPr>
            <w:hyperlink w:anchor="co_tablefootnote_338_1">
              <w:r>
                <w:rPr>
                  <w:rFonts w:ascii="Times New Roman" w:hAnsi="Times New Roman"/>
                  <w:color w:val="000000"/>
                  <w:sz w:val="20"/>
                  <w:vertAlign w:val="superscript"/>
                </w:rPr>
                <w:t>338</w:t>
              </w:r>
            </w:hyperlink>
          </w:p>
        </w:tc>
        <w:tc>
          <w:tcPr>
            <w:vAlign w:val="top"/>
          </w:tcPr>
          <w:p>
            <w:pPr>
              <w:pBdr>
                <w:bottom w:val="none" w:space="8"/>
              </w:pBdr>
              <w:spacing w:before="0" w:after="0" w:line="275" w:lineRule="atLeast"/>
              <w:jc w:val="both"/>
            </w:pPr>
            <w:r>
              <w:rPr>
                <w:rFonts w:ascii="Times New Roman" w:hAnsi="Times New Roman"/>
                <w:color w:val="000000"/>
                <w:sz w:val="20"/>
              </w:rPr>
              <w:t>Tr. 1177:3-16 (Musey-Direct).</w:t>
            </w:r>
          </w:p>
        </w:tc>
      </w:tr>
      <w:tr>
        <w:tblPrEx/>
        <w:trPr/>
        <w:tc>
          <w:tcPr>
            <w:vAlign w:val="top"/>
          </w:tcPr>
          <w:p>
            <w:pPr>
              <w:spacing w:before="0" w:after="0" w:line="275" w:lineRule="atLeast"/>
            </w:pPr>
            <w:hyperlink w:anchor="co_tablefootnote_339_1">
              <w:r>
                <w:rPr>
                  <w:rFonts w:ascii="Times New Roman" w:hAnsi="Times New Roman"/>
                  <w:color w:val="000000"/>
                  <w:sz w:val="20"/>
                  <w:vertAlign w:val="superscript"/>
                </w:rPr>
                <w:t>339</w:t>
              </w:r>
            </w:hyperlink>
          </w:p>
        </w:tc>
        <w:tc>
          <w:tcPr>
            <w:vAlign w:val="top"/>
          </w:tcPr>
          <w:p>
            <w:pPr>
              <w:pBdr>
                <w:bottom w:val="none" w:space="8"/>
              </w:pBdr>
              <w:spacing w:before="0" w:after="0" w:line="275" w:lineRule="atLeast"/>
              <w:jc w:val="both"/>
            </w:pPr>
            <w:r>
              <w:rPr>
                <w:rFonts w:ascii="Times New Roman" w:hAnsi="Times New Roman"/>
                <w:color w:val="000000"/>
                <w:sz w:val="20"/>
              </w:rPr>
              <w:t>Tr. 963:2-6 (Taylor-Cross) (“The whole point of roaming is to make the partnership whole whenever somebody is in the network geographic footprint using its network; right? That's the whole point. A. Yes. That is -- that is the point.”).</w:t>
            </w:r>
          </w:p>
        </w:tc>
      </w:tr>
      <w:tr>
        <w:tblPrEx/>
        <w:trPr/>
        <w:tc>
          <w:tcPr>
            <w:vAlign w:val="top"/>
          </w:tcPr>
          <w:p>
            <w:pPr>
              <w:spacing w:before="0" w:after="0" w:line="275" w:lineRule="atLeast"/>
            </w:pPr>
            <w:hyperlink w:anchor="co_tablefootnote_340_1">
              <w:r>
                <w:rPr>
                  <w:rFonts w:ascii="Times New Roman" w:hAnsi="Times New Roman"/>
                  <w:color w:val="000000"/>
                  <w:sz w:val="20"/>
                  <w:vertAlign w:val="superscript"/>
                </w:rPr>
                <w:t>340</w:t>
              </w:r>
            </w:hyperlink>
          </w:p>
        </w:tc>
        <w:tc>
          <w:tcPr>
            <w:vAlign w:val="top"/>
          </w:tcPr>
          <w:p>
            <w:pPr>
              <w:pBdr>
                <w:bottom w:val="none" w:space="8"/>
              </w:pBdr>
              <w:spacing w:before="0" w:after="0" w:line="275" w:lineRule="atLeast"/>
              <w:jc w:val="both"/>
            </w:pPr>
            <w:r>
              <w:rPr>
                <w:rFonts w:ascii="Times New Roman" w:hAnsi="Times New Roman"/>
                <w:color w:val="000000"/>
                <w:sz w:val="20"/>
              </w:rPr>
              <w:t>Tr. 769:8-19 (Taylor-Direct).</w:t>
            </w:r>
          </w:p>
        </w:tc>
      </w:tr>
      <w:tr>
        <w:tblPrEx/>
        <w:trPr/>
        <w:tc>
          <w:tcPr>
            <w:vAlign w:val="top"/>
          </w:tcPr>
          <w:p>
            <w:pPr>
              <w:spacing w:before="0" w:after="0" w:line="275" w:lineRule="atLeast"/>
            </w:pPr>
            <w:hyperlink w:anchor="co_tablefootnote_341_1">
              <w:r>
                <w:rPr>
                  <w:rFonts w:ascii="Times New Roman" w:hAnsi="Times New Roman"/>
                  <w:color w:val="000000"/>
                  <w:sz w:val="20"/>
                  <w:vertAlign w:val="superscript"/>
                </w:rPr>
                <w:t>341</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51.</w:t>
            </w:r>
          </w:p>
        </w:tc>
      </w:tr>
      <w:tr>
        <w:tblPrEx/>
        <w:trPr/>
        <w:tc>
          <w:tcPr>
            <w:vAlign w:val="top"/>
          </w:tcPr>
          <w:p>
            <w:pPr>
              <w:spacing w:before="0" w:after="0" w:line="275" w:lineRule="atLeast"/>
            </w:pPr>
            <w:hyperlink w:anchor="co_tablefootnote_342_1">
              <w:r>
                <w:rPr>
                  <w:rFonts w:ascii="Times New Roman" w:hAnsi="Times New Roman"/>
                  <w:color w:val="000000"/>
                  <w:sz w:val="20"/>
                  <w:vertAlign w:val="superscript"/>
                </w:rPr>
                <w:t>342</w:t>
              </w:r>
            </w:hyperlink>
          </w:p>
        </w:tc>
        <w:tc>
          <w:tcPr>
            <w:vAlign w:val="top"/>
          </w:tcPr>
          <w:p>
            <w:pPr>
              <w:pBdr>
                <w:bottom w:val="none" w:space="8"/>
              </w:pBdr>
              <w:spacing w:before="0" w:after="0" w:line="275" w:lineRule="atLeast"/>
              <w:jc w:val="both"/>
            </w:pPr>
            <w:r>
              <w:rPr>
                <w:rFonts w:ascii="Times New Roman" w:hAnsi="Times New Roman"/>
                <w:color w:val="000000"/>
                <w:sz w:val="20"/>
              </w:rPr>
              <w:t>Tr. 1370:23-1371:22 (Barrick-Cross).</w:t>
            </w:r>
          </w:p>
        </w:tc>
      </w:tr>
      <w:tr>
        <w:tblPrEx/>
        <w:trPr/>
        <w:tc>
          <w:tcPr>
            <w:vAlign w:val="top"/>
          </w:tcPr>
          <w:p>
            <w:pPr>
              <w:spacing w:before="0" w:after="0" w:line="275" w:lineRule="atLeast"/>
            </w:pPr>
            <w:hyperlink w:anchor="co_tablefootnote_343_1">
              <w:r>
                <w:rPr>
                  <w:rFonts w:ascii="Times New Roman" w:hAnsi="Times New Roman"/>
                  <w:color w:val="000000"/>
                  <w:sz w:val="20"/>
                  <w:vertAlign w:val="superscript"/>
                </w:rPr>
                <w:t>343</w:t>
              </w:r>
            </w:hyperlink>
          </w:p>
        </w:tc>
        <w:tc>
          <w:tcPr>
            <w:vAlign w:val="top"/>
          </w:tcPr>
          <w:p>
            <w:pPr>
              <w:pBdr>
                <w:bottom w:val="none" w:space="8"/>
              </w:pBdr>
              <w:spacing w:before="0" w:after="0" w:line="275" w:lineRule="atLeast"/>
              <w:jc w:val="both"/>
            </w:pPr>
            <w:r>
              <w:rPr>
                <w:rFonts w:ascii="Times New Roman" w:hAnsi="Times New Roman"/>
                <w:color w:val="000000"/>
                <w:sz w:val="20"/>
              </w:rPr>
              <w:t>Tr. 762:17 (Taylor-Direct).</w:t>
            </w:r>
          </w:p>
        </w:tc>
      </w:tr>
      <w:tr>
        <w:tblPrEx/>
        <w:trPr/>
        <w:tc>
          <w:tcPr>
            <w:vAlign w:val="top"/>
          </w:tcPr>
          <w:p>
            <w:pPr>
              <w:spacing w:before="0" w:after="0" w:line="275" w:lineRule="atLeast"/>
            </w:pPr>
            <w:hyperlink w:anchor="co_tablefootnote_344_1">
              <w:r>
                <w:rPr>
                  <w:rFonts w:ascii="Times New Roman" w:hAnsi="Times New Roman"/>
                  <w:color w:val="000000"/>
                  <w:sz w:val="20"/>
                  <w:vertAlign w:val="superscript"/>
                </w:rPr>
                <w:t>344</w:t>
              </w:r>
            </w:hyperlink>
          </w:p>
        </w:tc>
        <w:tc>
          <w:tcPr>
            <w:vAlign w:val="top"/>
          </w:tcPr>
          <w:p>
            <w:pPr>
              <w:pBdr>
                <w:bottom w:val="none" w:space="8"/>
              </w:pBdr>
              <w:spacing w:before="0" w:after="0" w:line="275" w:lineRule="atLeast"/>
              <w:jc w:val="both"/>
            </w:pPr>
            <w:r>
              <w:rPr>
                <w:rFonts w:ascii="Times New Roman" w:hAnsi="Times New Roman"/>
                <w:color w:val="000000"/>
                <w:sz w:val="20"/>
              </w:rPr>
              <w:t>Tr. 781:17-18 (Taylor-Direct).</w:t>
            </w:r>
          </w:p>
        </w:tc>
      </w:tr>
      <w:tr>
        <w:tblPrEx/>
        <w:trPr/>
        <w:tc>
          <w:tcPr>
            <w:vAlign w:val="top"/>
          </w:tcPr>
          <w:p>
            <w:pPr>
              <w:spacing w:before="0" w:after="0" w:line="275" w:lineRule="atLeast"/>
            </w:pPr>
            <w:hyperlink w:anchor="co_tablefootnote_345_1">
              <w:r>
                <w:rPr>
                  <w:rFonts w:ascii="Times New Roman" w:hAnsi="Times New Roman"/>
                  <w:color w:val="000000"/>
                  <w:sz w:val="20"/>
                  <w:vertAlign w:val="superscript"/>
                </w:rPr>
                <w:t>345</w:t>
              </w:r>
            </w:hyperlink>
          </w:p>
        </w:tc>
        <w:tc>
          <w:tcPr>
            <w:vAlign w:val="top"/>
          </w:tcPr>
          <w:p>
            <w:pPr>
              <w:pBdr>
                <w:bottom w:val="none" w:space="8"/>
              </w:pBdr>
              <w:spacing w:before="0" w:after="0" w:line="275" w:lineRule="atLeast"/>
              <w:jc w:val="both"/>
            </w:pPr>
            <w:hyperlink r:id="r133">
              <w:r>
                <w:rPr>
                  <w:rFonts w:ascii="Times New Roman" w:hAnsi="Times New Roman"/>
                  <w:i/>
                  <w:color w:val="000000"/>
                  <w:sz w:val="20"/>
                </w:rPr>
                <w:t>AT&amp;T Mobility,</w:t>
              </w:r>
              <w:r>
                <w:rPr>
                  <w:rFonts w:ascii="Times New Roman" w:hAnsi="Times New Roman"/>
                  <w:color w:val="000000"/>
                  <w:sz w:val="20"/>
                </w:rPr>
                <w:t xml:space="preserve"> 2013 WL 3865099, at *4</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346_1">
              <w:r>
                <w:rPr>
                  <w:rFonts w:ascii="Times New Roman" w:hAnsi="Times New Roman"/>
                  <w:color w:val="000000"/>
                  <w:sz w:val="20"/>
                  <w:vertAlign w:val="superscript"/>
                </w:rPr>
                <w:t>346</w:t>
              </w:r>
            </w:hyperlink>
          </w:p>
        </w:tc>
        <w:tc>
          <w:tcPr>
            <w:vAlign w:val="top"/>
          </w:tcPr>
          <w:p>
            <w:pPr>
              <w:pBdr>
                <w:bottom w:val="none" w:space="8"/>
              </w:pBdr>
              <w:spacing w:before="0" w:after="0" w:line="275" w:lineRule="atLeast"/>
              <w:jc w:val="both"/>
            </w:pPr>
            <w:r>
              <w:rPr>
                <w:rFonts w:ascii="Times New Roman" w:hAnsi="Times New Roman"/>
                <w:color w:val="000000"/>
                <w:sz w:val="20"/>
              </w:rPr>
              <w:t>Tr. 786:9-11 (Taylor-Direct) (“AT&amp;T was effectively underwriting, if you will, the availability of liquidity”).</w:t>
            </w:r>
          </w:p>
        </w:tc>
      </w:tr>
      <w:tr>
        <w:tblPrEx/>
        <w:trPr/>
        <w:tc>
          <w:tcPr>
            <w:vAlign w:val="top"/>
          </w:tcPr>
          <w:p>
            <w:pPr>
              <w:spacing w:before="0" w:after="0" w:line="275" w:lineRule="atLeast"/>
            </w:pPr>
            <w:hyperlink w:anchor="co_tablefootnote_347_1">
              <w:r>
                <w:rPr>
                  <w:rFonts w:ascii="Times New Roman" w:hAnsi="Times New Roman"/>
                  <w:color w:val="000000"/>
                  <w:sz w:val="20"/>
                  <w:vertAlign w:val="superscript"/>
                </w:rPr>
                <w:t>347</w:t>
              </w:r>
            </w:hyperlink>
          </w:p>
        </w:tc>
        <w:tc>
          <w:tcPr>
            <w:vAlign w:val="top"/>
          </w:tcPr>
          <w:p>
            <w:pPr>
              <w:pBdr>
                <w:bottom w:val="none" w:space="8"/>
              </w:pBdr>
              <w:spacing w:before="0" w:after="0" w:line="275" w:lineRule="atLeast"/>
              <w:jc w:val="both"/>
            </w:pPr>
            <w:r>
              <w:rPr>
                <w:rFonts w:ascii="Times New Roman" w:hAnsi="Times New Roman"/>
                <w:color w:val="000000"/>
                <w:sz w:val="20"/>
              </w:rPr>
              <w:t>Tr. 1381:11-21 (Barrick-Cross).</w:t>
            </w:r>
          </w:p>
        </w:tc>
      </w:tr>
      <w:tr>
        <w:tblPrEx/>
        <w:trPr/>
        <w:tc>
          <w:tcPr>
            <w:vAlign w:val="top"/>
          </w:tcPr>
          <w:p>
            <w:pPr>
              <w:spacing w:before="0" w:after="0" w:line="275" w:lineRule="atLeast"/>
            </w:pPr>
            <w:hyperlink w:anchor="co_tablefootnote_348_1">
              <w:r>
                <w:rPr>
                  <w:rFonts w:ascii="Times New Roman" w:hAnsi="Times New Roman"/>
                  <w:color w:val="000000"/>
                  <w:sz w:val="20"/>
                  <w:vertAlign w:val="superscript"/>
                </w:rPr>
                <w:t>348</w:t>
              </w:r>
            </w:hyperlink>
          </w:p>
        </w:tc>
        <w:tc>
          <w:tcPr>
            <w:vAlign w:val="top"/>
          </w:tcPr>
          <w:p>
            <w:pPr>
              <w:pBdr>
                <w:bottom w:val="none" w:space="8"/>
              </w:pBdr>
              <w:spacing w:before="0" w:after="0" w:line="275" w:lineRule="atLeast"/>
              <w:jc w:val="both"/>
            </w:pPr>
            <w:r>
              <w:rPr>
                <w:rFonts w:ascii="Times New Roman" w:hAnsi="Times New Roman"/>
                <w:color w:val="000000"/>
                <w:sz w:val="20"/>
              </w:rPr>
              <w:t>JX-2463 at 96.</w:t>
            </w:r>
          </w:p>
        </w:tc>
      </w:tr>
      <w:tr>
        <w:tblPrEx/>
        <w:trPr/>
        <w:tc>
          <w:tcPr>
            <w:vAlign w:val="top"/>
          </w:tcPr>
          <w:p>
            <w:pPr>
              <w:spacing w:before="0" w:after="0" w:line="275" w:lineRule="atLeast"/>
            </w:pPr>
            <w:hyperlink w:anchor="co_tablefootnote_349_1">
              <w:r>
                <w:rPr>
                  <w:rFonts w:ascii="Times New Roman" w:hAnsi="Times New Roman"/>
                  <w:color w:val="000000"/>
                  <w:sz w:val="20"/>
                  <w:vertAlign w:val="superscript"/>
                </w:rPr>
                <w:t>349</w:t>
              </w:r>
            </w:hyperlink>
          </w:p>
        </w:tc>
        <w:tc>
          <w:tcPr>
            <w:vAlign w:val="top"/>
          </w:tcPr>
          <w:p>
            <w:pPr>
              <w:pBdr>
                <w:bottom w:val="none" w:space="8"/>
              </w:pBdr>
              <w:spacing w:before="0" w:after="0" w:line="275" w:lineRule="atLeast"/>
              <w:jc w:val="both"/>
            </w:pPr>
            <w:r>
              <w:rPr>
                <w:rFonts w:ascii="Times New Roman" w:hAnsi="Times New Roman"/>
                <w:color w:val="000000"/>
                <w:sz w:val="20"/>
              </w:rPr>
              <w:t>JX-2636 at 7.</w:t>
            </w:r>
          </w:p>
        </w:tc>
      </w:tr>
      <w:tr>
        <w:tblPrEx/>
        <w:trPr/>
        <w:tc>
          <w:tcPr>
            <w:vAlign w:val="top"/>
          </w:tcPr>
          <w:p>
            <w:pPr>
              <w:spacing w:before="0" w:after="0" w:line="275" w:lineRule="atLeast"/>
            </w:pPr>
            <w:hyperlink w:anchor="co_tablefootnote_350_1">
              <w:r>
                <w:rPr>
                  <w:rFonts w:ascii="Times New Roman" w:hAnsi="Times New Roman"/>
                  <w:color w:val="000000"/>
                  <w:sz w:val="20"/>
                  <w:vertAlign w:val="superscript"/>
                </w:rPr>
                <w:t>350</w:t>
              </w:r>
            </w:hyperlink>
          </w:p>
        </w:tc>
        <w:tc>
          <w:tcPr>
            <w:vAlign w:val="top"/>
          </w:tcPr>
          <w:p>
            <w:pPr>
              <w:pBdr>
                <w:bottom w:val="none" w:space="8"/>
              </w:pBdr>
              <w:spacing w:before="0" w:after="0" w:line="275" w:lineRule="atLeast"/>
              <w:jc w:val="both"/>
            </w:pPr>
            <w:r>
              <w:rPr>
                <w:rFonts w:ascii="Times New Roman" w:hAnsi="Times New Roman"/>
                <w:color w:val="000000"/>
                <w:sz w:val="20"/>
              </w:rPr>
              <w:t>JX-2463 at 96.</w:t>
            </w:r>
          </w:p>
        </w:tc>
      </w:tr>
      <w:tr>
        <w:tblPrEx/>
        <w:trPr/>
        <w:tc>
          <w:tcPr>
            <w:vAlign w:val="top"/>
          </w:tcPr>
          <w:p>
            <w:pPr>
              <w:spacing w:before="0" w:after="0" w:line="275" w:lineRule="atLeast"/>
            </w:pPr>
            <w:hyperlink w:anchor="co_tablefootnote_351_1">
              <w:r>
                <w:rPr>
                  <w:rFonts w:ascii="Times New Roman" w:hAnsi="Times New Roman"/>
                  <w:color w:val="000000"/>
                  <w:sz w:val="20"/>
                  <w:vertAlign w:val="superscript"/>
                </w:rPr>
                <w:t>351</w:t>
              </w:r>
            </w:hyperlink>
          </w:p>
        </w:tc>
        <w:tc>
          <w:tcPr>
            <w:vAlign w:val="top"/>
          </w:tcPr>
          <w:p>
            <w:pPr>
              <w:pBdr>
                <w:bottom w:val="none" w:space="8"/>
              </w:pBdr>
              <w:spacing w:before="0" w:after="0" w:line="275" w:lineRule="atLeast"/>
              <w:jc w:val="both"/>
            </w:pPr>
            <w:r>
              <w:rPr>
                <w:rFonts w:ascii="Times New Roman" w:hAnsi="Times New Roman"/>
                <w:color w:val="000000"/>
                <w:sz w:val="20"/>
              </w:rPr>
              <w:t>JX-2463 at 175-76.</w:t>
            </w:r>
          </w:p>
        </w:tc>
      </w:tr>
      <w:tr>
        <w:tblPrEx/>
        <w:trPr/>
        <w:tc>
          <w:tcPr>
            <w:vAlign w:val="top"/>
          </w:tcPr>
          <w:p>
            <w:pPr>
              <w:spacing w:before="0" w:after="0" w:line="275" w:lineRule="atLeast"/>
            </w:pPr>
            <w:hyperlink w:anchor="co_tablefootnote_352_1">
              <w:r>
                <w:rPr>
                  <w:rFonts w:ascii="Times New Roman" w:hAnsi="Times New Roman"/>
                  <w:color w:val="000000"/>
                  <w:sz w:val="20"/>
                  <w:vertAlign w:val="superscript"/>
                </w:rPr>
                <w:t>352</w:t>
              </w:r>
            </w:hyperlink>
          </w:p>
        </w:tc>
        <w:tc>
          <w:tcPr>
            <w:vAlign w:val="top"/>
          </w:tcPr>
          <w:p>
            <w:pPr>
              <w:pBdr>
                <w:bottom w:val="none" w:space="8"/>
              </w:pBdr>
              <w:spacing w:before="0" w:after="0" w:line="275" w:lineRule="atLeast"/>
              <w:jc w:val="both"/>
            </w:pPr>
            <w:r>
              <w:rPr>
                <w:rFonts w:ascii="Times New Roman" w:hAnsi="Times New Roman"/>
                <w:color w:val="000000"/>
                <w:sz w:val="20"/>
              </w:rPr>
              <w:t>Tr. 94:1-95:24 (Stephens-Cross); JX-3515; JX-3516.</w:t>
            </w:r>
          </w:p>
        </w:tc>
      </w:tr>
      <w:tr>
        <w:tblPrEx/>
        <w:trPr/>
        <w:tc>
          <w:tcPr>
            <w:vAlign w:val="top"/>
          </w:tcPr>
          <w:p>
            <w:pPr>
              <w:spacing w:before="0" w:after="0" w:line="275" w:lineRule="atLeast"/>
            </w:pPr>
            <w:hyperlink w:anchor="co_tablefootnote_353_1">
              <w:r>
                <w:rPr>
                  <w:rFonts w:ascii="Times New Roman" w:hAnsi="Times New Roman"/>
                  <w:color w:val="000000"/>
                  <w:sz w:val="20"/>
                  <w:vertAlign w:val="superscript"/>
                </w:rPr>
                <w:t>353</w:t>
              </w:r>
            </w:hyperlink>
          </w:p>
        </w:tc>
        <w:tc>
          <w:tcPr>
            <w:vAlign w:val="top"/>
          </w:tcPr>
          <w:p>
            <w:pPr>
              <w:pBdr>
                <w:bottom w:val="none" w:space="8"/>
              </w:pBdr>
              <w:spacing w:before="0" w:after="0" w:line="275" w:lineRule="atLeast"/>
              <w:jc w:val="both"/>
            </w:pPr>
            <w:r>
              <w:rPr>
                <w:rFonts w:ascii="Times New Roman" w:hAnsi="Times New Roman"/>
                <w:color w:val="000000"/>
                <w:sz w:val="20"/>
              </w:rPr>
              <w:t>JX-3515.</w:t>
            </w:r>
          </w:p>
        </w:tc>
      </w:tr>
      <w:tr>
        <w:tblPrEx/>
        <w:trPr/>
        <w:tc>
          <w:tcPr>
            <w:vAlign w:val="top"/>
          </w:tcPr>
          <w:p>
            <w:pPr>
              <w:spacing w:before="0" w:after="0" w:line="275" w:lineRule="atLeast"/>
            </w:pPr>
            <w:hyperlink w:anchor="co_tablefootnote_354_1">
              <w:r>
                <w:rPr>
                  <w:rFonts w:ascii="Times New Roman" w:hAnsi="Times New Roman"/>
                  <w:color w:val="000000"/>
                  <w:sz w:val="20"/>
                  <w:vertAlign w:val="superscript"/>
                </w:rPr>
                <w:t>354</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JX-3516. </w:t>
            </w:r>
            <w:r>
              <w:rPr>
                <w:rFonts w:ascii="Times New Roman" w:hAnsi="Times New Roman"/>
                <w:i/>
                <w:color w:val="000000"/>
                <w:sz w:val="20"/>
              </w:rPr>
              <w:t xml:space="preserve">See also </w:t>
            </w:r>
            <w:hyperlink r:id="r134">
              <w:r>
                <w:rPr>
                  <w:rFonts w:ascii="Times New Roman" w:hAnsi="Times New Roman"/>
                  <w:i/>
                  <w:color w:val="000000"/>
                  <w:sz w:val="20"/>
                </w:rPr>
                <w:t>ACP Masters,</w:t>
              </w:r>
              <w:r>
                <w:rPr>
                  <w:rFonts w:ascii="Times New Roman" w:hAnsi="Times New Roman"/>
                  <w:color w:val="000000"/>
                  <w:sz w:val="20"/>
                </w:rPr>
                <w:t xml:space="preserve"> 2017 WL 3421142 at *36</w:t>
              </w:r>
            </w:hyperlink>
            <w:r>
              <w:rPr>
                <w:rFonts w:ascii="Times New Roman" w:hAnsi="Times New Roman"/>
                <w:color w:val="000000"/>
                <w:sz w:val="20"/>
              </w:rPr>
              <w:t xml:space="preserve"> (adopting a perpetuity growth rate of 3.35% in same industry despite finding a risk of insolvency).</w:t>
            </w:r>
          </w:p>
        </w:tc>
      </w:tr>
      <w:tr>
        <w:tblPrEx/>
        <w:trPr/>
        <w:tc>
          <w:tcPr>
            <w:vAlign w:val="top"/>
          </w:tcPr>
          <w:p>
            <w:pPr>
              <w:spacing w:before="0" w:after="0" w:line="275" w:lineRule="atLeast"/>
            </w:pPr>
            <w:hyperlink w:anchor="co_tablefootnote_355_1">
              <w:r>
                <w:rPr>
                  <w:rFonts w:ascii="Times New Roman" w:hAnsi="Times New Roman"/>
                  <w:color w:val="000000"/>
                  <w:sz w:val="20"/>
                  <w:vertAlign w:val="superscript"/>
                </w:rPr>
                <w:t>355</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60.</w:t>
            </w:r>
          </w:p>
        </w:tc>
      </w:tr>
      <w:tr>
        <w:tblPrEx/>
        <w:trPr/>
        <w:tc>
          <w:tcPr>
            <w:vAlign w:val="top"/>
          </w:tcPr>
          <w:p>
            <w:pPr>
              <w:spacing w:before="0" w:after="0" w:line="275" w:lineRule="atLeast"/>
            </w:pPr>
            <w:hyperlink w:anchor="co_tablefootnote_356_1">
              <w:r>
                <w:rPr>
                  <w:rFonts w:ascii="Times New Roman" w:hAnsi="Times New Roman"/>
                  <w:color w:val="000000"/>
                  <w:sz w:val="20"/>
                  <w:vertAlign w:val="superscript"/>
                </w:rPr>
                <w:t>356</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Ms. Taylor knows this. Nowhere in her explanation of her discount rate is terminal growth rate mentioned, and visa-versa. </w:t>
            </w:r>
            <w:r>
              <w:rPr>
                <w:rFonts w:ascii="Times New Roman" w:hAnsi="Times New Roman"/>
                <w:i/>
                <w:color w:val="000000"/>
                <w:sz w:val="20"/>
              </w:rPr>
              <w:t>Compare</w:t>
            </w:r>
            <w:r>
              <w:rPr>
                <w:rFonts w:ascii="Times New Roman" w:hAnsi="Times New Roman"/>
                <w:color w:val="000000"/>
                <w:sz w:val="20"/>
              </w:rPr>
              <w:t xml:space="preserve"> JX-2463 at 94 (discount rate) </w:t>
            </w:r>
            <w:r>
              <w:rPr>
                <w:rFonts w:ascii="Times New Roman" w:hAnsi="Times New Roman"/>
                <w:i/>
                <w:color w:val="000000"/>
                <w:sz w:val="20"/>
              </w:rPr>
              <w:t>with</w:t>
            </w:r>
            <w:r>
              <w:rPr>
                <w:rFonts w:ascii="Times New Roman" w:hAnsi="Times New Roman"/>
                <w:color w:val="000000"/>
                <w:sz w:val="20"/>
              </w:rPr>
              <w:t xml:space="preserve"> 92 (terminal growth rate).</w:t>
            </w:r>
          </w:p>
        </w:tc>
      </w:tr>
      <w:tr>
        <w:tblPrEx/>
        <w:trPr/>
        <w:tc>
          <w:tcPr>
            <w:vAlign w:val="top"/>
          </w:tcPr>
          <w:p>
            <w:pPr>
              <w:spacing w:before="0" w:after="0" w:line="275" w:lineRule="atLeast"/>
            </w:pPr>
            <w:hyperlink w:anchor="co_tablefootnote_357_1">
              <w:r>
                <w:rPr>
                  <w:rFonts w:ascii="Times New Roman" w:hAnsi="Times New Roman"/>
                  <w:color w:val="000000"/>
                  <w:sz w:val="20"/>
                  <w:vertAlign w:val="superscript"/>
                </w:rPr>
                <w:t>357</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39.</w:t>
            </w:r>
          </w:p>
        </w:tc>
      </w:tr>
      <w:tr>
        <w:tblPrEx/>
        <w:trPr/>
        <w:tc>
          <w:tcPr>
            <w:vAlign w:val="top"/>
          </w:tcPr>
          <w:p>
            <w:pPr>
              <w:spacing w:before="0" w:after="0" w:line="275" w:lineRule="atLeast"/>
            </w:pPr>
            <w:hyperlink w:anchor="co_tablefootnote_358_1">
              <w:r>
                <w:rPr>
                  <w:rFonts w:ascii="Times New Roman" w:hAnsi="Times New Roman"/>
                  <w:color w:val="000000"/>
                  <w:sz w:val="20"/>
                  <w:vertAlign w:val="superscript"/>
                </w:rPr>
                <w:t>358</w:t>
              </w:r>
            </w:hyperlink>
          </w:p>
        </w:tc>
        <w:tc>
          <w:tcPr>
            <w:vAlign w:val="top"/>
          </w:tcPr>
          <w:p>
            <w:pPr>
              <w:pBdr>
                <w:bottom w:val="none" w:space="8"/>
              </w:pBdr>
              <w:spacing w:before="0" w:after="0" w:line="275" w:lineRule="atLeast"/>
              <w:jc w:val="both"/>
            </w:pPr>
            <w:r>
              <w:rPr>
                <w:rFonts w:ascii="Times New Roman" w:hAnsi="Times New Roman"/>
                <w:color w:val="000000"/>
                <w:sz w:val="20"/>
              </w:rPr>
              <w:t>JX-3604 at 3; Tr. 1292:8-1294:21.</w:t>
            </w:r>
          </w:p>
        </w:tc>
      </w:tr>
      <w:tr>
        <w:tblPrEx/>
        <w:trPr/>
        <w:tc>
          <w:tcPr>
            <w:vAlign w:val="top"/>
          </w:tcPr>
          <w:p>
            <w:pPr>
              <w:spacing w:before="0" w:after="0" w:line="275" w:lineRule="atLeast"/>
            </w:pPr>
            <w:hyperlink w:anchor="co_tablefootnote_359_1">
              <w:r>
                <w:rPr>
                  <w:rFonts w:ascii="Times New Roman" w:hAnsi="Times New Roman"/>
                  <w:color w:val="000000"/>
                  <w:sz w:val="20"/>
                  <w:vertAlign w:val="superscript"/>
                </w:rPr>
                <w:t>359</w:t>
              </w:r>
            </w:hyperlink>
          </w:p>
        </w:tc>
        <w:tc>
          <w:tcPr>
            <w:vAlign w:val="top"/>
          </w:tcPr>
          <w:p>
            <w:pPr>
              <w:pBdr>
                <w:bottom w:val="none" w:space="8"/>
              </w:pBdr>
              <w:spacing w:before="0" w:after="0" w:line="275" w:lineRule="atLeast"/>
              <w:jc w:val="both"/>
            </w:pPr>
            <w:r>
              <w:rPr>
                <w:rFonts w:ascii="Times New Roman" w:hAnsi="Times New Roman"/>
                <w:color w:val="000000"/>
                <w:sz w:val="20"/>
              </w:rPr>
              <w:t>JX-3516.</w:t>
            </w:r>
          </w:p>
        </w:tc>
      </w:tr>
      <w:tr>
        <w:tblPrEx/>
        <w:trPr/>
        <w:tc>
          <w:tcPr>
            <w:vAlign w:val="top"/>
          </w:tcPr>
          <w:p>
            <w:pPr>
              <w:spacing w:before="0" w:after="0" w:line="275" w:lineRule="atLeast"/>
            </w:pPr>
            <w:hyperlink w:anchor="co_tablefootnote_360_1">
              <w:r>
                <w:rPr>
                  <w:rFonts w:ascii="Times New Roman" w:hAnsi="Times New Roman"/>
                  <w:color w:val="000000"/>
                  <w:sz w:val="20"/>
                  <w:vertAlign w:val="superscript"/>
                </w:rPr>
                <w:t>360</w:t>
              </w:r>
            </w:hyperlink>
          </w:p>
        </w:tc>
        <w:tc>
          <w:tcPr>
            <w:vAlign w:val="top"/>
          </w:tcPr>
          <w:p>
            <w:pPr>
              <w:pBdr>
                <w:bottom w:val="none" w:space="8"/>
              </w:pBdr>
              <w:spacing w:before="0" w:after="0" w:line="275" w:lineRule="atLeast"/>
              <w:jc w:val="both"/>
            </w:pPr>
            <w:r>
              <w:rPr>
                <w:rFonts w:ascii="Times New Roman" w:hAnsi="Times New Roman"/>
                <w:color w:val="000000"/>
                <w:sz w:val="20"/>
              </w:rPr>
              <w:t>Defs. PTOB at 69.</w:t>
            </w:r>
          </w:p>
        </w:tc>
      </w:tr>
      <w:tr>
        <w:tblPrEx/>
        <w:trPr/>
        <w:tc>
          <w:tcPr>
            <w:vAlign w:val="top"/>
          </w:tcPr>
          <w:p>
            <w:pPr>
              <w:spacing w:before="0" w:after="0" w:line="275" w:lineRule="atLeast"/>
            </w:pPr>
            <w:hyperlink w:anchor="co_tablefootnote_361_1">
              <w:r>
                <w:rPr>
                  <w:rFonts w:ascii="Times New Roman" w:hAnsi="Times New Roman"/>
                  <w:color w:val="000000"/>
                  <w:sz w:val="20"/>
                  <w:vertAlign w:val="superscript"/>
                </w:rPr>
                <w:t>361</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JX-3516; </w:t>
            </w:r>
            <w:r>
              <w:rPr>
                <w:rFonts w:ascii="Times New Roman" w:hAnsi="Times New Roman"/>
                <w:b/>
                <w:i/>
                <w:color w:val="000000"/>
                <w:sz w:val="20"/>
              </w:rPr>
              <w:t>see also</w:t>
            </w:r>
            <w:r>
              <w:rPr>
                <w:rFonts w:ascii="Times New Roman" w:hAnsi="Times New Roman"/>
                <w:color w:val="000000"/>
                <w:sz w:val="20"/>
              </w:rPr>
              <w:t xml:space="preserve"> JX-3514 at 5.</w:t>
            </w:r>
          </w:p>
        </w:tc>
      </w:tr>
      <w:tr>
        <w:tblPrEx/>
        <w:trPr/>
        <w:tc>
          <w:tcPr>
            <w:vAlign w:val="top"/>
          </w:tcPr>
          <w:p>
            <w:pPr>
              <w:spacing w:before="0" w:after="0" w:line="275" w:lineRule="atLeast"/>
            </w:pPr>
            <w:hyperlink w:anchor="co_tablefootnote_362_1">
              <w:r>
                <w:rPr>
                  <w:rFonts w:ascii="Times New Roman" w:hAnsi="Times New Roman"/>
                  <w:color w:val="000000"/>
                  <w:sz w:val="20"/>
                  <w:vertAlign w:val="superscript"/>
                </w:rPr>
                <w:t>362</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JX-616 at 19; </w:t>
            </w:r>
            <w:r>
              <w:rPr>
                <w:rFonts w:ascii="Times New Roman" w:hAnsi="Times New Roman"/>
                <w:i/>
                <w:color w:val="000000"/>
                <w:sz w:val="20"/>
              </w:rPr>
              <w:t>see also</w:t>
            </w:r>
            <w:r>
              <w:rPr>
                <w:rFonts w:ascii="Times New Roman" w:hAnsi="Times New Roman"/>
                <w:color w:val="000000"/>
                <w:sz w:val="20"/>
              </w:rPr>
              <w:t xml:space="preserve"> Prickett Pls. Pretrial Br. at 52-53.</w:t>
            </w:r>
          </w:p>
        </w:tc>
      </w:tr>
      <w:tr>
        <w:tblPrEx/>
        <w:trPr/>
        <w:tc>
          <w:tcPr>
            <w:vAlign w:val="top"/>
          </w:tcPr>
          <w:p>
            <w:pPr>
              <w:spacing w:before="0" w:after="0" w:line="275" w:lineRule="atLeast"/>
            </w:pPr>
            <w:hyperlink w:anchor="co_tablefootnote_363_1">
              <w:r>
                <w:rPr>
                  <w:rFonts w:ascii="Times New Roman" w:hAnsi="Times New Roman"/>
                  <w:color w:val="000000"/>
                  <w:sz w:val="20"/>
                  <w:vertAlign w:val="superscript"/>
                </w:rPr>
                <w:t>363</w:t>
              </w:r>
            </w:hyperlink>
          </w:p>
        </w:tc>
        <w:tc>
          <w:tcPr>
            <w:vAlign w:val="top"/>
          </w:tcPr>
          <w:p>
            <w:pPr>
              <w:pBdr>
                <w:bottom w:val="none" w:space="8"/>
              </w:pBdr>
              <w:spacing w:before="0" w:after="0" w:line="275" w:lineRule="atLeast"/>
              <w:jc w:val="both"/>
            </w:pPr>
            <w:r>
              <w:rPr>
                <w:rFonts w:ascii="Times New Roman" w:hAnsi="Times New Roman"/>
                <w:i/>
                <w:color w:val="000000"/>
                <w:sz w:val="20"/>
              </w:rPr>
              <w:t>In re Nine Sys. Corp. S'holders Litig.,</w:t>
            </w:r>
            <w:r>
              <w:rPr>
                <w:rFonts w:ascii="Times New Roman" w:hAnsi="Times New Roman"/>
                <w:color w:val="000000"/>
                <w:sz w:val="20"/>
              </w:rPr>
              <w:t xml:space="preserve"> </w:t>
            </w:r>
            <w:hyperlink r:id="r135">
              <w:r>
                <w:rPr>
                  <w:rFonts w:ascii="Times New Roman" w:hAnsi="Times New Roman"/>
                  <w:color w:val="000000"/>
                  <w:sz w:val="20"/>
                </w:rPr>
                <w:t>2015 WL 2265669, at *2 (Del. Ch. May 7, 2015)</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364_1">
              <w:r>
                <w:rPr>
                  <w:rFonts w:ascii="Times New Roman" w:hAnsi="Times New Roman"/>
                  <w:color w:val="000000"/>
                  <w:sz w:val="20"/>
                  <w:vertAlign w:val="superscript"/>
                </w:rPr>
                <w:t>364</w:t>
              </w:r>
            </w:hyperlink>
          </w:p>
        </w:tc>
        <w:tc>
          <w:tcPr>
            <w:vAlign w:val="top"/>
          </w:tcPr>
          <w:p>
            <w:pPr>
              <w:pBdr>
                <w:bottom w:val="none" w:space="8"/>
              </w:pBdr>
              <w:spacing w:before="0" w:after="0" w:line="275" w:lineRule="atLeast"/>
              <w:jc w:val="both"/>
            </w:pPr>
            <w:r>
              <w:rPr>
                <w:rFonts w:ascii="Times New Roman" w:hAnsi="Times New Roman"/>
                <w:color w:val="000000"/>
                <w:sz w:val="20"/>
              </w:rPr>
              <w:t>Defs. OPTB at 73 n34.</w:t>
            </w:r>
          </w:p>
        </w:tc>
      </w:tr>
      <w:tr>
        <w:tblPrEx/>
        <w:trPr/>
        <w:tc>
          <w:tcPr>
            <w:vAlign w:val="top"/>
          </w:tcPr>
          <w:p>
            <w:pPr>
              <w:spacing w:before="0" w:after="0" w:line="275" w:lineRule="atLeast"/>
            </w:pPr>
            <w:hyperlink w:anchor="co_tablefootnote_365_1">
              <w:r>
                <w:rPr>
                  <w:rFonts w:ascii="Times New Roman" w:hAnsi="Times New Roman"/>
                  <w:color w:val="000000"/>
                  <w:sz w:val="20"/>
                  <w:vertAlign w:val="superscript"/>
                </w:rPr>
                <w:t>365</w:t>
              </w:r>
            </w:hyperlink>
          </w:p>
        </w:tc>
        <w:tc>
          <w:tcPr>
            <w:vAlign w:val="top"/>
          </w:tcPr>
          <w:p>
            <w:pPr>
              <w:pBdr>
                <w:bottom w:val="none" w:space="8"/>
              </w:pBdr>
              <w:spacing w:before="0" w:after="0" w:line="275" w:lineRule="atLeast"/>
              <w:jc w:val="both"/>
            </w:pPr>
            <w:r>
              <w:rPr>
                <w:rFonts w:ascii="Times New Roman" w:hAnsi="Times New Roman"/>
                <w:color w:val="000000"/>
                <w:sz w:val="20"/>
              </w:rPr>
              <w:t>JX-687.</w:t>
            </w:r>
          </w:p>
        </w:tc>
      </w:tr>
      <w:tr>
        <w:tblPrEx/>
        <w:trPr/>
        <w:tc>
          <w:tcPr>
            <w:vAlign w:val="top"/>
          </w:tcPr>
          <w:p>
            <w:pPr>
              <w:spacing w:before="0" w:after="0" w:line="275" w:lineRule="atLeast"/>
            </w:pPr>
            <w:hyperlink w:anchor="co_tablefootnote_366_1">
              <w:r>
                <w:rPr>
                  <w:rFonts w:ascii="Times New Roman" w:hAnsi="Times New Roman"/>
                  <w:color w:val="000000"/>
                  <w:sz w:val="20"/>
                  <w:vertAlign w:val="superscript"/>
                </w:rPr>
                <w:t>366</w:t>
              </w:r>
            </w:hyperlink>
          </w:p>
        </w:tc>
        <w:tc>
          <w:tcPr>
            <w:vAlign w:val="top"/>
          </w:tcPr>
          <w:p>
            <w:pPr>
              <w:pBdr>
                <w:bottom w:val="none" w:space="8"/>
              </w:pBdr>
              <w:spacing w:before="0" w:after="0" w:line="275" w:lineRule="atLeast"/>
              <w:jc w:val="both"/>
            </w:pPr>
            <w:r>
              <w:rPr>
                <w:rFonts w:ascii="Times New Roman" w:hAnsi="Times New Roman"/>
                <w:i/>
                <w:color w:val="000000"/>
                <w:sz w:val="20"/>
              </w:rPr>
              <w:t>In re Cellular Tel. P ‘ship Litig.,</w:t>
            </w:r>
            <w:r>
              <w:rPr>
                <w:rFonts w:ascii="Times New Roman" w:hAnsi="Times New Roman"/>
                <w:color w:val="000000"/>
                <w:sz w:val="20"/>
              </w:rPr>
              <w:t xml:space="preserve"> Coordinated C.A. No. 6885-VCL (Del. Ch. Apr. 18, 2019) (Transcript).</w:t>
            </w:r>
          </w:p>
        </w:tc>
      </w:tr>
      <w:tr>
        <w:tblPrEx/>
        <w:trPr/>
        <w:tc>
          <w:tcPr>
            <w:vAlign w:val="top"/>
          </w:tcPr>
          <w:p>
            <w:pPr>
              <w:spacing w:before="0" w:after="0" w:line="275" w:lineRule="atLeast"/>
            </w:pPr>
            <w:hyperlink w:anchor="co_tablefootnote_367_1">
              <w:r>
                <w:rPr>
                  <w:rFonts w:ascii="Times New Roman" w:hAnsi="Times New Roman"/>
                  <w:color w:val="000000"/>
                  <w:sz w:val="20"/>
                  <w:vertAlign w:val="superscript"/>
                </w:rPr>
                <w:t>367</w:t>
              </w:r>
            </w:hyperlink>
          </w:p>
        </w:tc>
        <w:tc>
          <w:tcPr>
            <w:vAlign w:val="top"/>
          </w:tcPr>
          <w:p>
            <w:pPr>
              <w:pBdr>
                <w:bottom w:val="none" w:space="8"/>
              </w:pBdr>
              <w:spacing w:before="0" w:after="0" w:line="275" w:lineRule="atLeast"/>
              <w:jc w:val="both"/>
            </w:pPr>
            <w:hyperlink r:id="r136">
              <w:r>
                <w:rPr>
                  <w:rFonts w:ascii="Times New Roman" w:hAnsi="Times New Roman"/>
                  <w:i/>
                  <w:color w:val="000000"/>
                  <w:sz w:val="20"/>
                </w:rPr>
                <w:t>Summa Corp. v. Trans WorldAirlines, Inc.,</w:t>
              </w:r>
              <w:r>
                <w:rPr>
                  <w:rFonts w:ascii="Times New Roman" w:hAnsi="Times New Roman"/>
                  <w:color w:val="000000"/>
                  <w:sz w:val="20"/>
                </w:rPr>
                <w:t xml:space="preserve"> 540 A.2d 403, 409 (Del. 1988)</w:t>
              </w:r>
            </w:hyperlink>
            <w:r>
              <w:rPr>
                <w:rFonts w:ascii="Times New Roman" w:hAnsi="Times New Roman"/>
                <w:color w:val="000000"/>
                <w:sz w:val="20"/>
              </w:rPr>
              <w:t xml:space="preserve"> (citing </w:t>
            </w:r>
            <w:hyperlink r:id="r137">
              <w:r>
                <w:rPr>
                  <w:rFonts w:ascii="Times New Roman" w:hAnsi="Times New Roman"/>
                  <w:i/>
                  <w:color w:val="000000"/>
                  <w:sz w:val="20"/>
                </w:rPr>
                <w:t>Metro. Mut. Fire Ins. Co. v. Carmen Holding Co.,</w:t>
              </w:r>
              <w:r>
                <w:rPr>
                  <w:rFonts w:ascii="Times New Roman" w:hAnsi="Times New Roman"/>
                  <w:color w:val="000000"/>
                  <w:sz w:val="20"/>
                </w:rPr>
                <w:t xml:space="preserve"> 220 A.2d 778, 781-82 (Del. 1966)</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368_1">
              <w:r>
                <w:rPr>
                  <w:rFonts w:ascii="Times New Roman" w:hAnsi="Times New Roman"/>
                  <w:color w:val="000000"/>
                  <w:sz w:val="20"/>
                  <w:vertAlign w:val="superscript"/>
                </w:rPr>
                <w:t>368</w:t>
              </w:r>
            </w:hyperlink>
          </w:p>
        </w:tc>
        <w:tc>
          <w:tcPr>
            <w:vAlign w:val="top"/>
          </w:tcPr>
          <w:p>
            <w:pPr>
              <w:pBdr>
                <w:bottom w:val="none" w:space="8"/>
              </w:pBdr>
              <w:spacing w:before="0" w:after="0" w:line="275" w:lineRule="atLeast"/>
              <w:jc w:val="both"/>
            </w:pPr>
            <w:r>
              <w:rPr>
                <w:rFonts w:ascii="Times New Roman" w:hAnsi="Times New Roman"/>
                <w:i/>
                <w:color w:val="000000"/>
                <w:sz w:val="20"/>
              </w:rPr>
              <w:t xml:space="preserve">Id.; see also </w:t>
            </w:r>
            <w:hyperlink r:id="r138">
              <w:r>
                <w:rPr>
                  <w:rFonts w:ascii="Times New Roman" w:hAnsi="Times New Roman"/>
                  <w:i/>
                  <w:color w:val="000000"/>
                  <w:sz w:val="20"/>
                </w:rPr>
                <w:t>6 Del. C.</w:t>
              </w:r>
              <w:r>
                <w:rPr>
                  <w:rFonts w:ascii="Times New Roman" w:hAnsi="Times New Roman"/>
                  <w:color w:val="000000"/>
                  <w:sz w:val="20"/>
                </w:rPr>
                <w:t xml:space="preserve"> § 2301(d)</w:t>
              </w:r>
            </w:hyperlink>
            <w:r>
              <w:rPr>
                <w:rFonts w:ascii="Times New Roman" w:hAnsi="Times New Roman"/>
                <w:color w:val="000000"/>
                <w:sz w:val="20"/>
              </w:rPr>
              <w:t xml:space="preserve"> (5% above the Federal Discount rate).</w:t>
            </w:r>
          </w:p>
        </w:tc>
      </w:tr>
      <w:tr>
        <w:tblPrEx/>
        <w:trPr/>
        <w:tc>
          <w:tcPr>
            <w:vAlign w:val="top"/>
          </w:tcPr>
          <w:p>
            <w:pPr>
              <w:spacing w:before="0" w:after="0" w:line="275" w:lineRule="atLeast"/>
            </w:pPr>
            <w:hyperlink w:anchor="co_tablefootnote_369_1">
              <w:r>
                <w:rPr>
                  <w:rFonts w:ascii="Times New Roman" w:hAnsi="Times New Roman"/>
                  <w:color w:val="000000"/>
                  <w:sz w:val="20"/>
                  <w:vertAlign w:val="superscript"/>
                </w:rPr>
                <w:t>369</w:t>
              </w:r>
            </w:hyperlink>
          </w:p>
        </w:tc>
        <w:tc>
          <w:tcPr>
            <w:vAlign w:val="top"/>
          </w:tcPr>
          <w:p>
            <w:pPr>
              <w:pBdr>
                <w:bottom w:val="none" w:space="8"/>
              </w:pBdr>
              <w:spacing w:before="0" w:after="0" w:line="275" w:lineRule="atLeast"/>
              <w:jc w:val="both"/>
            </w:pPr>
            <w:r>
              <w:rPr>
                <w:rFonts w:ascii="Times New Roman" w:hAnsi="Times New Roman"/>
                <w:i/>
                <w:color w:val="000000"/>
                <w:sz w:val="20"/>
              </w:rPr>
              <w:t xml:space="preserve">ValeantPharma. </w:t>
            </w:r>
            <w:hyperlink r:id="r139">
              <w:r>
                <w:rPr>
                  <w:rFonts w:ascii="Times New Roman" w:hAnsi="Times New Roman"/>
                  <w:i/>
                  <w:color w:val="000000"/>
                  <w:sz w:val="20"/>
                </w:rPr>
                <w:t>Int'l v. Jerney,</w:t>
              </w:r>
              <w:r>
                <w:rPr>
                  <w:rFonts w:ascii="Times New Roman" w:hAnsi="Times New Roman"/>
                  <w:color w:val="000000"/>
                  <w:sz w:val="20"/>
                </w:rPr>
                <w:t xml:space="preserve"> 921 A.2d 732, 755-56 (Del. Ch. 2007)</w:t>
              </w:r>
            </w:hyperlink>
            <w:r>
              <w:rPr>
                <w:rFonts w:ascii="Times New Roman" w:hAnsi="Times New Roman"/>
                <w:color w:val="000000"/>
                <w:sz w:val="20"/>
              </w:rPr>
              <w:t>.</w:t>
            </w:r>
          </w:p>
        </w:tc>
      </w:tr>
    </w:tbl>
    <w:p>
      <w:pPr>
        <w:spacing w:before="0" w:after="0" w:line="240" w:lineRule="auto"/>
        <w:rPr>
          <w:sz w:val="20"/>
        </w:rPr>
      </w:pPr>
    </w:p>
    <w:tbl>
      <w:tblPr>
        <w:tblInd w:w="24" w:type="dxa"/>
        <w:tblLayout w:type="fixed"/>
      </w:tblPr>
      <w:tblGrid>
        <w:gridCol w:w="4305"/>
        <w:gridCol w:w="5745"/>
      </w:tblGrid>
      <w:bookmarkStart w:id="394" w:name="co_endOfDocument_1_1"/>
      <w:tr>
        <w:tblPrEx/>
        <w:trPr/>
        <w:tc>
          <w:tcPr>
            <w:tcBorders>
              <w:top w:val="single" w:sz="4" w:color="777777"/>
            </w:tcBorders>
            <w:tcMar>
              <w:top w:w="75" w:type="dxa"/>
              <w:left w:w="24" w:type="dxa"/>
              <w:right w:w="24" w:type="dxa"/>
            </w:tcMar>
            <w:vAlign w:val="top"/>
          </w:tcPr>
          <w:p>
            <w:pPr>
              <w:spacing w:before="0" w:after="0" w:line="235" w:lineRule="atLeast"/>
            </w:pPr>
            <w:r>
              <w:rPr>
                <w:rFonts w:ascii="Times New Roman" w:hAnsi="Times New Roman"/>
                <w:b/>
                <w:color w:val="777777"/>
                <w:sz w:val="16"/>
              </w:rPr>
              <w:t>End of Document</w:t>
            </w:r>
          </w:p>
        </w:tc>
        <w:tc>
          <w:tcPr>
            <w:tcBorders>
              <w:top w:val="single" w:sz="4" w:color="777777"/>
            </w:tcBorders>
            <w:tcMar>
              <w:top w:w="75" w:type="dxa"/>
              <w:left w:w="24" w:type="dxa"/>
              <w:right w:w="24" w:type="dxa"/>
            </w:tcMar>
            <w:vAlign w:val="top"/>
          </w:tcPr>
          <w:p>
            <w:pPr>
              <w:spacing w:before="0" w:after="0" w:line="235" w:lineRule="atLeast"/>
              <w:jc w:val="right"/>
            </w:pPr>
            <w:r>
              <w:rPr>
                <w:rFonts w:ascii="Times New Roman" w:hAnsi="Times New Roman"/>
                <w:color w:val="777777"/>
                <w:sz w:val="16"/>
              </w:rPr>
              <w:t>© 2022 Thomson Reuters. No claim to original U.S. Government Works.</w:t>
            </w:r>
          </w:p>
        </w:tc>
      </w:tr>
      <w:bookmarkEnd w:id="394"/>
    </w:tbl>
    <w:sectPr>
      <w:headerReference w:type="default" r:id="r5"/>
      <w:headerReference w:type="even" r:id="r5"/>
      <w:footerReference w:type="default" r:id="r6"/>
      <w:footerReference w:type="even" r:id="r6"/>
      <w:pgSz w:w="12240" w:h="15840"/>
      <w:pgMar w:top="1800" w:bottom="1080" w:left="1080" w:right="1080" w:header="720" w:footer="720" w:gutter="0"/>
      <w:pgNumType w:fmt="decimal" w:start="1"/>
    </w:sectPr>
  </w:body>
</w:document>
</file>

<file path=fonts.xml><?xml version="1.0" encoding="utf-8"?>
<w:fonts xmlns:w="http://schemas.openxmlformats.org/wordprocessingml/2006/main">
  <w:font w:name="Times New Roman">
    <w:family w:val="roman"/>
  </w:font>
  <w:font w:name="Arial">
    <w:family w:val="swiss"/>
  </w:font>
  <w:font w:name="Courier New">
    <w:family w:val="modern"/>
    <w:pitch w:val="fixed"/>
  </w:font>
  <w:font w:name="Georgia">
    <w:family w:val="roma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9270"/>
      <w:gridCol w:w="690"/>
    </w:tblGrid>
    <w:tr>
      <w:tblPrEx/>
      <w:trPr/>
      <w:tc>
        <w:tcPr>
          <w:tcBorders>
            <w:top w:val="single" w:sz="6" w:color="aaaaaa"/>
          </w:tcBorders>
          <w:tcMar>
            <w:top w:w="60" w:type="dxa"/>
          </w:tcMar>
          <w:vAlign w:val="bottom"/>
        </w:tcPr>
        <w:p>
          <w:pPr>
            <w:spacing w:before="0" w:after="0" w:line="240" w:lineRule="auto"/>
          </w:pPr>
          <w:r>
            <w:rPr>
              <w:rFonts w:ascii="Arial" w:hAnsi="Arial"/>
              <w:color w:val="aaaaaa"/>
              <w:sz w:val="20"/>
            </w:rPr>
            <w:drawing>
              <wp:inline>
                <wp:extent cx="742950" cy="95250"/>
                <wp:docPr id="1" name="Picture 0" descr="Westlaw Logo"/>
                <a:graphic>
                  <a:graphicData uri="http://schemas.openxmlformats.org/drawingml/2006/picture">
                    <p:pic>
                      <p:nvPicPr>
                        <p:cNvPr id="2" name="Picture 0" descr="Westlaw Logo"/>
                        <p:cNvPicPr/>
                      </p:nvPicPr>
                      <p:blipFill>
                        <a:blip r:embed="r1"/>
                        <a:srcRect/>
                        <a:stretch>
                          <a:fillRect/>
                        </a:stretch>
                      </p:blipFill>
                      <p:spPr>
                        <a:xfrm>
                          <a:off x="0" y="0"/>
                          <a:ext cx="742950" cy="95250"/>
                        </a:xfrm>
                        <a:prstGeom prst="rect"/>
                      </p:spPr>
                    </p:pic>
                  </a:graphicData>
                </a:graphic>
              </wp:inline>
            </w:drawing>
          </w:r>
          <w:r>
            <w:rPr>
              <w:rFonts w:ascii="Arial" w:hAnsi="Arial"/>
              <w:color w:val="aaaaaa"/>
              <w:sz w:val="20"/>
            </w:rPr>
            <w:t xml:space="preserve"> © 2022 Thomson Reuters. No claim to original U.S. Government Works.</w:t>
          </w:r>
        </w:p>
      </w:tc>
      <w:tc>
        <w:tcPr>
          <w:tcBorders>
            <w:top w:val="single" w:sz="6" w:color="aaaaaa"/>
          </w:tcBorders>
          <w:tcMar>
            <w:top w:w="60" w:type="dxa"/>
          </w:tcMar>
          <w:vAlign w:val="top"/>
        </w:tcPr>
        <w:p>
          <w:pPr>
            <w:spacing w:before="0" w:after="0" w:line="240" w:lineRule="auto"/>
            <w:jc w:val="right"/>
          </w:pPr>
          <w:r>
            <w:rPr>
              <w:rFonts w:ascii="Arial" w:hAnsi="Arial"/>
              <w:color w:val="aaaaaa"/>
              <w:sz w:val="20"/>
            </w:rPr>
            <w:pgNum/>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9360"/>
      <w:gridCol w:w="705"/>
    </w:tblGrid>
    <w:tr>
      <w:tblPrEx/>
      <w:trPr/>
      <w:tc>
        <w:tcPr>
          <w:tcMar>
            <w:top w:w="300" w:type="dxa"/>
            <w:bottom w:w="45" w:type="dxa"/>
          </w:tcMar>
          <w:vAlign w:val="bottom"/>
        </w:tcPr>
        <w:p>
          <w:pPr>
            <w:spacing w:before="0" w:after="0" w:line="240" w:lineRule="auto"/>
            <w:jc w:val="center"/>
          </w:pPr>
          <w:r>
            <w:rPr>
              <w:rFonts w:ascii="Arial" w:hAnsi="Arial"/>
              <w:b/>
              <w:color w:val="000000"/>
              <w:sz w:val="18"/>
            </w:rPr>
            <w:t>Colon, Jeff</w:t>
          </w:r>
          <w:r>
            <w:rPr>
              <w:rFonts w:ascii="Arial" w:hAnsi="Arial"/>
              <w:color w:val="000000"/>
              <w:sz w:val="18"/>
            </w:rPr>
            <w:t xml:space="preserve"> </w:t>
          </w:r>
          <w:r>
            <w:rPr>
              <w:rFonts w:ascii="Arial" w:hAnsi="Arial"/>
              <w:b/>
              <w:color w:val="000000"/>
              <w:sz w:val="18"/>
            </w:rPr>
            <w:t>6/5/2022</w:t>
          </w:r>
        </w:p>
        <w:p>
          <w:pPr>
            <w:spacing w:before="0" w:after="0" w:line="240" w:lineRule="auto"/>
            <w:jc w:val="center"/>
          </w:pPr>
          <w:r>
            <w:rPr>
              <w:rFonts w:ascii="Arial" w:hAnsi="Arial"/>
              <w:b/>
              <w:color w:val="000000"/>
              <w:sz w:val="18"/>
            </w:rPr>
            <w:t>For Educational Use Only</w:t>
          </w:r>
        </w:p>
      </w:tc>
      <w:tc>
        <w:tcPr>
          <w:vAlign w:val="top"/>
        </w:tcPr>
        <w:p>
          <w:pPr>
            <w:spacing w:before="0" w:after="0" w:line="240" w:lineRule="auto"/>
          </w:pPr>
        </w:p>
      </w:tc>
    </w:tr>
    <w:tr>
      <w:tblPrEx/>
      <w:trPr/>
      <w:tc>
        <w:tcPr>
          <w:tcBorders>
            <w:bottom w:val="single" w:sz="6" w:color="aaaaaa"/>
          </w:tcBorders>
          <w:tcMar>
            <w:top w:w="390" w:type="dxa"/>
            <w:bottom w:w="60" w:type="dxa"/>
          </w:tcMar>
          <w:vAlign w:val="bottom"/>
        </w:tcPr>
        <w:p>
          <w:pPr>
            <w:spacing w:before="0" w:after="0" w:line="240" w:lineRule="auto"/>
          </w:pPr>
          <w:r>
            <w:rPr>
              <w:rFonts w:ascii="Arial" w:hAnsi="Arial"/>
              <w:b/>
              <w:color w:val="555555"/>
              <w:sz w:val="18"/>
            </w:rPr>
            <w:t>In re CELLULAR TELEPHONE PARTNERSHIP LITIGATION., 2021 WL 1734863 (2021)</w:t>
          </w:r>
        </w:p>
      </w:tc>
      <w:tc>
        <w:tcPr>
          <w:tcBorders>
            <w:bottom w:val="single" w:sz="6" w:color="aaaaaa"/>
          </w:tcBorders>
          <w:tcMar>
            <w:top w:w="390" w:type="dxa"/>
            <w:bottom w:w="60" w:type="dxa"/>
          </w:tcMar>
          <w:vAlign w:val="top"/>
        </w:tcPr>
        <w:p>
          <w:pPr>
            <w:spacing w:before="0" w:after="0" w:line="240" w:lineRule="auto"/>
            <w:rPr>
              <w:rFonts w:ascii="Arial" w:hAnsi="Arial"/>
              <w:color w:val="000000"/>
              <w:sz w:val="18"/>
            </w:rPr>
          </w:pPr>
        </w:p>
      </w:tc>
    </w:tr>
    <w:tr>
      <w:tblPrEx/>
      <w:trPr/>
      <w:tc>
        <w:tcPr>
          <w:hMerge w:val="restart"/>
          <w:vAlign w:val="top"/>
        </w:tcPr>
        <w:p>
          <w:pPr>
            <w:spacing w:before="0" w:after="0" w:line="240" w:lineRule="auto"/>
            <w:rPr>
              <w:rFonts w:ascii="Arial" w:hAnsi="Arial"/>
              <w:color w:val="000000"/>
              <w:sz w:val="18"/>
            </w:rPr>
          </w:pPr>
        </w:p>
      </w:tc>
      <w:tc>
        <w:tcPr>
          <w:hMerge w:val="continue"/>
          <w:vAlign w:val="top"/>
        </w:tcPr>
        <w:p>
          <w:pPr>
            <w:spacing w:before="0" w:after="0" w:line="240" w:lineRule="auto"/>
            <w:rPr>
              <w:rFonts w:ascii="Arial" w:hAnsi="Arial"/>
              <w:color w:val="000000"/>
              <w:sz w:val="18"/>
            </w:rPr>
          </w:pPr>
        </w:p>
      </w:tc>
    </w:tr>
  </w:tbl>
  <w:p>
    <w:pPr>
      <w:spacing w:before="0" w:after="0" w:line="240" w:lineRule="auto"/>
    </w:pPr>
    <w:r>
      <w:rPr>
        <w:rFonts w:ascii="Arial" w:hAnsi="Arial"/>
        <w:color w:val="000000"/>
        <w:sz w:val="18"/>
      </w:rPr>
      <w:t xml:space="preserve"> </w:t>
    </w:r>
  </w:p>
</w:hdr>
</file>

<file path=numbering.xml><?xml version="1.0" encoding="utf-8"?>
<w:numbering xmlns:w="http://schemas.openxmlformats.org/wordprocessingml/2006/main">
</w:numbering>
</file>

<file path=settings.xml><?xml version="1.0" encoding="utf-8"?>
<w:settings xmlns:w="http://schemas.openxmlformats.org/wordprocessingml/2006/main">
  <w:view w:val="print"/>
  <w:bordersDoNotSurroundHeader/>
  <w:bordersDoNotSurroundFooter/>
  <w:evenAndOddHeaders/>
</w:settings>
</file>