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footer1.xml" ContentType="application/vnd.openxmlformats-officedocument.wordprocessingml.footer+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footer"
    Target="footer1.xml"/>
  <Relationship Id="r7"
    Type="http://schemas.openxmlformats.org/officeDocument/2006/relationships/hyperlink"
    TargetMode="External"
    Target="http://www.westlaw.com/Link/Document/FullText?findType=h&amp;pubNum=176284&amp;cite=0158381401&amp;originatingDoc=Ie827f2009fe211ecb7ceee74f6b36648&amp;refType=RQ&amp;originationContext=document&amp;vr=3.0&amp;rs=cblt1.0&amp;transitionType=DocumentItem&amp;contextData=(sc.Default)"/>
  <Relationship Id="r8"
    Type="http://schemas.openxmlformats.org/officeDocument/2006/relationships/hyperlink"
    TargetMode="External"
    Target="http://www.westlaw.com/Link/Document/FullText?findType=h&amp;pubNum=176284&amp;cite=0376799301&amp;originatingDoc=Ie827f2009fe211ecb7ceee74f6b36648&amp;refType=RQ&amp;originationContext=document&amp;vr=3.0&amp;rs=cblt1.0&amp;transitionType=DocumentItem&amp;contextData=(sc.Default)"/>
  <Relationship Id="r9"
    Type="http://schemas.openxmlformats.org/officeDocument/2006/relationships/hyperlink"
    TargetMode="External"
    Target="http://www.westlaw.com/Link/Document/FullText?findType=h&amp;pubNum=176284&amp;cite=0436644801&amp;originatingDoc=Ie827f2009fe211ecb7ceee74f6b36648&amp;refType=RQ&amp;originationContext=document&amp;vr=3.0&amp;rs=cblt1.0&amp;transitionType=DocumentItem&amp;contextData=(sc.Default)"/>
  <Relationship Id="r10"
    Type="http://schemas.openxmlformats.org/officeDocument/2006/relationships/hyperlink"
    TargetMode="External"
    Target="http://www.westlaw.com/Link/Document/FullText?findType=h&amp;pubNum=176284&amp;cite=0526438701&amp;originatingDoc=Ie827f2009fe211ecb7ceee74f6b36648&amp;refType=RQ&amp;originationContext=document&amp;vr=3.0&amp;rs=cblt1.0&amp;transitionType=DocumentItem&amp;contextData=(sc.Default)"/>
  <Relationship Id="r11"
    Type="http://schemas.openxmlformats.org/officeDocument/2006/relationships/hyperlink"
    TargetMode="External"
    Target="http://www.westlaw.com/Link/Document/FullText?findType=h&amp;pubNum=176284&amp;cite=0275204001&amp;originatingDoc=Ie827f2009fe211ecb7ceee74f6b36648&amp;refType=RQ&amp;originationContext=document&amp;vr=3.0&amp;rs=cblt1.0&amp;transitionType=DocumentItem&amp;contextData=(sc.Default)"/>
  <Relationship Id="r12"
    Type="http://schemas.openxmlformats.org/officeDocument/2006/relationships/hyperlink"
    TargetMode="External"
    Target="http://www.westlaw.com/Link/Document/FullText?findType=h&amp;pubNum=176284&amp;cite=0334320801&amp;originatingDoc=Ie827f2009fe211ecb7ceee74f6b36648&amp;refType=RQ&amp;originationContext=document&amp;vr=3.0&amp;rs=cblt1.0&amp;transitionType=DocumentItem&amp;contextData=(sc.Default)"/>
  <Relationship Id="r13"
    Type="http://schemas.openxmlformats.org/officeDocument/2006/relationships/hyperlink"
    TargetMode="External"
    Target="http://www.westlaw.com/Link/Document/FullText?findType=h&amp;pubNum=176284&amp;cite=0402185901&amp;originatingDoc=Ie827f2009fe211ecb7ceee74f6b36648&amp;refType=RQ&amp;originationContext=document&amp;vr=3.0&amp;rs=cblt1.0&amp;transitionType=DocumentItem&amp;contextData=(sc.Default)"/>
  <Relationship Id="r14"
    Type="http://schemas.openxmlformats.org/officeDocument/2006/relationships/hyperlink"
    TargetMode="External"
    Target="http://www.westlaw.com/Link/Document/FullText?findType=h&amp;pubNum=176284&amp;cite=0323602501&amp;originatingDoc=Ie827f2009fe211ecb7ceee74f6b36648&amp;refType=RQ&amp;originationContext=document&amp;vr=3.0&amp;rs=cblt1.0&amp;transitionType=DocumentItem&amp;contextData=(sc.Default)"/>
  <Relationship Id="r15"
    Type="http://schemas.openxmlformats.org/officeDocument/2006/relationships/hyperlink"
    TargetMode="External"
    Target="http://www.westlaw.com/Link/Document/FullText?findType=h&amp;pubNum=176284&amp;cite=0150497201&amp;originatingDoc=Ie827f2009fe211ecb7ceee74f6b36648&amp;refType=RQ&amp;originationContext=document&amp;vr=3.0&amp;rs=cblt1.0&amp;transitionType=DocumentItem&amp;contextData=(sc.Default)"/>
  <Relationship Id="r16"
    Type="http://schemas.openxmlformats.org/officeDocument/2006/relationships/hyperlink"
    TargetMode="External"
    Target="http://www.westlaw.com/Link/Document/FullText?findType=h&amp;pubNum=176284&amp;cite=0428309201&amp;originatingDoc=Ie827f2009fe211ecb7ceee74f6b36648&amp;refType=RQ&amp;originationContext=document&amp;vr=3.0&amp;rs=cblt1.0&amp;transitionType=DocumentItem&amp;contextData=(sc.Default)"/>
  <Relationship Id="r17"
    Type="http://schemas.openxmlformats.org/officeDocument/2006/relationships/hyperlink"
    TargetMode="External"
    Target="http://www.westlaw.com/Link/Document/FullText?findType=h&amp;pubNum=176284&amp;cite=0281676501&amp;originatingDoc=Ie827f2009fe211ecb7ceee74f6b36648&amp;refType=RQ&amp;originationContext=document&amp;vr=3.0&amp;rs=cblt1.0&amp;transitionType=DocumentItem&amp;contextData=(sc.Default)"/>
  <Relationship Id="r18"
    Type="http://schemas.openxmlformats.org/officeDocument/2006/relationships/hyperlink"
    TargetMode="External"
    Target="http://www.westlaw.com/Link/Document/FullText?findType=h&amp;pubNum=176284&amp;cite=0461271201&amp;originatingDoc=Ie827f2009fe211ecb7ceee74f6b36648&amp;refType=RQ&amp;originationContext=document&amp;vr=3.0&amp;rs=cblt1.0&amp;transitionType=DocumentItem&amp;contextData=(sc.Default)"/>
  <Relationship Id="r19"
    Type="http://schemas.openxmlformats.org/officeDocument/2006/relationships/hyperlink"
    TargetMode="External"
    Target="http://www.westlaw.com/Link/Document/FullText?findType=Y&amp;serNum=2054587837&amp;pubNum=0000999&amp;originatingDoc=Ie827f2009fe211ecb7ceee74f6b36648&amp;refType=RP&amp;fi=co_pp_sp_999_24&amp;originationContext=document&amp;vr=3.0&amp;rs=cblt1.0&amp;transitionType=DocumentItem&amp;contextData=(sc.Default)#co_pp_sp_999_24"/>
  <Relationship Id="r20"
    Type="http://schemas.openxmlformats.org/officeDocument/2006/relationships/hyperlink"
    TargetMode="External"
    Target="http://www.westlaw.com/Link/Document/FullText?findType=Y&amp;serNum=2054587837&amp;pubNum=0000999&amp;originatingDoc=Ie827f2009fe211ecb7ceee74f6b36648&amp;refType=RP&amp;fi=co_pp_sp_999_40&amp;originationContext=document&amp;vr=3.0&amp;rs=cblt1.0&amp;transitionType=DocumentItem&amp;contextData=(sc.Default)#co_pp_sp_999_40"/>
  <Relationship Id="r21"
    Type="http://schemas.openxmlformats.org/officeDocument/2006/relationships/hyperlink"
    TargetMode="External"
    Target="http://www.westlaw.com/Link/Document/FullText?findType=Y&amp;serNum=2044558606&amp;pubNum=0000999&amp;originatingDoc=Ie827f2009fe211ecb7ceee74f6b36648&amp;refType=RP&amp;fi=co_pp_sp_999_18&amp;originationContext=document&amp;vr=3.0&amp;rs=cblt1.0&amp;transitionType=DocumentItem&amp;contextData=(sc.Default)#co_pp_sp_999_18"/>
  <Relationship Id="r22"
    Type="http://schemas.openxmlformats.org/officeDocument/2006/relationships/hyperlink"
    TargetMode="External"
    Target="http://www.westlaw.com/Link/Document/FullText?findType=Y&amp;serNum=1995153866&amp;pubNum=0000162&amp;originatingDoc=Ie827f2009fe211ecb7ceee74f6b36648&amp;refType=RP&amp;fi=co_pp_sp_162_1163&amp;originationContext=document&amp;vr=3.0&amp;rs=cblt1.0&amp;transitionType=DocumentItem&amp;contextData=(sc.Default)#co_pp_sp_162_1163"/>
  <Relationship Id="r23"
    Type="http://schemas.openxmlformats.org/officeDocument/2006/relationships/hyperlink"
    TargetMode="External"
    Target="http://www.westlaw.com/Link/Document/FullText?findType=Y&amp;serNum=2009683626&amp;pubNum=0000162&amp;originatingDoc=Ie827f2009fe211ecb7ceee74f6b36648&amp;refType=RP&amp;fi=co_pp_sp_162_1145&amp;originationContext=document&amp;vr=3.0&amp;rs=cblt1.0&amp;transitionType=DocumentItem&amp;contextData=(sc.Default)#co_pp_sp_162_1145"/>
  <Relationship Id="r24"
    Type="http://schemas.openxmlformats.org/officeDocument/2006/relationships/hyperlink"
    TargetMode="External"
    Target="http://www.westlaw.com/Link/Document/FullText?findType=Y&amp;serNum=1983112756&amp;pubNum=0000162&amp;originatingDoc=Ie827f2009fe211ecb7ceee74f6b36648&amp;refType=RP&amp;fi=co_pp_sp_162_711&amp;originationContext=document&amp;vr=3.0&amp;rs=cblt1.0&amp;transitionType=DocumentItem&amp;contextData=(sc.Default)#co_pp_sp_162_711"/>
  <Relationship Id="r25"
    Type="http://schemas.openxmlformats.org/officeDocument/2006/relationships/hyperlink"
    TargetMode="External"
    Target="http://www.westlaw.com/Link/Document/FullText?findType=Y&amp;serNum=2036962974&amp;pubNum=0000999&amp;originatingDoc=Ie827f2009fe211ecb7ceee74f6b36648&amp;refType=RP&amp;fi=co_pp_sp_999_34&amp;originationContext=document&amp;vr=3.0&amp;rs=cblt1.0&amp;transitionType=DocumentItem&amp;contextData=(sc.Default)#co_pp_sp_999_34"/>
  <Relationship Id="r26"
    Type="http://schemas.openxmlformats.org/officeDocument/2006/relationships/hyperlink"
    TargetMode="External"
    Target="http://www.westlaw.com/Link/Document/FullText?findType=Y&amp;serNum=2026169302&amp;pubNum=0007691&amp;originatingDoc=Ie827f2009fe211ecb7ceee74f6b36648&amp;refType=RP&amp;fi=co_pp_sp_7691_467&amp;originationContext=document&amp;vr=3.0&amp;rs=cblt1.0&amp;transitionType=DocumentItem&amp;contextData=(sc.Default)#co_pp_sp_7691_467"/>
  <Relationship Id="r27"
    Type="http://schemas.openxmlformats.org/officeDocument/2006/relationships/hyperlink"
    TargetMode="External"
    Target="http://www.westlaw.com/Link/Document/FullText?findType=Y&amp;serNum=1983112756&amp;pubNum=0000162&amp;originatingDoc=Ie827f2009fe211ecb7ceee74f6b36648&amp;refType=RP&amp;fi=co_pp_sp_162_711&amp;originationContext=document&amp;vr=3.0&amp;rs=cblt1.0&amp;transitionType=DocumentItem&amp;contextData=(sc.Default)#co_pp_sp_162_711"/>
  <Relationship Id="r28"
    Type="http://schemas.openxmlformats.org/officeDocument/2006/relationships/hyperlink"
    TargetMode="External"
    Target="http://www.westlaw.com/Link/Document/FullText?findType=Y&amp;serNum=2042330733&amp;pubNum=0000999&amp;originatingDoc=Ie827f2009fe211ecb7ceee74f6b36648&amp;refType=RP&amp;fi=co_pp_sp_999_29&amp;originationContext=document&amp;vr=3.0&amp;rs=cblt1.0&amp;transitionType=DocumentItem&amp;contextData=(sc.Default)#co_pp_sp_999_29"/>
  <Relationship Id="r29"
    Type="http://schemas.openxmlformats.org/officeDocument/2006/relationships/hyperlink"
    TargetMode="External"
    Target="http://www.westlaw.com/Link/Document/FullText?findType=Y&amp;serNum=2044383560&amp;pubNum=0007691&amp;originatingDoc=Ie827f2009fe211ecb7ceee74f6b36648&amp;refType=RP&amp;originationContext=document&amp;vr=3.0&amp;rs=cblt1.0&amp;transitionType=DocumentItem&amp;contextData=(sc.Default)"/>
  <Relationship Id="r30"
    Type="http://schemas.openxmlformats.org/officeDocument/2006/relationships/hyperlink"
    TargetMode="External"
    Target="http://www.westlaw.com/Link/Document/FullText?findType=Y&amp;serNum=2042330733&amp;pubNum=0000999&amp;originatingDoc=Ie827f2009fe211ecb7ceee74f6b36648&amp;refType=RP&amp;fi=co_pp_sp_999_9&amp;originationContext=document&amp;vr=3.0&amp;rs=cblt1.0&amp;transitionType=DocumentItem&amp;contextData=(sc.Default)#co_pp_sp_999_9"/>
  <Relationship Id="r31"
    Type="http://schemas.openxmlformats.org/officeDocument/2006/relationships/hyperlink"
    TargetMode="External"
    Target="http://www.westlaw.com/Link/Document/FullText?findType=Y&amp;serNum=2042330733&amp;pubNum=0000999&amp;originatingDoc=Ie827f2009fe211ecb7ceee74f6b36648&amp;refType=RP&amp;originationContext=document&amp;vr=3.0&amp;rs=cblt1.0&amp;transitionType=DocumentItem&amp;contextData=(sc.Default)"/>
  <Relationship Id="r32"
    Type="http://schemas.openxmlformats.org/officeDocument/2006/relationships/hyperlink"
    TargetMode="External"
    Target="http://www.westlaw.com/Link/Document/FullText?findType=Y&amp;serNum=2042330733&amp;pubNum=0000999&amp;originatingDoc=Ie827f2009fe211ecb7ceee74f6b36648&amp;refType=RP&amp;originationContext=document&amp;vr=3.0&amp;rs=cblt1.0&amp;transitionType=DocumentItem&amp;contextData=(sc.Default)"/>
  <Relationship Id="r33"
    Type="http://schemas.openxmlformats.org/officeDocument/2006/relationships/hyperlink"
    TargetMode="External"
    Target="http://www.westlaw.com/Link/Document/Blob/Ife671560a50911eca7cdc289fef501da.png?originationContext=document&amp;vr=3.0&amp;rs=cblt1.0&amp;transitionType=DocumentImage&amp;contextData=(sc.Default)"/>
  <Relationship Id="r34"
    Type="http://schemas.openxmlformats.org/officeDocument/2006/relationships/hyperlink"
    TargetMode="External"
    Target="http://www.westlaw.com/Link/Document/Blob/Ife671560a50911eca7cdc289fef501da.png?originationContext=document&amp;vr=3.0&amp;rs=cblt1.0&amp;transitionType=DocumentImage&amp;contextData=(sc.Default)"/>
  <Relationship Id="r35"
    Type="http://schemas.openxmlformats.org/officeDocument/2006/relationships/image"
    Target="images/2.png"/>
  <Relationship Id="r36"
    Type="http://schemas.openxmlformats.org/officeDocument/2006/relationships/hyperlink"
    TargetMode="External"
    Target="http://www.westlaw.com/Link/Document/FullText?findType=Y&amp;serNum=1983112756&amp;pubNum=0000162&amp;originatingDoc=Ie827f2009fe211ecb7ceee74f6b36648&amp;refType=RP&amp;fi=co_pp_sp_162_711&amp;originationContext=document&amp;vr=3.0&amp;rs=cblt1.0&amp;transitionType=DocumentItem&amp;contextData=(sc.Default)#co_pp_sp_162_711"/>
  <Relationship Id="r37"
    Type="http://schemas.openxmlformats.org/officeDocument/2006/relationships/hyperlink"
    TargetMode="External"
    Target="http://www.westlaw.com/Link/Document/FullText?findType=Y&amp;serNum=1994079320&amp;pubNum=0000162&amp;originatingDoc=Ie827f2009fe211ecb7ceee74f6b36648&amp;refType=RP&amp;fi=co_pp_sp_162_1120&amp;originationContext=document&amp;vr=3.0&amp;rs=cblt1.0&amp;transitionType=DocumentItem&amp;contextData=(sc.Default)#co_pp_sp_162_1120"/>
  <Relationship Id="r38"
    Type="http://schemas.openxmlformats.org/officeDocument/2006/relationships/hyperlink"
    TargetMode="External"
    Target="http://www.westlaw.com/Link/Document/FullText?findType=Y&amp;serNum=2052771703&amp;pubNum=0007691&amp;originatingDoc=Ie827f2009fe211ecb7ceee74f6b36648&amp;refType=RP&amp;fi=co_pp_sp_7691_96&amp;originationContext=document&amp;vr=3.0&amp;rs=cblt1.0&amp;transitionType=DocumentItem&amp;contextData=(sc.Default)#co_pp_sp_7691_96"/>
  <Relationship Id="r39"
    Type="http://schemas.openxmlformats.org/officeDocument/2006/relationships/hyperlink"
    TargetMode="External"
    Target="http://www.westlaw.com/Link/Document/FullText?findType=Y&amp;serNum=2052771703&amp;pubNum=0007691&amp;originatingDoc=Ie827f2009fe211ecb7ceee74f6b36648&amp;refType=RP&amp;fi=co_pp_sp_7691_97&amp;originationContext=document&amp;vr=3.0&amp;rs=cblt1.0&amp;transitionType=DocumentItem&amp;contextData=(sc.Default)#co_pp_sp_7691_97"/>
  <Relationship Id="r40"
    Type="http://schemas.openxmlformats.org/officeDocument/2006/relationships/hyperlink"
    TargetMode="External"
    Target="http://www.westlaw.com/Link/Document/FullText?findType=Y&amp;serNum=1971102724&amp;pubNum=0000162&amp;originatingDoc=Ie827f2009fe211ecb7ceee74f6b36648&amp;refType=RP&amp;fi=co_pp_sp_162_439&amp;originationContext=document&amp;vr=3.0&amp;rs=cblt1.0&amp;transitionType=DocumentItem&amp;contextData=(sc.Default)#co_pp_sp_162_439"/>
  <Relationship Id="r41"
    Type="http://schemas.openxmlformats.org/officeDocument/2006/relationships/hyperlink"
    TargetMode="External"
    Target="http://www.westlaw.com/Link/Document/FullText?findType=Y&amp;serNum=2009118667&amp;pubNum=0000162&amp;originatingDoc=Ie827f2009fe211ecb7ceee74f6b36648&amp;refType=RP&amp;originationContext=document&amp;vr=3.0&amp;rs=cblt1.0&amp;transitionType=DocumentItem&amp;contextData=(sc.Default)"/>
  <Relationship Id="r42"
    Type="http://schemas.openxmlformats.org/officeDocument/2006/relationships/hyperlink"
    TargetMode="External"
    Target="http://www.westlaw.com/Link/Document/FullText?findType=Y&amp;serNum=2006594456&amp;pubNum=0000999&amp;originatingDoc=Ie827f2009fe211ecb7ceee74f6b36648&amp;refType=RP&amp;originationContext=document&amp;vr=3.0&amp;rs=cblt1.0&amp;transitionType=DocumentItem&amp;contextData=(sc.Default)"/>
  <Relationship Id="r43"
    Type="http://schemas.openxmlformats.org/officeDocument/2006/relationships/hyperlink"
    TargetMode="External"
    Target="http://www.westlaw.com/Link/Document/FullText?findType=Y&amp;serNum=2011082300&amp;pubNum=0006538&amp;originatingDoc=Ie827f2009fe211ecb7ceee74f6b36648&amp;refType=RP&amp;originationContext=document&amp;vr=3.0&amp;rs=cblt1.0&amp;transitionType=DocumentItem&amp;contextData=(sc.Default)"/>
  <Relationship Id="r44"
    Type="http://schemas.openxmlformats.org/officeDocument/2006/relationships/hyperlink"
    TargetMode="External"
    Target="http://www.westlaw.com/Link/Document/FullText?findType=Y&amp;serNum=2011082300&amp;pubNum=0006538&amp;originatingDoc=Ie827f2009fe211ecb7ceee74f6b36648&amp;refType=RP&amp;originationContext=document&amp;vr=3.0&amp;rs=cblt1.0&amp;transitionType=DocumentItem&amp;contextData=(sc.Default)"/>
  <Relationship Id="r45"
    Type="http://schemas.openxmlformats.org/officeDocument/2006/relationships/hyperlink"
    TargetMode="External"
    Target="http://www.westlaw.com/Link/Document/FullText?findType=Y&amp;serNum=2006594456&amp;pubNum=0000999&amp;originatingDoc=Ie827f2009fe211ecb7ceee74f6b36648&amp;refType=RP&amp;fi=co_pp_sp_999_12&amp;originationContext=document&amp;vr=3.0&amp;rs=cblt1.0&amp;transitionType=DocumentItem&amp;contextData=(sc.Default)#co_pp_sp_999_12"/>
  <Relationship Id="r46"
    Type="http://schemas.openxmlformats.org/officeDocument/2006/relationships/hyperlink"
    TargetMode="External"
    Target="http://www.westlaw.com/Link/Document/FullText?findType=Y&amp;serNum=2006594456&amp;pubNum=0000999&amp;originatingDoc=Ie827f2009fe211ecb7ceee74f6b36648&amp;refType=RP&amp;originationContext=document&amp;vr=3.0&amp;rs=cblt1.0&amp;transitionType=DocumentItem&amp;contextData=(sc.Default)"/>
  <Relationship Id="r47"
    Type="http://schemas.openxmlformats.org/officeDocument/2006/relationships/hyperlink"
    TargetMode="External"
    Target="http://www.westlaw.com/Link/Document/FullText?findType=Y&amp;serNum=2011082300&amp;pubNum=0006538&amp;originatingDoc=Ie827f2009fe211ecb7ceee74f6b36648&amp;refType=RP&amp;fi=co_pp_sp_6538_618&amp;originationContext=document&amp;vr=3.0&amp;rs=cblt1.0&amp;transitionType=DocumentItem&amp;contextData=(sc.Default)#co_pp_sp_6538_618"/>
  <Relationship Id="r48"
    Type="http://schemas.openxmlformats.org/officeDocument/2006/relationships/hyperlink"
    TargetMode="External"
    Target="http://www.westlaw.com/Link/Document/FullText?findType=Y&amp;serNum=2006594456&amp;pubNum=0000999&amp;originatingDoc=Ie827f2009fe211ecb7ceee74f6b36648&amp;refType=RP&amp;fi=co_pp_sp_999_13&amp;originationContext=document&amp;vr=3.0&amp;rs=cblt1.0&amp;transitionType=DocumentItem&amp;contextData=(sc.Default)#co_pp_sp_999_13"/>
  <Relationship Id="r49"
    Type="http://schemas.openxmlformats.org/officeDocument/2006/relationships/hyperlink"
    TargetMode="External"
    Target="http://www.westlaw.com/Link/Document/FullText?findType=Y&amp;serNum=2006594456&amp;pubNum=0000999&amp;originatingDoc=Ie827f2009fe211ecb7ceee74f6b36648&amp;refType=RP&amp;originationContext=document&amp;vr=3.0&amp;rs=cblt1.0&amp;transitionType=DocumentItem&amp;contextData=(sc.Default)"/>
  <Relationship Id="r50"
    Type="http://schemas.openxmlformats.org/officeDocument/2006/relationships/hyperlink"
    TargetMode="External"
    Target="http://www.westlaw.com/Link/Document/FullText?findType=Y&amp;serNum=1953111628&amp;pubNum=0000162&amp;originatingDoc=Ie827f2009fe211ecb7ceee74f6b36648&amp;refType=RP&amp;fi=co_pp_sp_162_114&amp;originationContext=document&amp;vr=3.0&amp;rs=cblt1.0&amp;transitionType=DocumentItem&amp;contextData=(sc.Default)#co_pp_sp_162_114"/>
  <Relationship Id="r51"
    Type="http://schemas.openxmlformats.org/officeDocument/2006/relationships/hyperlink"
    TargetMode="External"
    Target="http://www.westlaw.com/Link/Document/FullText?findType=Y&amp;serNum=1985128296&amp;pubNum=0000162&amp;originatingDoc=Ie827f2009fe211ecb7ceee74f6b36648&amp;refType=RP&amp;fi=co_pp_sp_162_940&amp;originationContext=document&amp;vr=3.0&amp;rs=cblt1.0&amp;transitionType=DocumentItem&amp;contextData=(sc.Default)#co_pp_sp_162_940"/>
  <Relationship Id="r52"
    Type="http://schemas.openxmlformats.org/officeDocument/2006/relationships/hyperlink"
    TargetMode="External"
    Target="http://www.westlaw.com/Link/Document/FullText?findType=Y&amp;serNum=1983112756&amp;pubNum=0000162&amp;originatingDoc=Ie827f2009fe211ecb7ceee74f6b36648&amp;refType=RP&amp;fi=co_pp_sp_162_714&amp;originationContext=document&amp;vr=3.0&amp;rs=cblt1.0&amp;transitionType=DocumentItem&amp;contextData=(sc.Default)#co_pp_sp_162_714"/>
  <Relationship Id="r53"
    Type="http://schemas.openxmlformats.org/officeDocument/2006/relationships/hyperlink"
    TargetMode="External"
    Target="http://www.westlaw.com/Link/Document/FullText?findType=Y&amp;serNum=2054587837&amp;pubNum=0000999&amp;originatingDoc=Ie827f2009fe211ecb7ceee74f6b36648&amp;refType=RP&amp;fi=co_pp_sp_999_80&amp;originationContext=document&amp;vr=3.0&amp;rs=cblt1.0&amp;transitionType=DocumentItem&amp;contextData=(sc.Default)#co_pp_sp_999_80"/>
  <Relationship Id="r54"
    Type="http://schemas.openxmlformats.org/officeDocument/2006/relationships/hyperlink"
    TargetMode="External"
    Target="http://www.westlaw.com/Link/Document/FullText?findType=Y&amp;serNum=2048048016&amp;pubNum=0007691&amp;originatingDoc=Ie827f2009fe211ecb7ceee74f6b36648&amp;refType=RP&amp;fi=co_pp_sp_7691_137&amp;originationContext=document&amp;vr=3.0&amp;rs=cblt1.0&amp;transitionType=DocumentItem&amp;contextData=(sc.Default)#co_pp_sp_7691_137"/>
  <Relationship Id="r55"
    Type="http://schemas.openxmlformats.org/officeDocument/2006/relationships/hyperlink"
    TargetMode="External"
    Target="http://www.westlaw.com/Link/Document/FullText?findType=Y&amp;serNum=2031138532&amp;pubNum=0000999&amp;originatingDoc=Ie827f2009fe211ecb7ceee74f6b36648&amp;refType=RP&amp;fi=co_pp_sp_999_5&amp;originationContext=document&amp;vr=3.0&amp;rs=cblt1.0&amp;transitionType=DocumentItem&amp;contextData=(sc.Default)#co_pp_sp_999_5"/>
  <Relationship Id="r56"
    Type="http://schemas.openxmlformats.org/officeDocument/2006/relationships/hyperlink"
    TargetMode="External"
    Target="http://www.westlaw.com/Link/Document/FullText?findType=Y&amp;serNum=2028232882&amp;pubNum=0000999&amp;originatingDoc=Ie827f2009fe211ecb7ceee74f6b36648&amp;refType=RP&amp;fi=co_pp_sp_999_9&amp;originationContext=document&amp;vr=3.0&amp;rs=cblt1.0&amp;transitionType=DocumentItem&amp;contextData=(sc.Default)#co_pp_sp_999_9"/>
  <Relationship Id="r57"
    Type="http://schemas.openxmlformats.org/officeDocument/2006/relationships/hyperlink"
    TargetMode="External"
    Target="http://www.westlaw.com/Link/Document/FullText?findType=Y&amp;serNum=2031138532&amp;pubNum=0000999&amp;originatingDoc=Ie827f2009fe211ecb7ceee74f6b36648&amp;refType=RP&amp;fi=co_pp_sp_999_6&amp;originationContext=document&amp;vr=3.0&amp;rs=cblt1.0&amp;transitionType=DocumentItem&amp;contextData=(sc.Default)#co_pp_sp_999_6"/>
  <Relationship Id="r58"
    Type="http://schemas.openxmlformats.org/officeDocument/2006/relationships/hyperlink"
    TargetMode="External"
    Target="http://www.westlaw.com/Link/Document/FullText?findType=Y&amp;serNum=2028232882&amp;pubNum=0000999&amp;originatingDoc=Ie827f2009fe211ecb7ceee74f6b36648&amp;refType=RP&amp;fi=co_pp_sp_999_9&amp;originationContext=document&amp;vr=3.0&amp;rs=cblt1.0&amp;transitionType=DocumentItem&amp;contextData=(sc.Default)#co_pp_sp_999_9"/>
  <Relationship Id="r59"
    Type="http://schemas.openxmlformats.org/officeDocument/2006/relationships/hyperlink"
    TargetMode="External"
    Target="http://www.westlaw.com/Link/Document/FullText?findType=Y&amp;serNum=1992154977&amp;pubNum=0000162&amp;originatingDoc=Ie827f2009fe211ecb7ceee74f6b36648&amp;refType=RP&amp;fi=co_pp_sp_162_490&amp;originationContext=document&amp;vr=3.0&amp;rs=cblt1.0&amp;transitionType=DocumentItem&amp;contextData=(sc.Default)#co_pp_sp_162_490"/>
  <Relationship Id="r60"
    Type="http://schemas.openxmlformats.org/officeDocument/2006/relationships/hyperlink"
    TargetMode="External"
    Target="http://www.westlaw.com/Link/Document/FullText?findType=Y&amp;serNum=2034953277&amp;pubNum=0000999&amp;originatingDoc=Ie827f2009fe211ecb7ceee74f6b36648&amp;refType=RP&amp;fi=co_pp_sp_999_4&amp;originationContext=document&amp;vr=3.0&amp;rs=cblt1.0&amp;transitionType=DocumentItem&amp;contextData=(sc.Default)#co_pp_sp_999_4"/>
  <Relationship Id="r61"
    Type="http://schemas.openxmlformats.org/officeDocument/2006/relationships/hyperlink"
    TargetMode="External"
    Target="http://www.westlaw.com/Link/Document/FullText?findType=Y&amp;serNum=2031171366&amp;pubNum=0000999&amp;originatingDoc=Ie827f2009fe211ecb7ceee74f6b36648&amp;refType=RP&amp;fi=co_pp_sp_999_3&amp;originationContext=document&amp;vr=3.0&amp;rs=cblt1.0&amp;transitionType=DocumentItem&amp;contextData=(sc.Default)#co_pp_sp_999_3"/>
  <Relationship Id="r62"
    Type="http://schemas.openxmlformats.org/officeDocument/2006/relationships/hyperlink"
    TargetMode="External"
    Target="http://www.westlaw.com/Link/Document/FullText?findType=Y&amp;serNum=2054587837&amp;pubNum=0000999&amp;originatingDoc=Ie827f2009fe211ecb7ceee74f6b36648&amp;refType=RP&amp;fi=co_pp_sp_999_51&amp;originationContext=document&amp;vr=3.0&amp;rs=cblt1.0&amp;transitionType=DocumentItem&amp;contextData=(sc.Default)#co_pp_sp_999_51"/>
  <Relationship Id="r63"
    Type="http://schemas.openxmlformats.org/officeDocument/2006/relationships/hyperlink"
    TargetMode="External"
    Target="http://www.westlaw.com/Link/Document/FullText?findType=Y&amp;serNum=2031171366&amp;pubNum=0000999&amp;originatingDoc=Ie827f2009fe211ecb7ceee74f6b36648&amp;refType=RP&amp;fi=co_pp_sp_999_2&amp;originationContext=document&amp;vr=3.0&amp;rs=cblt1.0&amp;transitionType=DocumentItem&amp;contextData=(sc.Default)#co_pp_sp_999_2"/>
  <Relationship Id="r64"
    Type="http://schemas.openxmlformats.org/officeDocument/2006/relationships/hyperlink"
    TargetMode="External"
    Target="http://www.westlaw.com/Link/Document/FullText?findType=Y&amp;serNum=2014885065&amp;pubNum=0000162&amp;originatingDoc=Ie827f2009fe211ecb7ceee74f6b36648&amp;refType=RP&amp;fi=co_pp_sp_162_54&amp;originationContext=document&amp;vr=3.0&amp;rs=cblt1.0&amp;transitionType=DocumentItem&amp;contextData=(sc.Default)#co_pp_sp_162_54"/>
  <Relationship Id="r65"
    Type="http://schemas.openxmlformats.org/officeDocument/2006/relationships/hyperlink"
    TargetMode="External"
    Target="http://www.westlaw.com/Link/Document/FullText?findType=Y&amp;serNum=2036777880&amp;pubNum=0000999&amp;originatingDoc=Ie827f2009fe211ecb7ceee74f6b36648&amp;refType=RP&amp;fi=co_pp_sp_999_18&amp;originationContext=document&amp;vr=3.0&amp;rs=cblt1.0&amp;transitionType=DocumentItem&amp;contextData=(sc.Default)#co_pp_sp_999_18"/>
  <Relationship Id="r66"
    Type="http://schemas.openxmlformats.org/officeDocument/2006/relationships/hyperlink"
    TargetMode="External"
    Target="http://www.westlaw.com/Link/Document/FullText?findType=Y&amp;serNum=2004135399&amp;pubNum=0000999&amp;originatingDoc=Ie827f2009fe211ecb7ceee74f6b36648&amp;refType=RP&amp;fi=co_pp_sp_999_4&amp;originationContext=document&amp;vr=3.0&amp;rs=cblt1.0&amp;transitionType=DocumentItem&amp;contextData=(sc.Default)#co_pp_sp_999_4"/>
  <Relationship Id="r67"
    Type="http://schemas.openxmlformats.org/officeDocument/2006/relationships/hyperlink"
    TargetMode="External"
    Target="http://www.westlaw.com/Link/Document/FullText?findType=Y&amp;serNum=2031171366&amp;pubNum=0000999&amp;originatingDoc=Ie827f2009fe211ecb7ceee74f6b36648&amp;refType=RP&amp;fi=co_pp_sp_999_3&amp;originationContext=document&amp;vr=3.0&amp;rs=cblt1.0&amp;transitionType=DocumentItem&amp;contextData=(sc.Default)#co_pp_sp_999_3"/>
  <Relationship Id="r68"
    Type="http://schemas.openxmlformats.org/officeDocument/2006/relationships/hyperlink"
    TargetMode="External"
    Target="http://www.westlaw.com/Link/Document/FullText?findType=Y&amp;serNum=2007196698&amp;pubNum=0000999&amp;originatingDoc=Ie827f2009fe211ecb7ceee74f6b36648&amp;refType=RP&amp;fi=co_pp_sp_999_9&amp;originationContext=document&amp;vr=3.0&amp;rs=cblt1.0&amp;transitionType=DocumentItem&amp;contextData=(sc.Default)#co_pp_sp_999_9"/>
  <Relationship Id="r69"
    Type="http://schemas.openxmlformats.org/officeDocument/2006/relationships/hyperlink"
    TargetMode="External"
    Target="http://www.westlaw.com/Link/Document/FullText?findType=Y&amp;serNum=1992154977&amp;pubNum=0000162&amp;originatingDoc=Ie827f2009fe211ecb7ceee74f6b36648&amp;refType=RP&amp;fi=co_pp_sp_162_490&amp;originationContext=document&amp;vr=3.0&amp;rs=cblt1.0&amp;transitionType=DocumentItem&amp;contextData=(sc.Default)#co_pp_sp_162_490"/>
  <Relationship Id="r70"
    Type="http://schemas.openxmlformats.org/officeDocument/2006/relationships/hyperlink"
    TargetMode="External"
    Target="http://www.westlaw.com/Link/Document/FullText?findType=Y&amp;serNum=1989032753&amp;pubNum=0000999&amp;originatingDoc=Ie827f2009fe211ecb7ceee74f6b36648&amp;refType=RP&amp;fi=co_pp_sp_999_8&amp;originationContext=document&amp;vr=3.0&amp;rs=cblt1.0&amp;transitionType=DocumentItem&amp;contextData=(sc.Default)#co_pp_sp_999_8"/>
  <Relationship Id="r71"
    Type="http://schemas.openxmlformats.org/officeDocument/2006/relationships/hyperlink"
    TargetMode="External"
    Target="http://www.westlaw.com/Link/Document/FullText?findType=Y&amp;serNum=2054587837&amp;pubNum=0000999&amp;originatingDoc=Ie827f2009fe211ecb7ceee74f6b36648&amp;refType=RP&amp;fi=co_pp_sp_999_10&amp;originationContext=document&amp;vr=3.0&amp;rs=cblt1.0&amp;transitionType=DocumentItem&amp;contextData=(sc.Default)#co_pp_sp_999_10"/>
  <Relationship Id="r72"
    Type="http://schemas.openxmlformats.org/officeDocument/2006/relationships/hyperlink"
    TargetMode="External"
    Target="http://www.westlaw.com/Link/Document/FullText?findType=Y&amp;serNum=2054587837&amp;pubNum=0000999&amp;originatingDoc=Ie827f2009fe211ecb7ceee74f6b36648&amp;refType=RP&amp;originationContext=document&amp;vr=3.0&amp;rs=cblt1.0&amp;transitionType=DocumentItem&amp;contextData=(sc.Default)"/>
  <Relationship Id="r73"
    Type="http://schemas.openxmlformats.org/officeDocument/2006/relationships/hyperlink"
    TargetMode="External"
    Target="http://www.westlaw.com/Link/Document/FullText?findType=L&amp;pubNum=1007675&amp;cite=DERREVR703&amp;originatingDoc=Ie827f2009fe211ecb7ceee74f6b36648&amp;refType=LQ&amp;originationContext=document&amp;vr=3.0&amp;rs=cblt1.0&amp;transitionType=DocumentItem&amp;contextData=(sc.Default)"/>
  <Relationship Id="r74"
    Type="http://schemas.openxmlformats.org/officeDocument/2006/relationships/hyperlink"
    TargetMode="External"
    Target="http://www.westlaw.com/Link/Document/FullText?findType=Y&amp;serNum=2054587837&amp;pubNum=0000999&amp;originatingDoc=Ie827f2009fe211ecb7ceee74f6b36648&amp;refType=RP&amp;fi=co_pp_sp_999_57&amp;originationContext=document&amp;vr=3.0&amp;rs=cblt1.0&amp;transitionType=DocumentItem&amp;contextData=(sc.Default)#co_pp_sp_999_57"/>
  <Relationship Id="r75"
    Type="http://schemas.openxmlformats.org/officeDocument/2006/relationships/hyperlink"
    TargetMode="External"
    Target="http://www.westlaw.com/Link/Document/FullText?findType=Y&amp;serNum=2031138532&amp;pubNum=0000999&amp;originatingDoc=Ie827f2009fe211ecb7ceee74f6b36648&amp;refType=RP&amp;fi=co_pp_sp_999_21&amp;originationContext=document&amp;vr=3.0&amp;rs=cblt1.0&amp;transitionType=DocumentItem&amp;contextData=(sc.Default)#co_pp_sp_999_21"/>
  <Relationship Id="r76"
    Type="http://schemas.openxmlformats.org/officeDocument/2006/relationships/hyperlink"
    TargetMode="External"
    Target="http://www.westlaw.com/Link/Document/FullText?findType=Y&amp;serNum=2031138532&amp;pubNum=0000999&amp;originatingDoc=Ie827f2009fe211ecb7ceee74f6b36648&amp;refType=RP&amp;fi=co_pp_sp_999_21&amp;originationContext=document&amp;vr=3.0&amp;rs=cblt1.0&amp;transitionType=DocumentItem&amp;contextData=(sc.Default)#co_pp_sp_999_21"/>
  <Relationship Id="r77"
    Type="http://schemas.openxmlformats.org/officeDocument/2006/relationships/hyperlink"
    TargetMode="External"
    Target="http://www.westlaw.com/Link/Document/FullText?findType=Y&amp;serNum=2021845111&amp;pubNum=0000162&amp;originatingDoc=Ie827f2009fe211ecb7ceee74f6b36648&amp;refType=RP&amp;fi=co_pp_sp_162_511&amp;originationContext=document&amp;vr=3.0&amp;rs=cblt1.0&amp;transitionType=DocumentItem&amp;contextData=(sc.Default)#co_pp_sp_162_511"/>
  <Relationship Id="r78"
    Type="http://schemas.openxmlformats.org/officeDocument/2006/relationships/hyperlink"
    TargetMode="External"
    Target="http://www.westlaw.com/Link/Document/FullText?findType=Y&amp;serNum=2009118667&amp;pubNum=0000162&amp;originatingDoc=Ie827f2009fe211ecb7ceee74f6b36648&amp;refType=RP&amp;fi=co_pp_sp_162_326&amp;originationContext=document&amp;vr=3.0&amp;rs=cblt1.0&amp;transitionType=DocumentItem&amp;contextData=(sc.Default)#co_pp_sp_162_326"/>
  <Relationship Id="r79"
    Type="http://schemas.openxmlformats.org/officeDocument/2006/relationships/hyperlink"
    TargetMode="External"
    Target="http://www.westlaw.com/Link/Document/FullText?findType=Y&amp;serNum=1992154977&amp;pubNum=0000162&amp;originatingDoc=Ie827f2009fe211ecb7ceee74f6b36648&amp;refType=RP&amp;fi=co_pp_sp_162_494&amp;originationContext=document&amp;vr=3.0&amp;rs=cblt1.0&amp;transitionType=DocumentItem&amp;contextData=(sc.Default)#co_pp_sp_162_494"/>
  <Relationship Id="r80"
    Type="http://schemas.openxmlformats.org/officeDocument/2006/relationships/hyperlink"
    TargetMode="External"
    Target="http://www.westlaw.com/Link/Document/FullText?findType=Y&amp;serNum=2001180188&amp;pubNum=0000162&amp;originatingDoc=Ie827f2009fe211ecb7ceee74f6b36648&amp;refType=RP&amp;fi=co_pp_sp_162_440&amp;originationContext=document&amp;vr=3.0&amp;rs=cblt1.0&amp;transitionType=DocumentItem&amp;contextData=(sc.Default)#co_pp_sp_162_440"/>
  <Relationship Id="r81"
    Type="http://schemas.openxmlformats.org/officeDocument/2006/relationships/hyperlink"
    TargetMode="External"
    Target="http://www.westlaw.com/Link/Document/FullText?findType=Y&amp;serNum=1996097915&amp;pubNum=0000162&amp;originatingDoc=Ie827f2009fe211ecb7ceee74f6b36648&amp;refType=RP&amp;fi=co_pp_sp_162_445&amp;originationContext=document&amp;vr=3.0&amp;rs=cblt1.0&amp;transitionType=DocumentItem&amp;contextData=(sc.Default)#co_pp_sp_162_445"/>
  <Relationship Id="r82"
    Type="http://schemas.openxmlformats.org/officeDocument/2006/relationships/hyperlink"
    TargetMode="External"
    Target="http://www.westlaw.com/Link/Document/FullText?findType=Y&amp;serNum=1993241544&amp;pubNum=0000162&amp;originatingDoc=Ie827f2009fe211ecb7ceee74f6b36648&amp;refType=RP&amp;fi=co_pp_sp_162_371&amp;originationContext=document&amp;vr=3.0&amp;rs=cblt1.0&amp;transitionType=DocumentItem&amp;contextData=(sc.Default)#co_pp_sp_162_371"/>
  <Relationship Id="r83"
    Type="http://schemas.openxmlformats.org/officeDocument/2006/relationships/hyperlink"
    TargetMode="External"
    Target="http://www.westlaw.com/Link/Document/FullText?findType=Y&amp;serNum=2009683626&amp;pubNum=0000162&amp;originatingDoc=Ie827f2009fe211ecb7ceee74f6b36648&amp;refType=RP&amp;fi=co_pp_sp_162_1154&amp;originationContext=document&amp;vr=3.0&amp;rs=cblt1.0&amp;transitionType=DocumentItem&amp;contextData=(sc.Default)#co_pp_sp_162_1154"/>
  <Relationship Id="r84"
    Type="http://schemas.openxmlformats.org/officeDocument/2006/relationships/hyperlink"
    TargetMode="External"
    Target="http://www.westlaw.com/Link/Document/FullText?findType=Y&amp;serNum=2026169302&amp;pubNum=0007691&amp;originatingDoc=Ie827f2009fe211ecb7ceee74f6b36648&amp;refType=RP&amp;fi=co_pp_sp_7691_466&amp;originationContext=document&amp;vr=3.0&amp;rs=cblt1.0&amp;transitionType=DocumentItem&amp;contextData=(sc.Default)#co_pp_sp_7691_466"/>
  <Relationship Id="r85"
    Type="http://schemas.openxmlformats.org/officeDocument/2006/relationships/hyperlink"
    TargetMode="External"
    Target="http://www.westlaw.com/Link/Document/FullText?findType=Y&amp;serNum=1992171778&amp;pubNum=0000999&amp;originatingDoc=Ie827f2009fe211ecb7ceee74f6b36648&amp;refType=RP&amp;fi=co_pp_sp_999_7&amp;originationContext=document&amp;vr=3.0&amp;rs=cblt1.0&amp;transitionType=DocumentItem&amp;contextData=(sc.Default)#co_pp_sp_999_7"/>
  <Relationship Id="r86"
    Type="http://schemas.openxmlformats.org/officeDocument/2006/relationships/hyperlink"
    TargetMode="External"
    Target="http://www.westlaw.com/Link/Document/FullText?findType=Y&amp;serNum=1993210099&amp;pubNum=0000999&amp;originatingDoc=Ie827f2009fe211ecb7ceee74f6b36648&amp;refType=RP&amp;fi=co_pp_sp_999_12&amp;originationContext=document&amp;vr=3.0&amp;rs=cblt1.0&amp;transitionType=DocumentItem&amp;contextData=(sc.Default)#co_pp_sp_999_12"/>
  <Relationship Id="r87"
    Type="http://schemas.openxmlformats.org/officeDocument/2006/relationships/hyperlink"
    TargetMode="External"
    Target="http://www.westlaw.com/Link/Document/FullText?findType=Y&amp;serNum=2054587837&amp;pubNum=0000999&amp;originatingDoc=Ie827f2009fe211ecb7ceee74f6b36648&amp;refType=RP&amp;fi=co_pp_sp_999_54&amp;originationContext=document&amp;vr=3.0&amp;rs=cblt1.0&amp;transitionType=DocumentItem&amp;contextData=(sc.Default)#co_pp_sp_999_54"/>
  <Relationship Id="r88"
    Type="http://schemas.openxmlformats.org/officeDocument/2006/relationships/hyperlink"
    TargetMode="External"
    Target="http://www.westlaw.com/Link/Document/FullText?findType=Y&amp;serNum=2054587837&amp;pubNum=0000999&amp;originatingDoc=Ie827f2009fe211ecb7ceee74f6b36648&amp;refType=RP&amp;originationContext=document&amp;vr=3.0&amp;rs=cblt1.0&amp;transitionType=DocumentItem&amp;contextData=(sc.Default)"/>
  <Relationship Id="r89"
    Type="http://schemas.openxmlformats.org/officeDocument/2006/relationships/hyperlink"
    TargetMode="External"
    Target="http://www.westlaw.com/Link/Document/FullText?findType=Y&amp;serNum=2054587837&amp;pubNum=0000999&amp;originatingDoc=Ie827f2009fe211ecb7ceee74f6b36648&amp;refType=RP&amp;originationContext=document&amp;vr=3.0&amp;rs=cblt1.0&amp;transitionType=DocumentItem&amp;contextData=(sc.Default)"/>
  <Relationship Id="r90"
    Type="http://schemas.openxmlformats.org/officeDocument/2006/relationships/hyperlink"
    TargetMode="External"
    Target="http://www.westlaw.com/Link/Document/FullText?findType=Y&amp;serNum=2054587837&amp;pubNum=0000999&amp;originatingDoc=Ie827f2009fe211ecb7ceee74f6b36648&amp;refType=RP&amp;originationContext=document&amp;vr=3.0&amp;rs=cblt1.0&amp;transitionType=DocumentItem&amp;contextData=(sc.Default)"/>
  <Relationship Id="r91"
    Type="http://schemas.openxmlformats.org/officeDocument/2006/relationships/hyperlink"
    TargetMode="External"
    Target="http://www.westlaw.com/Link/Document/FullText?findType=Y&amp;serNum=2039587769&amp;pubNum=0000999&amp;originatingDoc=Ie827f2009fe211ecb7ceee74f6b36648&amp;refType=RP&amp;fi=co_pp_sp_999_5&amp;originationContext=document&amp;vr=3.0&amp;rs=cblt1.0&amp;transitionType=DocumentItem&amp;contextData=(sc.Default)#co_pp_sp_999_5"/>
  <Relationship Id="r92"
    Type="http://schemas.openxmlformats.org/officeDocument/2006/relationships/hyperlink"
    TargetMode="External"
    Target="http://www.westlaw.com/Link/Document/FullText?findType=Y&amp;serNum=2042990390&amp;pubNum=0007691&amp;originatingDoc=Ie827f2009fe211ecb7ceee74f6b36648&amp;refType=RP&amp;originationContext=document&amp;vr=3.0&amp;rs=cblt1.0&amp;transitionType=DocumentItem&amp;contextData=(sc.Default)"/>
  <Relationship Id="r93"
    Type="http://schemas.openxmlformats.org/officeDocument/2006/relationships/hyperlink"
    TargetMode="External"
    Target="http://www.westlaw.com/Link/Document/FullText?findType=Y&amp;serNum=2053627349&amp;pubNum=0000999&amp;originatingDoc=Ie827f2009fe211ecb7ceee74f6b36648&amp;refType=RP&amp;fi=co_pp_sp_999_21&amp;originationContext=document&amp;vr=3.0&amp;rs=cblt1.0&amp;transitionType=DocumentItem&amp;contextData=(sc.Default)#co_pp_sp_999_21"/>
  <Relationship Id="r94"
    Type="http://schemas.openxmlformats.org/officeDocument/2006/relationships/hyperlink"
    TargetMode="External"
    Target="http://www.westlaw.com/Link/Document/Blob/Ife6e4150a50911eca7cdc289fef501da.png?originationContext=document&amp;vr=3.0&amp;rs=cblt1.0&amp;transitionType=DocumentImage&amp;contextData=(sc.Default)"/>
  <Relationship Id="r95"
    Type="http://schemas.openxmlformats.org/officeDocument/2006/relationships/hyperlink"
    TargetMode="External"
    Target="http://www.westlaw.com/Link/Document/Blob/Ife6e4150a50911eca7cdc289fef501da.png?originationContext=document&amp;vr=3.0&amp;rs=cblt1.0&amp;transitionType=DocumentImage&amp;contextData=(sc.Default)"/>
  <Relationship Id="r96"
    Type="http://schemas.openxmlformats.org/officeDocument/2006/relationships/image"
    Target="images/3.png"/>
  <Relationship Id="r97"
    Type="http://schemas.openxmlformats.org/officeDocument/2006/relationships/hyperlink"
    TargetMode="External"
    Target="http://www.westlaw.com/Link/Document/FullText?findType=Y&amp;serNum=1992154977&amp;pubNum=0000162&amp;originatingDoc=Ie827f2009fe211ecb7ceee74f6b36648&amp;refType=RP&amp;fi=co_pp_sp_162_494&amp;originationContext=document&amp;vr=3.0&amp;rs=cblt1.0&amp;transitionType=DocumentItem&amp;contextData=(sc.Default)#co_pp_sp_162_494"/>
  <Relationship Id="r98"
    Type="http://schemas.openxmlformats.org/officeDocument/2006/relationships/hyperlink"
    TargetMode="External"
    Target="http://www.westlaw.com/Link/Document/FullText?findType=Y&amp;serNum=1983112756&amp;pubNum=0000162&amp;originatingDoc=Ie827f2009fe211ecb7ceee74f6b36648&amp;refType=RP&amp;fi=co_pp_sp_162_713&amp;originationContext=document&amp;vr=3.0&amp;rs=cblt1.0&amp;transitionType=DocumentItem&amp;contextData=(sc.Default)#co_pp_sp_162_713"/>
  <Relationship Id="r99"
    Type="http://schemas.openxmlformats.org/officeDocument/2006/relationships/hyperlink"
    TargetMode="External"
    Target="http://www.westlaw.com/Link/Document/FullText?findType=Y&amp;serNum=2009118667&amp;pubNum=0000162&amp;originatingDoc=Ie827f2009fe211ecb7ceee74f6b36648&amp;refType=RP&amp;fi=co_pp_sp_162_329&amp;originationContext=document&amp;vr=3.0&amp;rs=cblt1.0&amp;transitionType=DocumentItem&amp;contextData=(sc.Default)#co_pp_sp_162_329"/>
  <Relationship Id="r100"
    Type="http://schemas.openxmlformats.org/officeDocument/2006/relationships/hyperlink"
    TargetMode="External"
    Target="http://www.westlaw.com/Link/Document/FullText?findType=Y&amp;serNum=2009118667&amp;pubNum=0000162&amp;originatingDoc=Ie827f2009fe211ecb7ceee74f6b36648&amp;refType=RP&amp;fi=co_pp_sp_162_327&amp;originationContext=document&amp;vr=3.0&amp;rs=cblt1.0&amp;transitionType=DocumentItem&amp;contextData=(sc.Default)#co_pp_sp_162_327"/>
  <Relationship Id="r101"
    Type="http://schemas.openxmlformats.org/officeDocument/2006/relationships/hyperlink"
    TargetMode="External"
    Target="http://www.westlaw.com/Link/Document/FullText?findType=Y&amp;serNum=2034650724&amp;pubNum=0000999&amp;originatingDoc=Ie827f2009fe211ecb7ceee74f6b36648&amp;refType=RP&amp;fi=co_pp_sp_999_3&amp;originationContext=document&amp;vr=3.0&amp;rs=cblt1.0&amp;transitionType=DocumentItem&amp;contextData=(sc.Default)#co_pp_sp_999_3"/>
  <Relationship Id="r102"
    Type="http://schemas.openxmlformats.org/officeDocument/2006/relationships/hyperlink"
    TargetMode="External"
    Target="http://www.westlaw.com/Link/Document/FullText?findType=Y&amp;serNum=2048734355&amp;pubNum=0000999&amp;originatingDoc=Ie827f2009fe211ecb7ceee74f6b36648&amp;refType=RP&amp;fi=co_pp_sp_999_1&amp;originationContext=document&amp;vr=3.0&amp;rs=cblt1.0&amp;transitionType=DocumentItem&amp;contextData=(sc.Default)#co_pp_sp_999_1"/>
  <Relationship Id="r103"
    Type="http://schemas.openxmlformats.org/officeDocument/2006/relationships/hyperlink"
    TargetMode="External"
    Target="http://www.westlaw.com/Link/Document/FullText?findType=Y&amp;serNum=2051433522&amp;pubNum=0007691&amp;originatingDoc=Ie827f2009fe211ecb7ceee74f6b36648&amp;refType=RP&amp;fi=co_pp_sp_7691_322&amp;originationContext=document&amp;vr=3.0&amp;rs=cblt1.0&amp;transitionType=DocumentItem&amp;contextData=(sc.Default)#co_pp_sp_7691_322"/>
  <Relationship Id="r104"
    Type="http://schemas.openxmlformats.org/officeDocument/2006/relationships/hyperlink"
    TargetMode="External"
    Target="http://www.westlaw.com/Link/Document/FullText?findType=Y&amp;serNum=2040543300&amp;pubNum=0000999&amp;originatingDoc=Ie827f2009fe211ecb7ceee74f6b36648&amp;refType=RP&amp;fi=co_pp_sp_999_16&amp;originationContext=document&amp;vr=3.0&amp;rs=cblt1.0&amp;transitionType=DocumentItem&amp;contextData=(sc.Default)#co_pp_sp_999_16"/>
  <Relationship Id="r105"
    Type="http://schemas.openxmlformats.org/officeDocument/2006/relationships/hyperlink"
    TargetMode="External"
    Target="http://www.westlaw.com/Link/Document/FullText?findType=Y&amp;serNum=1953111628&amp;pubNum=0000162&amp;originatingDoc=Ie827f2009fe211ecb7ceee74f6b36648&amp;refType=RP&amp;fi=co_pp_sp_162_114&amp;originationContext=document&amp;vr=3.0&amp;rs=cblt1.0&amp;transitionType=DocumentItem&amp;contextData=(sc.Default)#co_pp_sp_162_114"/>
  <Relationship Id="r106"
    Type="http://schemas.openxmlformats.org/officeDocument/2006/relationships/hyperlink"
    TargetMode="External"
    Target="http://www.westlaw.com/Link/Document/FullText?findType=Y&amp;serNum=2026169302&amp;pubNum=0007691&amp;originatingDoc=Ie827f2009fe211ecb7ceee74f6b36648&amp;refType=RP&amp;fi=co_pp_sp_7691_466&amp;originationContext=document&amp;vr=3.0&amp;rs=cblt1.0&amp;transitionType=DocumentItem&amp;contextData=(sc.Default)#co_pp_sp_7691_466"/>
  <Relationship Id="r107"
    Type="http://schemas.openxmlformats.org/officeDocument/2006/relationships/hyperlink"
    TargetMode="External"
    Target="http://www.westlaw.com/Link/Document/FullText?findType=Y&amp;serNum=1996081838&amp;pubNum=0000999&amp;originatingDoc=Ie827f2009fe211ecb7ceee74f6b36648&amp;refType=RP&amp;fi=co_pp_sp_999_1&amp;originationContext=document&amp;vr=3.0&amp;rs=cblt1.0&amp;transitionType=DocumentItem&amp;contextData=(sc.Default)#co_pp_sp_999_1"/>
  <Relationship Id="r108"
    Type="http://schemas.openxmlformats.org/officeDocument/2006/relationships/hyperlink"
    TargetMode="External"
    Target="http://www.westlaw.com/Link/Document/FullText?findType=Y&amp;serNum=1997130068&amp;pubNum=0000162&amp;originatingDoc=Ie827f2009fe211ecb7ceee74f6b36648&amp;refType=RP&amp;originationContext=document&amp;vr=3.0&amp;rs=cblt1.0&amp;transitionType=DocumentItem&amp;contextData=(sc.Default)"/>
  <Relationship Id="r109"
    Type="http://schemas.openxmlformats.org/officeDocument/2006/relationships/hyperlink"
    TargetMode="External"
    Target="http://www.westlaw.com/Link/Document/FullText?findType=Y&amp;serNum=1995171522&amp;pubNum=0000162&amp;originatingDoc=Ie827f2009fe211ecb7ceee74f6b36648&amp;refType=RP&amp;fi=co_pp_sp_162_1143&amp;originationContext=document&amp;vr=3.0&amp;rs=cblt1.0&amp;transitionType=DocumentItem&amp;contextData=(sc.Default)#co_pp_sp_162_1143"/>
  <Relationship Id="r110"
    Type="http://schemas.openxmlformats.org/officeDocument/2006/relationships/hyperlink"
    TargetMode="External"
    Target="http://www.westlaw.com/Link/Document/FullText?findType=Y&amp;serNum=1995153866&amp;pubNum=0000162&amp;originatingDoc=Ie827f2009fe211ecb7ceee74f6b36648&amp;refType=RP&amp;originationContext=document&amp;vr=3.0&amp;rs=cblt1.0&amp;transitionType=DocumentItem&amp;contextData=(sc.Default)"/>
  <Relationship Id="r111"
    Type="http://schemas.openxmlformats.org/officeDocument/2006/relationships/hyperlink"
    TargetMode="External"
    Target="http://www.westlaw.com/Link/Document/FullText?findType=Y&amp;serNum=1993210099&amp;pubNum=0000999&amp;originatingDoc=Ie827f2009fe211ecb7ceee74f6b36648&amp;refType=RP&amp;fi=co_pp_sp_999_12&amp;originationContext=document&amp;vr=3.0&amp;rs=cblt1.0&amp;transitionType=DocumentItem&amp;contextData=(sc.Default)#co_pp_sp_999_12"/>
  <Relationship Id="r112"
    Type="http://schemas.openxmlformats.org/officeDocument/2006/relationships/hyperlink"
    TargetMode="External"
    Target="http://www.westlaw.com/Link/Document/FullText?findType=Y&amp;serNum=1996097915&amp;pubNum=0000162&amp;originatingDoc=Ie827f2009fe211ecb7ceee74f6b36648&amp;refType=RP&amp;fi=co_pp_sp_162_445&amp;originationContext=document&amp;vr=3.0&amp;rs=cblt1.0&amp;transitionType=DocumentItem&amp;contextData=(sc.Default)#co_pp_sp_162_445"/>
  <Relationship Id="r113"
    Type="http://schemas.openxmlformats.org/officeDocument/2006/relationships/hyperlink"
    TargetMode="External"
    Target="http://www.westlaw.com/Link/Document/FullText?findType=Y&amp;serNum=2031171366&amp;pubNum=0000999&amp;originatingDoc=Ie827f2009fe211ecb7ceee74f6b36648&amp;refType=RP&amp;fi=co_pp_sp_999_4&amp;originationContext=document&amp;vr=3.0&amp;rs=cblt1.0&amp;transitionType=DocumentItem&amp;contextData=(sc.Default)#co_pp_sp_999_4"/>
  <Relationship Id="r114"
    Type="http://schemas.openxmlformats.org/officeDocument/2006/relationships/hyperlink"
    TargetMode="External"
    Target="http://www.westlaw.com/Link/Document/FullText?findType=Y&amp;serNum=1999251777&amp;pubNum=0000162&amp;originatingDoc=Ie827f2009fe211ecb7ceee74f6b36648&amp;refType=RP&amp;fi=co_pp_sp_162_921&amp;originationContext=document&amp;vr=3.0&amp;rs=cblt1.0&amp;transitionType=DocumentItem&amp;contextData=(sc.Default)#co_pp_sp_162_921"/>
  <Relationship Id="r115"
    Type="http://schemas.openxmlformats.org/officeDocument/2006/relationships/hyperlink"
    TargetMode="External"
    Target="http://www.westlaw.com/Link/Document/FullText?findType=Y&amp;serNum=2028232882&amp;pubNum=0000999&amp;originatingDoc=Ie827f2009fe211ecb7ceee74f6b36648&amp;refType=RP&amp;fi=co_pp_sp_999_21&amp;originationContext=document&amp;vr=3.0&amp;rs=cblt1.0&amp;transitionType=DocumentItem&amp;contextData=(sc.Default)#co_pp_sp_999_21"/>
  <Relationship Id="r116"
    Type="http://schemas.openxmlformats.org/officeDocument/2006/relationships/hyperlink"
    TargetMode="External"
    Target="http://www.westlaw.com/Link/Document/FullText?findType=Y&amp;serNum=2031171366&amp;pubNum=0000999&amp;originatingDoc=Ie827f2009fe211ecb7ceee74f6b36648&amp;refType=RP&amp;fi=co_pp_sp_999_4&amp;originationContext=document&amp;vr=3.0&amp;rs=cblt1.0&amp;transitionType=DocumentItem&amp;contextData=(sc.Default)#co_pp_sp_999_4"/>
  <Relationship Id="r117"
    Type="http://schemas.openxmlformats.org/officeDocument/2006/relationships/hyperlink"
    TargetMode="External"
    Target="http://www.westlaw.com/Link/Document/FullText?findType=Y&amp;serNum=2034953277&amp;pubNum=0000999&amp;originatingDoc=Ie827f2009fe211ecb7ceee74f6b36648&amp;refType=RP&amp;fi=co_pp_sp_999_2&amp;originationContext=document&amp;vr=3.0&amp;rs=cblt1.0&amp;transitionType=DocumentItem&amp;contextData=(sc.Default)#co_pp_sp_999_2"/>
  <Relationship Id="r118"
    Type="http://schemas.openxmlformats.org/officeDocument/2006/relationships/hyperlink"
    TargetMode="External"
    Target="http://www.westlaw.com/Link/Document/FullText?findType=Y&amp;serNum=1953111628&amp;pubNum=0000162&amp;originatingDoc=Ie827f2009fe211ecb7ceee74f6b36648&amp;refType=RP&amp;fi=co_pp_sp_162_114&amp;originationContext=document&amp;vr=3.0&amp;rs=cblt1.0&amp;transitionType=DocumentItem&amp;contextData=(sc.Default)#co_pp_sp_162_114"/>
  <Relationship Id="r119"
    Type="http://schemas.openxmlformats.org/officeDocument/2006/relationships/hyperlink"
    TargetMode="External"
    Target="http://www.westlaw.com/Link/Document/FullText?findType=Y&amp;serNum=2005282110&amp;pubNum=0000999&amp;originatingDoc=Ie827f2009fe211ecb7ceee74f6b36648&amp;refType=RP&amp;fi=co_pp_sp_999_9&amp;originationContext=document&amp;vr=3.0&amp;rs=cblt1.0&amp;transitionType=DocumentItem&amp;contextData=(sc.Default)#co_pp_sp_999_9"/>
  <Relationship Id="r120"
    Type="http://schemas.openxmlformats.org/officeDocument/2006/relationships/hyperlink"
    TargetMode="External"
    Target="http://www.westlaw.com/Link/Document/FullText?findType=Y&amp;serNum=2007136076&amp;pubNum=0000162&amp;originatingDoc=Ie827f2009fe211ecb7ceee74f6b36648&amp;refType=RP&amp;originationContext=document&amp;vr=3.0&amp;rs=cblt1.0&amp;transitionType=DocumentItem&amp;contextData=(sc.Default)"/>
  <Relationship Id="r121"
    Type="http://schemas.openxmlformats.org/officeDocument/2006/relationships/hyperlink"
    TargetMode="External"
    Target="http://www.westlaw.com/Link/Document/FullText?findType=Y&amp;serNum=2000383345&amp;pubNum=0000162&amp;originatingDoc=Ie827f2009fe211ecb7ceee74f6b36648&amp;refType=RP&amp;fi=co_pp_sp_162_901&amp;originationContext=document&amp;vr=3.0&amp;rs=cblt1.0&amp;transitionType=DocumentItem&amp;contextData=(sc.Default)#co_pp_sp_162_901"/>
  <Relationship Id="r122"
    Type="http://schemas.openxmlformats.org/officeDocument/2006/relationships/hyperlink"
    TargetMode="External"
    Target="http://www.westlaw.com/Link/Document/FullText?findType=Y&amp;serNum=2040928776&amp;pubNum=0007691&amp;originatingDoc=Ie827f2009fe211ecb7ceee74f6b36648&amp;refType=RP&amp;fi=co_pp_sp_7691_149&amp;originationContext=document&amp;vr=3.0&amp;rs=cblt1.0&amp;transitionType=DocumentItem&amp;contextData=(sc.Default)#co_pp_sp_7691_149"/>
  <Relationship Id="r123"
    Type="http://schemas.openxmlformats.org/officeDocument/2006/relationships/hyperlink"
    TargetMode="External"
    Target="http://www.westlaw.com/Link/Document/FullText?findType=Y&amp;serNum=1998048227&amp;pubNum=0000162&amp;originatingDoc=Ie827f2009fe211ecb7ceee74f6b36648&amp;refType=RP&amp;fi=co_pp_sp_162_1179&amp;originationContext=document&amp;vr=3.0&amp;rs=cblt1.0&amp;transitionType=DocumentItem&amp;contextData=(sc.Default)#co_pp_sp_162_1179"/>
  <Relationship Id="r124"
    Type="http://schemas.openxmlformats.org/officeDocument/2006/relationships/hyperlink"
    TargetMode="External"
    Target="http://www.westlaw.com/Link/Document/FullText?findType=Y&amp;serNum=1975129779&amp;pubNum=0000780&amp;originatingDoc=Ie827f2009fe211ecb7ceee74f6b36648&amp;refType=RP&amp;fi=co_pp_sp_780_258&amp;originationContext=document&amp;vr=3.0&amp;rs=cblt1.0&amp;transitionType=DocumentItem&amp;contextData=(sc.Default)#co_pp_sp_780_258"/>
  <Relationship Id="r125"
    Type="http://schemas.openxmlformats.org/officeDocument/2006/relationships/hyperlink"
    TargetMode="External"
    Target="http://www.westlaw.com/Link/Document/FullText?findType=Y&amp;serNum=2040928776&amp;pubNum=0007691&amp;originatingDoc=Ie827f2009fe211ecb7ceee74f6b36648&amp;refType=RP&amp;fi=co_pp_sp_7691_149&amp;originationContext=document&amp;vr=3.0&amp;rs=cblt1.0&amp;transitionType=DocumentItem&amp;contextData=(sc.Default)#co_pp_sp_7691_149"/>
  <Relationship Id="r126"
    Type="http://schemas.openxmlformats.org/officeDocument/2006/relationships/hyperlink"
    TargetMode="External"
    Target="http://www.westlaw.com/Link/Document/FullText?findType=Y&amp;serNum=2040928776&amp;pubNum=0007691&amp;originatingDoc=Ie827f2009fe211ecb7ceee74f6b36648&amp;refType=RP&amp;fi=co_pp_sp_7691_149&amp;originationContext=document&amp;vr=3.0&amp;rs=cblt1.0&amp;transitionType=DocumentItem&amp;contextData=(sc.Default)#co_pp_sp_7691_149"/>
  <Relationship Id="r127"
    Type="http://schemas.openxmlformats.org/officeDocument/2006/relationships/hyperlink"
    TargetMode="External"
    Target="http://www.westlaw.com/Link/Document/FullText?findType=Y&amp;serNum=2033254781&amp;pubNum=0007691&amp;originatingDoc=Ie827f2009fe211ecb7ceee74f6b36648&amp;refType=RP&amp;fi=co_pp_sp_7691_552&amp;originationContext=document&amp;vr=3.0&amp;rs=cblt1.0&amp;transitionType=DocumentItem&amp;contextData=(sc.Default)#co_pp_sp_7691_552"/>
  <Relationship Id="r128"
    Type="http://schemas.openxmlformats.org/officeDocument/2006/relationships/hyperlink"
    TargetMode="External"
    Target="http://www.westlaw.com/Link/Document/FullText?findType=Y&amp;serNum=2054587837&amp;pubNum=0000999&amp;originatingDoc=Ie827f2009fe211ecb7ceee74f6b36648&amp;refType=RP&amp;fi=co_pp_sp_999_50&amp;originationContext=document&amp;vr=3.0&amp;rs=cblt1.0&amp;transitionType=DocumentItem&amp;contextData=(sc.Default)#co_pp_sp_999_50"/>
  <Relationship Id="r129"
    Type="http://schemas.openxmlformats.org/officeDocument/2006/relationships/hyperlink"
    TargetMode="External"
    Target="http://www.westlaw.com/Link/Document/FullText?findType=Y&amp;serNum=2054587837&amp;pubNum=0004031&amp;originatingDoc=Ie827f2009fe211ecb7ceee74f6b36648&amp;refType=RP&amp;originationContext=document&amp;vr=3.0&amp;rs=cblt1.0&amp;transitionType=DocumentItem&amp;contextData=(sc.Default)"/>
  <Relationship Id="r130"
    Type="http://schemas.openxmlformats.org/officeDocument/2006/relationships/hyperlink"
    TargetMode="External"
    Target="http://www.westlaw.com/Link/Document/FullText?findType=Y&amp;serNum=2054587837&amp;pubNum=0000999&amp;originatingDoc=Ie827f2009fe211ecb7ceee74f6b36648&amp;refType=RP&amp;originationContext=document&amp;vr=3.0&amp;rs=cblt1.0&amp;transitionType=DocumentItem&amp;contextData=(sc.Default)"/>
  <Relationship Id="r131"
    Type="http://schemas.openxmlformats.org/officeDocument/2006/relationships/hyperlink"
    TargetMode="External"
    Target="http://www.westlaw.com/Link/Document/FullText?findType=Y&amp;serNum=2054587837&amp;pubNum=0000999&amp;originatingDoc=Ie827f2009fe211ecb7ceee74f6b36648&amp;refType=RP&amp;fi=co_pp_sp_999_5&amp;originationContext=document&amp;vr=3.0&amp;rs=cblt1.0&amp;transitionType=DocumentItem&amp;contextData=(sc.Default)#co_pp_sp_999_5"/>
  <Relationship Id="r132"
    Type="http://schemas.openxmlformats.org/officeDocument/2006/relationships/hyperlink"
    TargetMode="External"
    Target="http://www.westlaw.com/Link/Document/FullText?findType=Y&amp;serNum=2024779391&amp;pubNum=0000999&amp;originatingDoc=Ie827f2009fe211ecb7ceee74f6b36648&amp;refType=RP&amp;fi=co_pp_sp_999_10&amp;originationContext=document&amp;vr=3.0&amp;rs=cblt1.0&amp;transitionType=DocumentItem&amp;contextData=(sc.Default)#co_pp_sp_999_10"/>
  <Relationship Id="r133"
    Type="http://schemas.openxmlformats.org/officeDocument/2006/relationships/hyperlink"
    TargetMode="External"
    Target="http://www.westlaw.com/Link/Document/FullText?findType=Y&amp;serNum=2026720534&amp;pubNum=0007691&amp;originatingDoc=Ie827f2009fe211ecb7ceee74f6b36648&amp;refType=RP&amp;originationContext=document&amp;vr=3.0&amp;rs=cblt1.0&amp;transitionType=DocumentItem&amp;contextData=(sc.Default)"/>
  <Relationship Id="r134"
    Type="http://schemas.openxmlformats.org/officeDocument/2006/relationships/hyperlink"
    TargetMode="External"
    Target="http://www.westlaw.com/Link/Document/FullText?findType=Y&amp;serNum=2024467839&amp;pubNum=0000999&amp;originatingDoc=Ie827f2009fe211ecb7ceee74f6b36648&amp;refType=RP&amp;fi=co_pp_sp_999_3&amp;originationContext=document&amp;vr=3.0&amp;rs=cblt1.0&amp;transitionType=DocumentItem&amp;contextData=(sc.Default)#co_pp_sp_999_3"/>
  <Relationship Id="r135"
    Type="http://schemas.openxmlformats.org/officeDocument/2006/relationships/hyperlink"
    TargetMode="External"
    Target="http://www.westlaw.com/Link/Document/FullText?findType=Y&amp;serNum=2003568958&amp;pubNum=0000162&amp;originatingDoc=Ie827f2009fe211ecb7ceee74f6b36648&amp;refType=RP&amp;fi=co_pp_sp_162_553&amp;originationContext=document&amp;vr=3.0&amp;rs=cblt1.0&amp;transitionType=DocumentItem&amp;contextData=(sc.Default)#co_pp_sp_162_553"/>
  <Relationship Id="r136"
    Type="http://schemas.openxmlformats.org/officeDocument/2006/relationships/hyperlink"
    TargetMode="External"
    Target="http://www.westlaw.com/Link/Document/FullText?findType=Y&amp;serNum=2028677543&amp;pubNum=0007691&amp;originatingDoc=Ie827f2009fe211ecb7ceee74f6b36648&amp;refType=RP&amp;fi=co_pp_sp_7691_1243&amp;originationContext=document&amp;vr=3.0&amp;rs=cblt1.0&amp;transitionType=DocumentItem&amp;contextData=(sc.Default)#co_pp_sp_7691_1243"/>
  <Relationship Id="r137"
    Type="http://schemas.openxmlformats.org/officeDocument/2006/relationships/hyperlink"
    TargetMode="External"
    Target="http://www.westlaw.com/Link/Document/FullText?findType=Y&amp;serNum=2024779391&amp;pubNum=0000999&amp;originatingDoc=Ie827f2009fe211ecb7ceee74f6b36648&amp;refType=RP&amp;fi=co_pp_sp_999_15&amp;originationContext=document&amp;vr=3.0&amp;rs=cblt1.0&amp;transitionType=DocumentItem&amp;contextData=(sc.Default)#co_pp_sp_999_15"/>
  <Relationship Id="r138"
    Type="http://schemas.openxmlformats.org/officeDocument/2006/relationships/hyperlink"
    TargetMode="External"
    Target="http://www.westlaw.com/Link/Document/FullText?findType=Y&amp;serNum=1991050812&amp;pubNum=0000999&amp;originatingDoc=Ie827f2009fe211ecb7ceee74f6b36648&amp;refType=RP&amp;fi=co_pp_sp_999_14&amp;originationContext=document&amp;vr=3.0&amp;rs=cblt1.0&amp;transitionType=DocumentItem&amp;contextData=(sc.Default)#co_pp_sp_999_14"/>
  <Relationship Id="r139"
    Type="http://schemas.openxmlformats.org/officeDocument/2006/relationships/hyperlink"
    TargetMode="External"
    Target="http://www.westlaw.com/Link/Document/FullText?findType=Y&amp;serNum=1986127823&amp;pubNum=0000162&amp;originatingDoc=Ie827f2009fe211ecb7ceee74f6b36648&amp;refType=RP&amp;fi=co_pp_sp_162_599&amp;originationContext=document&amp;vr=3.0&amp;rs=cblt1.0&amp;transitionType=DocumentItem&amp;contextData=(sc.Default)#co_pp_sp_162_599"/>
  <Relationship Id="r140"
    Type="http://schemas.openxmlformats.org/officeDocument/2006/relationships/hyperlink"
    TargetMode="External"
    Target="http://www.westlaw.com/Link/Document/FullText?findType=Y&amp;serNum=2024779391&amp;pubNum=0000999&amp;originatingDoc=Ie827f2009fe211ecb7ceee74f6b36648&amp;refType=RP&amp;fi=co_pp_sp_999_15&amp;originationContext=document&amp;vr=3.0&amp;rs=cblt1.0&amp;transitionType=DocumentItem&amp;contextData=(sc.Default)#co_pp_sp_999_15"/>
  <Relationship Id="r141"
    Type="http://schemas.openxmlformats.org/officeDocument/2006/relationships/hyperlink"
    TargetMode="External"
    Target="http://www.westlaw.com/Link/Document/FullText?findType=Y&amp;serNum=2009683626&amp;pubNum=0000162&amp;originatingDoc=Ie827f2009fe211ecb7ceee74f6b36648&amp;refType=RP&amp;fi=co_pp_sp_162_1147&amp;originationContext=document&amp;vr=3.0&amp;rs=cblt1.0&amp;transitionType=DocumentItem&amp;contextData=(sc.Default)#co_pp_sp_162_1147"/>
  <Relationship Id="r142"
    Type="http://schemas.openxmlformats.org/officeDocument/2006/relationships/hyperlink"
    TargetMode="External"
    Target="http://www.westlaw.com/Link/Document/FullText?findType=Y&amp;serNum=2008161860&amp;pubNum=0000999&amp;originatingDoc=Ie827f2009fe211ecb7ceee74f6b36648&amp;refType=RP&amp;fi=co_pp_sp_999_10&amp;originationContext=document&amp;vr=3.0&amp;rs=cblt1.0&amp;transitionType=DocumentItem&amp;contextData=(sc.Default)#co_pp_sp_999_10"/>
  <Relationship Id="r143"
    Type="http://schemas.openxmlformats.org/officeDocument/2006/relationships/hyperlink"
    TargetMode="External"
    Target="http://www.westlaw.com/Link/Document/FullText?findType=Y&amp;serNum=2036309352&amp;pubNum=0007691&amp;originatingDoc=Ie827f2009fe211ecb7ceee74f6b36648&amp;refType=RP&amp;fi=co_pp_sp_7691_557&amp;originationContext=document&amp;vr=3.0&amp;rs=cblt1.0&amp;transitionType=DocumentItem&amp;contextData=(sc.Default)#co_pp_sp_7691_557"/>
  <Relationship Id="r144"
    Type="http://schemas.openxmlformats.org/officeDocument/2006/relationships/hyperlink"
    TargetMode="External"
    Target="http://www.westlaw.com/Link/Document/FullText?findType=Y&amp;serNum=2013832419&amp;pubNum=0004645&amp;originatingDoc=Ie827f2009fe211ecb7ceee74f6b36648&amp;refType=RP&amp;originationContext=document&amp;vr=3.0&amp;rs=cblt1.0&amp;transitionType=DocumentItem&amp;contextData=(sc.Default)"/>
  <Relationship Id="r145"
    Type="http://schemas.openxmlformats.org/officeDocument/2006/relationships/hyperlink"
    TargetMode="External"
    Target="http://www.westlaw.com/Link/Document/FullText?findType=Y&amp;serNum=2013832419&amp;pubNum=0004645&amp;originatingDoc=Ie827f2009fe211ecb7ceee74f6b36648&amp;refType=RP&amp;fi=co_pp_sp_4645_824&amp;originationContext=document&amp;vr=3.0&amp;rs=cblt1.0&amp;transitionType=DocumentItem&amp;contextData=(sc.Default)#co_pp_sp_4645_824"/>
  <Relationship Id="r146"
    Type="http://schemas.openxmlformats.org/officeDocument/2006/relationships/hyperlink"
    TargetMode="External"
    Target="http://www.westlaw.com/Link/Document/FullText?findType=Y&amp;serNum=2014150581&amp;pubNum=0000506&amp;originatingDoc=Ie827f2009fe211ecb7ceee74f6b36648&amp;refType=RP&amp;originationContext=document&amp;vr=3.0&amp;rs=cblt1.0&amp;transitionType=DocumentItem&amp;contextData=(sc.Default)"/>
  <Relationship Id="r147"
    Type="http://schemas.openxmlformats.org/officeDocument/2006/relationships/hyperlink"
    TargetMode="External"
    Target="http://www.westlaw.com/Link/Document/FullText?findType=Y&amp;serNum=2006594456&amp;pubNum=0000999&amp;originatingDoc=Ie827f2009fe211ecb7ceee74f6b36648&amp;refType=RP&amp;fi=co_pp_sp_999_14&amp;originationContext=document&amp;vr=3.0&amp;rs=cblt1.0&amp;transitionType=DocumentItem&amp;contextData=(sc.Default)#co_pp_sp_999_14"/>
  <Relationship Id="r148"
    Type="http://schemas.openxmlformats.org/officeDocument/2006/relationships/hyperlink"
    TargetMode="External"
    Target="http://www.westlaw.com/Link/Document/FullText?findType=Y&amp;serNum=2034953277&amp;pubNum=0000999&amp;originatingDoc=Ie827f2009fe211ecb7ceee74f6b36648&amp;refType=RP&amp;fi=co_pp_sp_999_3&amp;originationContext=document&amp;vr=3.0&amp;rs=cblt1.0&amp;transitionType=DocumentItem&amp;contextData=(sc.Default)#co_pp_sp_999_3"/>
  <Relationship Id="r149"
    Type="http://schemas.openxmlformats.org/officeDocument/2006/relationships/hyperlink"
    TargetMode="External"
    Target="http://www.westlaw.com/Link/Document/FullText?findType=Y&amp;serNum=2031171366&amp;pubNum=0000999&amp;originatingDoc=Ie827f2009fe211ecb7ceee74f6b36648&amp;refType=RP&amp;fi=co_pp_sp_999_2&amp;originationContext=document&amp;vr=3.0&amp;rs=cblt1.0&amp;transitionType=DocumentItem&amp;contextData=(sc.Default)#co_pp_sp_999_2"/>
  <Relationship Id="r150"
    Type="http://schemas.openxmlformats.org/officeDocument/2006/relationships/hyperlink"
    TargetMode="External"
    Target="http://www.westlaw.com/Link/Document/FullText?findType=Y&amp;serNum=1989146429&amp;pubNum=0000999&amp;originatingDoc=Ie827f2009fe211ecb7ceee74f6b36648&amp;refType=RP&amp;fi=co_pp_sp_999_5&amp;originationContext=document&amp;vr=3.0&amp;rs=cblt1.0&amp;transitionType=DocumentItem&amp;contextData=(sc.Default)#co_pp_sp_999_5"/>
  <Relationship Id="r151"
    Type="http://schemas.openxmlformats.org/officeDocument/2006/relationships/hyperlink"
    TargetMode="External"
    Target="http://www.westlaw.com/Link/Document/FullText?findType=Y&amp;serNum=2021937091&amp;pubNum=0000999&amp;originatingDoc=Ie827f2009fe211ecb7ceee74f6b36648&amp;refType=RP&amp;fi=co_pp_sp_999_14&amp;originationContext=document&amp;vr=3.0&amp;rs=cblt1.0&amp;transitionType=DocumentItem&amp;contextData=(sc.Default)#co_pp_sp_999_14"/>
  <Relationship Id="r152"
    Type="http://schemas.openxmlformats.org/officeDocument/2006/relationships/hyperlink"
    TargetMode="External"
    Target="http://www.westlaw.com/Link/Document/FullText?findType=Y&amp;pubNum=0007691&amp;cite=9AT3D475&amp;originatingDoc=Ie827f2009fe211ecb7ceee74f6b36648&amp;refType=RP&amp;originationContext=document&amp;vr=3.0&amp;rs=cblt1.0&amp;transitionType=DocumentItem&amp;contextData=(sc.Default)"/>
  <Relationship Id="r153"
    Type="http://schemas.openxmlformats.org/officeDocument/2006/relationships/hyperlink"
    TargetMode="External"
    Target="http://www.westlaw.com/Link/Document/FullText?findType=Y&amp;serNum=1994114556&amp;pubNum=0000999&amp;originatingDoc=Ie827f2009fe211ecb7ceee74f6b36648&amp;refType=RP&amp;fi=co_pp_sp_999_3&amp;originationContext=document&amp;vr=3.0&amp;rs=cblt1.0&amp;transitionType=DocumentItem&amp;contextData=(sc.Default)#co_pp_sp_999_3"/>
  <Relationship Id="r154"
    Type="http://schemas.openxmlformats.org/officeDocument/2006/relationships/hyperlink"
    TargetMode="External"
    Target="http://www.westlaw.com/Link/Document/FullText?findType=Y&amp;serNum=1990083591&amp;pubNum=0000999&amp;originatingDoc=Ie827f2009fe211ecb7ceee74f6b36648&amp;refType=RP&amp;fi=co_pp_sp_999_13&amp;originationContext=document&amp;vr=3.0&amp;rs=cblt1.0&amp;transitionType=DocumentItem&amp;contextData=(sc.Default)#co_pp_sp_999_13"/>
  <Relationship Id="r155"
    Type="http://schemas.openxmlformats.org/officeDocument/2006/relationships/hyperlink"
    TargetMode="External"
    Target="http://www.westlaw.com/Link/Document/FullText?findType=Y&amp;serNum=2052815060&amp;pubNum=0007691&amp;originatingDoc=Ie827f2009fe211ecb7ceee74f6b36648&amp;refType=RP&amp;fi=co_pp_sp_7691_136&amp;originationContext=document&amp;vr=3.0&amp;rs=cblt1.0&amp;transitionType=DocumentItem&amp;contextData=(sc.Default)#co_pp_sp_7691_136"/>
  <Relationship Id="r156"
    Type="http://schemas.openxmlformats.org/officeDocument/2006/relationships/hyperlink"
    TargetMode="External"
    Target="http://www.westlaw.com/Link/Document/FullText?findType=Y&amp;serNum=2051948326&amp;pubNum=0000999&amp;originatingDoc=Ie827f2009fe211ecb7ceee74f6b36648&amp;refType=RP&amp;fi=co_pp_sp_999_22&amp;originationContext=document&amp;vr=3.0&amp;rs=cblt1.0&amp;transitionType=DocumentItem&amp;contextData=(sc.Default)#co_pp_sp_999_22"/>
  <Relationship Id="r157"
    Type="http://schemas.openxmlformats.org/officeDocument/2006/relationships/hyperlink"
    TargetMode="External"
    Target="http://www.westlaw.com/Link/Document/FullText?findType=Y&amp;serNum=2033958003&amp;pubNum=0000999&amp;originatingDoc=Ie827f2009fe211ecb7ceee74f6b36648&amp;refType=RP&amp;fi=co_pp_sp_999_2&amp;originationContext=document&amp;vr=3.0&amp;rs=cblt1.0&amp;transitionType=DocumentItem&amp;contextData=(sc.Default)#co_pp_sp_999_2"/>
  <Relationship Id="r158"
    Type="http://schemas.openxmlformats.org/officeDocument/2006/relationships/hyperlink"
    TargetMode="External"
    Target="http://www.westlaw.com/Link/Document/FullText?findType=Y&amp;serNum=2037078590&amp;pubNum=0007691&amp;originatingDoc=Ie827f2009fe211ecb7ceee74f6b36648&amp;refType=RP&amp;originationContext=document&amp;vr=3.0&amp;rs=cblt1.0&amp;transitionType=DocumentItem&amp;contextData=(sc.Default)"/>
  <Relationship Id="r159"
    Type="http://schemas.openxmlformats.org/officeDocument/2006/relationships/hyperlink"
    TargetMode="External"
    Target="http://www.westlaw.com/Link/Document/FullText?findType=Y&amp;serNum=2008981865&amp;pubNum=0000999&amp;originatingDoc=Ie827f2009fe211ecb7ceee74f6b36648&amp;refType=RP&amp;fi=co_pp_sp_999_21&amp;originationContext=document&amp;vr=3.0&amp;rs=cblt1.0&amp;transitionType=DocumentItem&amp;contextData=(sc.Default)#co_pp_sp_999_21"/>
  <Relationship Id="r160"
    Type="http://schemas.openxmlformats.org/officeDocument/2006/relationships/hyperlink"
    TargetMode="External"
    Target="http://www.westlaw.com/Link/Document/FullText?findType=Y&amp;serNum=2000628331&amp;pubNum=0000162&amp;originatingDoc=Ie827f2009fe211ecb7ceee74f6b36648&amp;refType=RP&amp;fi=co_pp_sp_162_55&amp;originationContext=document&amp;vr=3.0&amp;rs=cblt1.0&amp;transitionType=DocumentItem&amp;contextData=(sc.Default)#co_pp_sp_162_55"/>
  <Relationship Id="r161"
    Type="http://schemas.openxmlformats.org/officeDocument/2006/relationships/hyperlink"
    TargetMode="External"
    Target="http://www.westlaw.com/Link/Document/FullText?findType=Y&amp;serNum=1986110878&amp;pubNum=0000162&amp;originatingDoc=Ie827f2009fe211ecb7ceee74f6b36648&amp;refType=RP&amp;fi=co_pp_sp_162_765&amp;originationContext=document&amp;vr=3.0&amp;rs=cblt1.0&amp;transitionType=DocumentItem&amp;contextData=(sc.Default)#co_pp_sp_162_765"/>
  <Relationship Id="r162"
    Type="http://schemas.openxmlformats.org/officeDocument/2006/relationships/hyperlink"
    TargetMode="External"
    Target="http://www.westlaw.com/Link/Document/FullText?findType=Y&amp;serNum=1986110878&amp;pubNum=0000162&amp;originatingDoc=Ie827f2009fe211ecb7ceee74f6b36648&amp;refType=RP&amp;fi=co_pp_sp_162_763&amp;originationContext=document&amp;vr=3.0&amp;rs=cblt1.0&amp;transitionType=DocumentItem&amp;contextData=(sc.Default)#co_pp_sp_162_763"/>
  <Relationship Id="r163"
    Type="http://schemas.openxmlformats.org/officeDocument/2006/relationships/hyperlink"
    TargetMode="External"
    Target="http://www.westlaw.com/Link/Document/FullText?findType=Y&amp;serNum=2021167029&amp;pubNum=0000162&amp;originatingDoc=Ie827f2009fe211ecb7ceee74f6b36648&amp;refType=RP&amp;fi=co_pp_sp_162_393&amp;originationContext=document&amp;vr=3.0&amp;rs=cblt1.0&amp;transitionType=DocumentItem&amp;contextData=(sc.Default)#co_pp_sp_162_393"/>
  <Relationship Id="r164"
    Type="http://schemas.openxmlformats.org/officeDocument/2006/relationships/hyperlink"
    TargetMode="External"
    Target="http://www.westlaw.com/Link/Document/FullText?findType=Y&amp;serNum=2014885059&amp;pubNum=0000162&amp;originatingDoc=Ie827f2009fe211ecb7ceee74f6b36648&amp;refType=RP&amp;fi=co_pp_sp_162_665&amp;originationContext=document&amp;vr=3.0&amp;rs=cblt1.0&amp;transitionType=DocumentItem&amp;contextData=(sc.Default)#co_pp_sp_162_665"/>
  <Relationship Id="r165"
    Type="http://schemas.openxmlformats.org/officeDocument/2006/relationships/hyperlink"
    TargetMode="External"
    Target="http://www.westlaw.com/Link/Document/FullText?findType=Y&amp;serNum=2000652912&amp;pubNum=0000162&amp;originatingDoc=Ie827f2009fe211ecb7ceee74f6b36648&amp;refType=RP&amp;fi=co_pp_sp_162_1277&amp;originationContext=document&amp;vr=3.0&amp;rs=cblt1.0&amp;transitionType=DocumentItem&amp;contextData=(sc.Default)#co_pp_sp_162_1277"/>
  <Relationship Id="r166"
    Type="http://schemas.openxmlformats.org/officeDocument/2006/relationships/hyperlink"
    TargetMode="External"
    Target="http://www.westlaw.com/Link/Document/FullText?findType=Y&amp;serNum=2031138532&amp;pubNum=0000999&amp;originatingDoc=Ie827f2009fe211ecb7ceee74f6b36648&amp;refType=RP&amp;fi=co_pp_sp_999_7&amp;originationContext=document&amp;vr=3.0&amp;rs=cblt1.0&amp;transitionType=DocumentItem&amp;contextData=(sc.Default)#co_pp_sp_999_7"/>
  <Relationship Id="r167"
    Type="http://schemas.openxmlformats.org/officeDocument/2006/relationships/hyperlink"
    TargetMode="External"
    Target="http://www.westlaw.com/Link/Document/FullText?findType=Y&amp;serNum=2028232882&amp;pubNum=0000999&amp;originatingDoc=Ie827f2009fe211ecb7ceee74f6b36648&amp;refType=RP&amp;fi=co_pp_sp_999_9&amp;originationContext=document&amp;vr=3.0&amp;rs=cblt1.0&amp;transitionType=DocumentItem&amp;contextData=(sc.Default)#co_pp_sp_999_9"/>
  <Relationship Id="r168"
    Type="http://schemas.openxmlformats.org/officeDocument/2006/relationships/hyperlink"
    TargetMode="External"
    Target="http://www.westlaw.com/Link/Document/FullText?findType=Y&amp;serNum=2028232882&amp;pubNum=0000999&amp;originatingDoc=Ie827f2009fe211ecb7ceee74f6b36648&amp;refType=RP&amp;originationContext=document&amp;vr=3.0&amp;rs=cblt1.0&amp;transitionType=DocumentItem&amp;contextData=(sc.Default)"/>
  <Relationship Id="r169"
    Type="http://schemas.openxmlformats.org/officeDocument/2006/relationships/hyperlink"
    TargetMode="External"
    Target="http://www.westlaw.com/Link/Document/FullText?findType=Y&amp;serNum=1985007022&amp;pubNum=0001620&amp;originatingDoc=Ie827f2009fe211ecb7ceee74f6b36648&amp;refType=RP&amp;originationContext=document&amp;vr=3.0&amp;rs=cblt1.0&amp;transitionType=DocumentItem&amp;contextData=(sc.Default)"/>
  <Relationship Id="r170"
    Type="http://schemas.openxmlformats.org/officeDocument/2006/relationships/hyperlink"
    TargetMode="External"
    Target="http://www.westlaw.com/Link/Document/FullText?findType=Y&amp;serNum=2054587837&amp;pubNum=0000999&amp;originatingDoc=Ie827f2009fe211ecb7ceee74f6b36648&amp;refType=RP&amp;fi=co_pp_sp_999_54&amp;originationContext=document&amp;vr=3.0&amp;rs=cblt1.0&amp;transitionType=DocumentItem&amp;contextData=(sc.Default)#co_pp_sp_999_54"/>
  <Relationship Id="r171"
    Type="http://schemas.openxmlformats.org/officeDocument/2006/relationships/hyperlink"
    TargetMode="External"
    Target="http://www.westlaw.com/Link/Document/FullText?findType=Y&amp;serNum=2054587837&amp;pubNum=0000999&amp;originatingDoc=Ie827f2009fe211ecb7ceee74f6b36648&amp;refType=RP&amp;fi=co_pp_sp_999_54&amp;originationContext=document&amp;vr=3.0&amp;rs=cblt1.0&amp;transitionType=DocumentItem&amp;contextData=(sc.Default)#co_pp_sp_999_54"/>
  <Relationship Id="r172"
    Type="http://schemas.openxmlformats.org/officeDocument/2006/relationships/hyperlink"
    TargetMode="External"
    Target="http://www.westlaw.com/Link/Document/FullText?findType=Y&amp;serNum=2054587837&amp;pubNum=0000999&amp;originatingDoc=Ie827f2009fe211ecb7ceee74f6b36648&amp;refType=RP&amp;fi=co_pp_sp_999_54&amp;originationContext=document&amp;vr=3.0&amp;rs=cblt1.0&amp;transitionType=DocumentItem&amp;contextData=(sc.Default)#co_pp_sp_999_54"/>
  <Relationship Id="r173"
    Type="http://schemas.openxmlformats.org/officeDocument/2006/relationships/hyperlink"
    TargetMode="External"
    Target="http://www.westlaw.com/Link/Document/FullText?findType=Y&amp;serNum=2021845111&amp;pubNum=0000162&amp;originatingDoc=Ie827f2009fe211ecb7ceee74f6b36648&amp;refType=RP&amp;fi=co_pp_sp_162_511&amp;originationContext=document&amp;vr=3.0&amp;rs=cblt1.0&amp;transitionType=DocumentItem&amp;contextData=(sc.Default)#co_pp_sp_162_511"/>
  <Relationship Id="r174"
    Type="http://schemas.openxmlformats.org/officeDocument/2006/relationships/hyperlink"
    TargetMode="External"
    Target="http://www.westlaw.com/Link/Document/FullText?findType=Y&amp;serNum=2024248625&amp;pubNum=0007691&amp;originatingDoc=Ie827f2009fe211ecb7ceee74f6b36648&amp;refType=RP&amp;originationContext=document&amp;vr=3.0&amp;rs=cblt1.0&amp;transitionType=DocumentItem&amp;contextData=(sc.Default)"/>
  <Relationship Id="r175"
    Type="http://schemas.openxmlformats.org/officeDocument/2006/relationships/hyperlink"
    TargetMode="External"
    Target="http://www.westlaw.com/Link/Document/FullText?findType=Y&amp;serNum=1992216658&amp;pubNum=0000999&amp;originatingDoc=Ie827f2009fe211ecb7ceee74f6b36648&amp;refType=RP&amp;fi=co_pp_sp_999_2&amp;originationContext=document&amp;vr=3.0&amp;rs=cblt1.0&amp;transitionType=DocumentItem&amp;contextData=(sc.Default)#co_pp_sp_999_2"/>
  <Relationship Id="r176"
    Type="http://schemas.openxmlformats.org/officeDocument/2006/relationships/hyperlink"
    TargetMode="External"
    Target="http://www.westlaw.com/Link/Document/FullText?findType=Y&amp;serNum=1993220677&amp;pubNum=0000162&amp;originatingDoc=Ie827f2009fe211ecb7ceee74f6b36648&amp;refType=RP&amp;originationContext=document&amp;vr=3.0&amp;rs=cblt1.0&amp;transitionType=DocumentItem&amp;contextData=(sc.Default)"/>
  <Relationship Id="r177"
    Type="http://schemas.openxmlformats.org/officeDocument/2006/relationships/hyperlink"
    TargetMode="External"
    Target="http://www.westlaw.com/Link/Document/FullText?findType=Y&amp;serNum=1990152561&amp;pubNum=0000999&amp;originatingDoc=Ie827f2009fe211ecb7ceee74f6b36648&amp;refType=RP&amp;fi=co_pp_sp_999_27&amp;originationContext=document&amp;vr=3.0&amp;rs=cblt1.0&amp;transitionType=DocumentItem&amp;contextData=(sc.Default)#co_pp_sp_999_27"/>
  <Relationship Id="r178"
    Type="http://schemas.openxmlformats.org/officeDocument/2006/relationships/hyperlink"
    TargetMode="External"
    Target="http://www.westlaw.com/Link/Document/FullText?findType=Y&amp;serNum=2035365298&amp;pubNum=0000999&amp;originatingDoc=Ie827f2009fe211ecb7ceee74f6b36648&amp;refType=RP&amp;fi=co_pp_sp_999_20&amp;originationContext=document&amp;vr=3.0&amp;rs=cblt1.0&amp;transitionType=DocumentItem&amp;contextData=(sc.Default)#co_pp_sp_999_20"/>
  <Relationship Id="r179"
    Type="http://schemas.openxmlformats.org/officeDocument/2006/relationships/hyperlink"
    TargetMode="External"
    Target="http://www.westlaw.com/Link/Document/FullText?findType=Y&amp;serNum=2054587837&amp;pubNum=0000999&amp;originatingDoc=Ie827f2009fe211ecb7ceee74f6b36648&amp;refType=RP&amp;fi=co_pp_sp_999_19&amp;originationContext=document&amp;vr=3.0&amp;rs=cblt1.0&amp;transitionType=DocumentItem&amp;contextData=(sc.Default)#co_pp_sp_999_19"/>
  <Relationship Id="r180"
    Type="http://schemas.openxmlformats.org/officeDocument/2006/relationships/hyperlink"
    TargetMode="External"
    Target="http://www.westlaw.com/Link/Document/FullText?findType=Y&amp;serNum=2054587837&amp;pubNum=0000999&amp;originatingDoc=Ie827f2009fe211ecb7ceee74f6b36648&amp;refType=RP&amp;fi=co_pp_sp_999_58&amp;originationContext=document&amp;vr=3.0&amp;rs=cblt1.0&amp;transitionType=DocumentItem&amp;contextData=(sc.Default)#co_pp_sp_999_58"/>
  <Relationship Id="r181"
    Type="http://schemas.openxmlformats.org/officeDocument/2006/relationships/hyperlink"
    TargetMode="External"
    Target="http://www.westlaw.com/Link/Document/FullText?findType=Y&amp;serNum=2004820248&amp;pubNum=0000999&amp;originatingDoc=Ie827f2009fe211ecb7ceee74f6b36648&amp;refType=RP&amp;fi=co_pp_sp_999_43&amp;originationContext=document&amp;vr=3.0&amp;rs=cblt1.0&amp;transitionType=DocumentItem&amp;contextData=(sc.Default)#co_pp_sp_999_43"/>
  <Relationship Id="r182"
    Type="http://schemas.openxmlformats.org/officeDocument/2006/relationships/hyperlink"
    TargetMode="External"
    Target="http://www.westlaw.com/Link/Document/FullText?findType=Y&amp;serNum=2007139198&amp;pubNum=0000162&amp;originatingDoc=Ie827f2009fe211ecb7ceee74f6b36648&amp;refType=RP&amp;originationContext=document&amp;vr=3.0&amp;rs=cblt1.0&amp;transitionType=DocumentItem&amp;contextData=(sc.Default)"/>
  <Relationship Id="r183"
    Type="http://schemas.openxmlformats.org/officeDocument/2006/relationships/hyperlink"
    TargetMode="External"
    Target="http://www.westlaw.com/Link/Document/FullText?findType=Y&amp;serNum=2031171366&amp;pubNum=0000999&amp;originatingDoc=Ie827f2009fe211ecb7ceee74f6b36648&amp;refType=RP&amp;fi=co_pp_sp_999_5&amp;originationContext=document&amp;vr=3.0&amp;rs=cblt1.0&amp;transitionType=DocumentItem&amp;contextData=(sc.Default)#co_pp_sp_999_5"/>
</Relationships>

</file>

<file path=_rels/footer1.xml.rels><?xml version="1.0" encoding="UTF-8"?>
<Relationships xmlns="http://schemas.openxmlformats.org/package/2006/relationships">
  <Relationship Id="r1"
    Type="http://schemas.openxmlformats.org/officeDocument/2006/relationships/image"
    Target="images/1.png"/>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bookmarkStart w:id="0" w:name="co_document_1"/>
    <w:p>
      <w:pPr>
        <w:pBdr>
          <w:top w:val="none" w:space="4"/>
        </w:pBdr>
        <w:spacing w:before="0" w:after="0" w:line="275" w:lineRule="atLeast"/>
        <w:jc w:val="both"/>
      </w:pPr>
      <w:bookmarkStart w:id="1" w:name="Ie827f2009fe211ecb7ceee74f6b36648_Targe"/>
      <w:bookmarkEnd w:id="1"/>
    </w:p>
    <w:bookmarkEnd w:id="0"/>
    <w:p>
      <w:pPr>
        <w:spacing w:before="0" w:after="0" w:line="275" w:lineRule="atLeast"/>
        <w:jc w:val="center"/>
      </w:pPr>
      <w:r>
        <w:rPr>
          <w:rFonts w:ascii="Georgia" w:hAnsi="Georgia"/>
          <w:color w:val="000000"/>
          <w:sz w:val="20"/>
        </w:rPr>
        <w:t>2022 WL 698112</w:t>
      </w:r>
    </w:p>
    <w:p>
      <w:pPr>
        <w:spacing w:before="0" w:after="0" w:line="275" w:lineRule="atLeast"/>
        <w:jc w:val="center"/>
      </w:pPr>
      <w:r>
        <w:rPr>
          <w:rFonts w:ascii="Georgia" w:hAnsi="Georgia"/>
          <w:color w:val="000000"/>
          <w:sz w:val="20"/>
        </w:rPr>
        <w:t>Only the Westlaw citation is currently available.</w:t>
      </w:r>
    </w:p>
    <w:p>
      <w:pPr>
        <w:spacing w:before="200" w:after="0" w:line="275" w:lineRule="atLeast"/>
        <w:jc w:val="center"/>
      </w:pPr>
      <w:r>
        <w:rPr>
          <w:rFonts w:ascii="Georgia" w:hAnsi="Georgia"/>
          <w:color w:val="000000"/>
          <w:sz w:val="20"/>
        </w:rPr>
        <w:t>UNPUBLISHED OPINION. CHECK COURT RULES BEFORE CITING.</w:t>
      </w:r>
    </w:p>
    <w:p>
      <w:pPr>
        <w:spacing w:before="200" w:after="0" w:line="275" w:lineRule="atLeast"/>
        <w:jc w:val="center"/>
      </w:pPr>
      <w:r>
        <w:rPr>
          <w:rFonts w:ascii="Georgia" w:hAnsi="Georgia"/>
          <w:color w:val="000000"/>
          <w:sz w:val="20"/>
        </w:rPr>
        <w:t>Court of Chancery of Delaware.</w:t>
      </w:r>
    </w:p>
    <w:p>
      <w:pPr>
        <w:spacing w:before="200" w:after="0" w:line="300" w:lineRule="atLeast"/>
        <w:ind w:left="100" w:right="100" w:firstLine="0"/>
        <w:jc w:val="center"/>
      </w:pPr>
      <w:r>
        <w:rPr>
          <w:rFonts w:ascii="Georgia" w:hAnsi="Georgia"/>
          <w:color w:val="252525"/>
          <w:sz w:val="20"/>
        </w:rPr>
        <w:t>IN RE CELLULAR TELEPHONE PARTNERSHIP LITIGATION</w:t>
      </w:r>
    </w:p>
    <w:p>
      <w:pPr>
        <w:pBdr>
          <w:left w:val="none" w:space="8"/>
        </w:pBdr>
        <w:spacing w:before="200" w:after="0" w:line="275" w:lineRule="atLeast"/>
        <w:ind w:left="150" w:right="0" w:firstLine="0"/>
        <w:jc w:val="center"/>
      </w:pPr>
      <w:r>
        <w:rPr>
          <w:rFonts w:ascii="Georgia" w:hAnsi="Georgia"/>
          <w:color w:val="000000"/>
          <w:sz w:val="20"/>
        </w:rPr>
        <w:t>COORDINATED C.A. No. 6885-VCL</w:t>
      </w:r>
    </w:p>
    <w:p>
      <w:pPr>
        <w:pBdr>
          <w:left w:val="none" w:space="8"/>
        </w:pBdr>
        <w:spacing w:before="0" w:after="0" w:line="275" w:lineRule="atLeast"/>
        <w:ind w:left="150" w:right="0" w:firstLine="0"/>
        <w:jc w:val="center"/>
      </w:pPr>
      <w:r>
        <w:rPr>
          <w:rFonts w:ascii="Georgia" w:hAnsi="Georgia"/>
          <w:color w:val="000000"/>
          <w:sz w:val="20"/>
        </w:rPr>
        <w:t>|</w:t>
      </w:r>
    </w:p>
    <w:p>
      <w:pPr>
        <w:pBdr>
          <w:left w:val="none" w:space="8"/>
        </w:pBdr>
        <w:spacing w:before="0" w:after="0" w:line="275" w:lineRule="atLeast"/>
        <w:ind w:left="150" w:right="0" w:firstLine="0"/>
        <w:jc w:val="center"/>
      </w:pPr>
      <w:r>
        <w:rPr>
          <w:rFonts w:ascii="Georgia" w:hAnsi="Georgia"/>
          <w:color w:val="000000"/>
          <w:sz w:val="20"/>
        </w:rPr>
        <w:t>Date Submitted: January 11, 2022</w:t>
      </w:r>
    </w:p>
    <w:p>
      <w:pPr>
        <w:pBdr>
          <w:left w:val="none" w:space="8"/>
        </w:pBdr>
        <w:spacing w:before="0" w:after="0" w:line="275" w:lineRule="atLeast"/>
        <w:ind w:left="150" w:right="0" w:firstLine="0"/>
        <w:jc w:val="center"/>
      </w:pPr>
      <w:r>
        <w:rPr>
          <w:rFonts w:ascii="Georgia" w:hAnsi="Georgia"/>
          <w:color w:val="000000"/>
          <w:sz w:val="20"/>
        </w:rPr>
        <w:t>|</w:t>
      </w:r>
    </w:p>
    <w:p>
      <w:pPr>
        <w:pBdr>
          <w:left w:val="none" w:space="8"/>
        </w:pBdr>
        <w:spacing w:before="0" w:after="0" w:line="275" w:lineRule="atLeast"/>
        <w:ind w:left="150" w:right="0" w:firstLine="0"/>
        <w:jc w:val="center"/>
      </w:pPr>
      <w:r>
        <w:rPr>
          <w:rFonts w:ascii="Georgia" w:hAnsi="Georgia"/>
          <w:color w:val="000000"/>
          <w:sz w:val="20"/>
        </w:rPr>
        <w:t>Date Decided: March 9, 2022</w:t>
      </w:r>
    </w:p>
    <w:p>
      <w:pPr>
        <w:spacing w:before="400" w:after="0" w:line="275" w:lineRule="atLeast"/>
        <w:jc w:val="both"/>
      </w:pPr>
      <w:r>
        <w:rPr>
          <w:rFonts w:ascii="Times New Roman" w:hAnsi="Times New Roman"/>
          <w:color w:val="000000"/>
          <w:sz w:val="20"/>
        </w:rPr>
        <w:t>THIS FILING APPLIES TO COORDINATED CIVIL ACTIONS 6886 AND 6908</w:t>
      </w:r>
    </w:p>
    <w:bookmarkStart w:id="2" w:name="co_attorneysAndLawFirms_1"/>
    <w:p>
      <w:pPr>
        <w:keepNext/>
        <w:keepLines/>
        <w:spacing w:before="200" w:after="0" w:line="275" w:lineRule="atLeast"/>
        <w:jc w:val="both"/>
      </w:pPr>
      <w:r>
        <w:rPr>
          <w:rFonts w:ascii="Times New Roman" w:hAnsi="Times New Roman"/>
          <w:b/>
          <w:color w:val="212121"/>
          <w:sz w:val="20"/>
        </w:rPr>
        <w:t>Attorneys and Law Firms</w:t>
      </w:r>
    </w:p>
    <w:bookmarkEnd w:id="2"/>
    <w:p>
      <w:pPr>
        <w:spacing w:before="200" w:after="0" w:line="275" w:lineRule="atLeast"/>
        <w:jc w:val="both"/>
      </w:pPr>
      <w:hyperlink r:id="r7">
        <w:r>
          <w:rPr>
            <w:rFonts w:ascii="Times New Roman" w:hAnsi="Times New Roman"/>
            <w:color w:val="000000"/>
            <w:sz w:val="20"/>
          </w:rPr>
          <w:t>Carmella P. Keener</w:t>
        </w:r>
      </w:hyperlink>
      <w:r>
        <w:rPr>
          <w:rFonts w:ascii="Times New Roman" w:hAnsi="Times New Roman"/>
          <w:color w:val="000000"/>
          <w:sz w:val="20"/>
        </w:rPr>
        <w:t xml:space="preserve">, COOCH AND TAYLOR, P.A., Wilmington, Delaware; </w:t>
      </w:r>
      <w:hyperlink r:id="r8">
        <w:r>
          <w:rPr>
            <w:rFonts w:ascii="Times New Roman" w:hAnsi="Times New Roman"/>
            <w:color w:val="000000"/>
            <w:sz w:val="20"/>
          </w:rPr>
          <w:t>Marcus E. Montejo</w:t>
        </w:r>
      </w:hyperlink>
      <w:r>
        <w:rPr>
          <w:rFonts w:ascii="Times New Roman" w:hAnsi="Times New Roman"/>
          <w:color w:val="000000"/>
          <w:sz w:val="20"/>
        </w:rPr>
        <w:t xml:space="preserve">, </w:t>
      </w:r>
      <w:hyperlink r:id="r9">
        <w:r>
          <w:rPr>
            <w:rFonts w:ascii="Times New Roman" w:hAnsi="Times New Roman"/>
            <w:color w:val="000000"/>
            <w:sz w:val="20"/>
          </w:rPr>
          <w:t>Kevin H. Davenport</w:t>
        </w:r>
      </w:hyperlink>
      <w:r>
        <w:rPr>
          <w:rFonts w:ascii="Times New Roman" w:hAnsi="Times New Roman"/>
          <w:color w:val="000000"/>
          <w:sz w:val="20"/>
        </w:rPr>
        <w:t xml:space="preserve">, </w:t>
      </w:r>
      <w:hyperlink r:id="r10">
        <w:r>
          <w:rPr>
            <w:rFonts w:ascii="Times New Roman" w:hAnsi="Times New Roman"/>
            <w:color w:val="000000"/>
            <w:sz w:val="20"/>
          </w:rPr>
          <w:t>John G. Day</w:t>
        </w:r>
      </w:hyperlink>
      <w:r>
        <w:rPr>
          <w:rFonts w:ascii="Times New Roman" w:hAnsi="Times New Roman"/>
          <w:color w:val="000000"/>
          <w:sz w:val="20"/>
        </w:rPr>
        <w:t xml:space="preserve">, PRICKETT, JONES &amp; ELLIOTT, P.A., Wilmington, Delaware; </w:t>
      </w:r>
      <w:hyperlink r:id="r11">
        <w:r>
          <w:rPr>
            <w:rFonts w:ascii="Times New Roman" w:hAnsi="Times New Roman"/>
            <w:color w:val="000000"/>
            <w:sz w:val="20"/>
          </w:rPr>
          <w:t>Thomas R. Ajamie</w:t>
        </w:r>
      </w:hyperlink>
      <w:r>
        <w:rPr>
          <w:rFonts w:ascii="Times New Roman" w:hAnsi="Times New Roman"/>
          <w:color w:val="000000"/>
          <w:sz w:val="20"/>
        </w:rPr>
        <w:t xml:space="preserve">, </w:t>
      </w:r>
      <w:hyperlink r:id="r12">
        <w:r>
          <w:rPr>
            <w:rFonts w:ascii="Times New Roman" w:hAnsi="Times New Roman"/>
            <w:color w:val="000000"/>
            <w:sz w:val="20"/>
          </w:rPr>
          <w:t>David S. Siegel</w:t>
        </w:r>
      </w:hyperlink>
      <w:r>
        <w:rPr>
          <w:rFonts w:ascii="Times New Roman" w:hAnsi="Times New Roman"/>
          <w:color w:val="000000"/>
          <w:sz w:val="20"/>
        </w:rPr>
        <w:t xml:space="preserve">, </w:t>
      </w:r>
      <w:hyperlink r:id="r13">
        <w:r>
          <w:rPr>
            <w:rFonts w:ascii="Times New Roman" w:hAnsi="Times New Roman"/>
            <w:color w:val="000000"/>
            <w:sz w:val="20"/>
          </w:rPr>
          <w:t>Ryan van Steenis</w:t>
        </w:r>
      </w:hyperlink>
      <w:r>
        <w:rPr>
          <w:rFonts w:ascii="Times New Roman" w:hAnsi="Times New Roman"/>
          <w:color w:val="000000"/>
          <w:sz w:val="20"/>
        </w:rPr>
        <w:t>, AJAMIE LLP, Houston, Texas; Michael A. Pullara, Houston, Texas; Attorneys for Plaintiffs.</w:t>
      </w:r>
    </w:p>
    <w:p>
      <w:pPr>
        <w:spacing w:before="200" w:after="0" w:line="275" w:lineRule="atLeast"/>
        <w:jc w:val="both"/>
      </w:pPr>
      <w:hyperlink r:id="r14">
        <w:r>
          <w:rPr>
            <w:rFonts w:ascii="Times New Roman" w:hAnsi="Times New Roman"/>
            <w:color w:val="000000"/>
            <w:sz w:val="20"/>
          </w:rPr>
          <w:t>Todd C. Schiltz</w:t>
        </w:r>
      </w:hyperlink>
      <w:r>
        <w:rPr>
          <w:rFonts w:ascii="Times New Roman" w:hAnsi="Times New Roman"/>
          <w:color w:val="000000"/>
          <w:sz w:val="20"/>
        </w:rPr>
        <w:t xml:space="preserve">, FAEGRE DRINKER BIDDLE &amp; REATH LLP, Wilmington, Delaware; </w:t>
      </w:r>
      <w:hyperlink r:id="r15">
        <w:r>
          <w:rPr>
            <w:rFonts w:ascii="Times New Roman" w:hAnsi="Times New Roman"/>
            <w:color w:val="000000"/>
            <w:sz w:val="20"/>
          </w:rPr>
          <w:t>William M. Connolly</w:t>
        </w:r>
      </w:hyperlink>
      <w:r>
        <w:rPr>
          <w:rFonts w:ascii="Times New Roman" w:hAnsi="Times New Roman"/>
          <w:color w:val="000000"/>
          <w:sz w:val="20"/>
        </w:rPr>
        <w:t xml:space="preserve">, FAEGRE DRINKER BIDDLE &amp; REATH LLP, Philadelphia, Pennsylvania; </w:t>
      </w:r>
      <w:hyperlink r:id="r16">
        <w:r>
          <w:rPr>
            <w:rFonts w:ascii="Times New Roman" w:hAnsi="Times New Roman"/>
            <w:color w:val="000000"/>
            <w:sz w:val="20"/>
          </w:rPr>
          <w:t>Zoë K. Wilhelm</w:t>
        </w:r>
      </w:hyperlink>
      <w:r>
        <w:rPr>
          <w:rFonts w:ascii="Times New Roman" w:hAnsi="Times New Roman"/>
          <w:color w:val="000000"/>
          <w:sz w:val="20"/>
        </w:rPr>
        <w:t xml:space="preserve">, FAEGRE DRINKER BIDDLE &amp; REATH LLP, Los Angeles, California; </w:t>
      </w:r>
      <w:hyperlink r:id="r17">
        <w:r>
          <w:rPr>
            <w:rFonts w:ascii="Times New Roman" w:hAnsi="Times New Roman"/>
            <w:color w:val="000000"/>
            <w:sz w:val="20"/>
          </w:rPr>
          <w:t>Maurice L. Brimmage, Jr.</w:t>
        </w:r>
      </w:hyperlink>
      <w:r>
        <w:rPr>
          <w:rFonts w:ascii="Times New Roman" w:hAnsi="Times New Roman"/>
          <w:color w:val="000000"/>
          <w:sz w:val="20"/>
        </w:rPr>
        <w:t xml:space="preserve">, </w:t>
      </w:r>
      <w:hyperlink r:id="r18">
        <w:r>
          <w:rPr>
            <w:rFonts w:ascii="Times New Roman" w:hAnsi="Times New Roman"/>
            <w:color w:val="000000"/>
            <w:sz w:val="20"/>
          </w:rPr>
          <w:t>Laura P. Warrick</w:t>
        </w:r>
      </w:hyperlink>
      <w:r>
        <w:rPr>
          <w:rFonts w:ascii="Times New Roman" w:hAnsi="Times New Roman"/>
          <w:color w:val="000000"/>
          <w:sz w:val="20"/>
        </w:rPr>
        <w:t>, AKIN GUMP STRAUSS HAUER &amp; FELD LLP, Dallas, Texas; Attorneys for Defendants.</w:t>
      </w:r>
    </w:p>
    <w:bookmarkStart w:id="3" w:name="co_opinion_1"/>
    <w:bookmarkStart w:id="4" w:name="co_anchor_I8e4bee52ace211ec8c80dd32e620"/>
    <w:bookmarkStart w:id="5" w:name="co_anchor_I8e72fe51ace211ec8c80dd32e620"/>
    <w:bookmarkStart w:id="6" w:name="co_anchor_I8e72fe51ace211ec8c80dd32e2"/>
    <w:p>
      <w:pPr>
        <w:spacing w:before="800" w:after="0" w:line="275" w:lineRule="atLeast"/>
        <w:jc w:val="center"/>
      </w:pPr>
      <w:r>
        <w:rPr>
          <w:rFonts w:ascii="Times New Roman" w:hAnsi="Times New Roman"/>
          <w:b/>
          <w:color w:val="000000"/>
          <w:sz w:val="20"/>
        </w:rPr>
        <w:t>MEMORANDUM OPINION ADDRESSING CLAIMS FOR BREACH OF FIDUCIARY DUTY IN CONNECTION WITH FREEZE-OUT OF MINORITY PARTNERS IN SALEM CELLULAR TELEPHONE COMPANY</w:t>
      </w:r>
    </w:p>
    <w:bookmarkEnd w:id="6"/>
    <w:bookmarkEnd w:id="5"/>
    <w:bookmarkEnd w:id="4"/>
    <w:bookmarkEnd w:id="3"/>
    <w:p>
      <w:pPr>
        <w:spacing w:before="400" w:after="0" w:line="275" w:lineRule="atLeast"/>
        <w:jc w:val="both"/>
      </w:pPr>
      <w:r>
        <w:rPr>
          <w:rFonts w:ascii="Times New Roman" w:hAnsi="Times New Roman"/>
          <w:color w:val="000000"/>
          <w:sz w:val="20"/>
        </w:rPr>
        <w:t>LASTER, V.C.</w:t>
      </w:r>
    </w:p>
    <w:p>
      <w:pPr>
        <w:spacing w:before="200" w:after="0" w:line="275" w:lineRule="atLeast"/>
        <w:jc w:val="both"/>
      </w:pPr>
      <w:bookmarkStart w:id="7" w:name="co_pp_sp_999_1_1"/>
      <w:r>
        <w:rPr>
          <w:rFonts w:ascii="Times New Roman" w:hAnsi="Times New Roman"/>
          <w:b/>
          <w:color w:val="000000"/>
          <w:sz w:val="20"/>
        </w:rPr>
        <w:t>*1</w:t>
      </w:r>
      <w:bookmarkEnd w:id="7"/>
      <w:r>
        <w:rPr>
          <w:rFonts w:ascii="Times New Roman" w:hAnsi="Times New Roman"/>
          <w:color w:val="000000"/>
          <w:sz w:val="20"/>
        </w:rPr>
        <w:t xml:space="preserve"> Salem Cellular Telephone Company (the “Partnership”) was a Delaware general partnership that held a license to provide cellular telephone services in a geographic area centered around Salem, Oregon. Defendant AT&amp;T Mobility Wireless Operations Holdings LLC (“Holdings”) owned 98.119% of the partner interest in the Partnership. Holdings is an indirect, wholly owned subsidiary of non-party AT&amp;T Inc. Through Holdings and other affiliates, AT&amp;T controlled the Partnership, directed its business and affairs, and managed its day-to-day operations.</w:t>
      </w:r>
      <w:bookmarkStart w:id="8" w:name="co_fnRef_B00012055700832_ID0ESCAC_1"/>
      <w:hyperlink w:anchor="co_footnote_B00012055700832_1">
        <w:r>
          <w:rPr>
            <w:rFonts w:ascii="Times New Roman" w:hAnsi="Times New Roman"/>
            <w:color w:val="000000"/>
            <w:sz w:val="16"/>
            <w:vertAlign w:val="superscript"/>
          </w:rPr>
          <w:t>1</w:t>
        </w:r>
      </w:hyperlink>
      <w:bookmarkEnd w:id="8"/>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In October 2010, AT&amp;T caused the Partnership to transfer all of its assets and liabilities to defendant New Salem Cellular Telephone Company LLC (“New Salem”), a recently formed affiliate of AT&amp;T. As consideration, AT&amp;T paid the Partnership $219 million in cash, reflecting the value of the Partnership as determined by a valuation firm retained by AT&amp;T. The Partnership dissolved after the transaction, and AT&amp;T sent each partner a payment equal to their pro rata share of the liquidating distribution. After the transaction, AT&amp;T continued to operate the business of the former Partnership. The transaction thus functioned as a freeze-out of the minority partners (the “Freeze-Out”).</w:t>
      </w:r>
      <w:bookmarkStart w:id="9" w:name="co_fnRef_B00022055700832_ID0E3EAC_1"/>
      <w:hyperlink w:anchor="co_footnote_B00022055700832_1">
        <w:r>
          <w:rPr>
            <w:rFonts w:ascii="Times New Roman" w:hAnsi="Times New Roman"/>
            <w:color w:val="000000"/>
            <w:sz w:val="16"/>
            <w:vertAlign w:val="superscript"/>
          </w:rPr>
          <w:t>2</w:t>
        </w:r>
      </w:hyperlink>
      <w:bookmarkEnd w:id="9"/>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0" w:name="co_pp_sp_999_2_1"/>
      <w:r>
        <w:rPr>
          <w:rFonts w:ascii="Times New Roman" w:hAnsi="Times New Roman"/>
          <w:b/>
          <w:color w:val="000000"/>
          <w:sz w:val="20"/>
        </w:rPr>
        <w:t>*2</w:t>
      </w:r>
      <w:bookmarkEnd w:id="10"/>
      <w:r>
        <w:rPr>
          <w:rFonts w:ascii="Times New Roman" w:hAnsi="Times New Roman"/>
          <w:color w:val="000000"/>
          <w:sz w:val="20"/>
        </w:rPr>
        <w:t xml:space="preserve"> The plaintiffs were minority partners who collectively owned a 1.881% minority interest in the Partnership. At the price AT&amp;T paid in the Freeze-Out, they collectively received approximately $4.1 million for their interest.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plaintiffs assert that AT&amp;T breached its fiduciary duties by effectuating the Freeze-Out through an unfair process and by paying an unfair price. The parties agree that the Freeze-Out is subject to the entire fairness standard of review. As a result, AT&amp;T bore the burden of proving that when considered holistically, the Freeze-Out was entirely fair to the minority partners.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 failed to prove that the Freeze-Out was entirely fair. For starters, AT&amp;T failed to prove that it followed a fair process. AT&amp;T correctly anticipated that over the next decade, an explosion in data usage would lead to profitable new businesses and products, causing the value of the Partnership to increase significantly and enabling the Partnership to pay higher distributions. By acquiring the minority partners’ interests, AT&amp;T sought to capture that value for itself. </w:t>
      </w:r>
      <w:r>
        <w:rPr>
          <w:rFonts w:ascii="Times New Roman" w:hAnsi="Times New Roman"/>
          <w:color w:val="000000"/>
          <w:sz w:val="20"/>
        </w:rPr>
        <w:t>AT&amp;T did not employ any procedural protections to ensure fairness to the minority partners; AT&amp;T simply hired an outside valuation firm. Although AT&amp;T claimed that the firm was independent, the record shows that the lead partner had a longstanding relationship with AT&amp;T and that internal AT&amp;T personnel influenced the outcome of the valuation. AT&amp;T thus failed to prove that it dealt fairly with the minority partners.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 also failed to prove that it paid a fair price. During this litigation, rather than relying on the work of the valuation firm it chose, AT&amp;T brought in a litigation expert who conducted her own analyses. Neither the original valuation firm nor AT&amp;T's litigation expert used persuasive valuation methodologies.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 therefore breached its duty of loyalty by engaging in an unfair and self-interested transaction at the minority partners’ expense. As a remedy, this decision awards the plaintiffs damages equal to the difference between the consideration they received and a pro rata share of the fair value of the Partnership as determined by the court. Because its fair value determination is being used for the purpose of remedying a proven breach of the duty of loyalty, the court has sought to achieve a remedy that eliminates to the extent possible the ability of AT&amp;T to profit from its breach. On close issues, the court has given the plaintiffs the benefit of the doubt, resulting in a valuation that favors the plaintiffs.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This decision holds that the fair value of the Partnership for purposes of the remedial award was $714 million. The plaintiffs’ pro rata share of the fair value of the Partnership was $13.4 million. Subtracting the consideration that the plaintiffs received in the Freeze-Out results in a damages award of $9,311,965. The plaintiffs are entitled to that amount, plus pre- and post-judgment interest at the legal rate, compounded monthly, from the date of the Freeze-Out until the date of payment.</w:t>
      </w:r>
    </w:p>
    <w:p>
      <w:pPr>
        <w:spacing w:before="0" w:after="0" w:line="275" w:lineRule="atLeast"/>
        <w:jc w:val="both"/>
      </w:pPr>
      <w:r>
        <w:rPr>
          <w:rFonts w:ascii="Times New Roman" w:hAnsi="Times New Roman"/>
          <w:color w:val="000000"/>
          <w:sz w:val="20"/>
        </w:rPr>
        <w:t> </w:t>
      </w:r>
    </w:p>
    <w:bookmarkStart w:id="11" w:name="co_anchor_I8e7918d1ace211ec8c80dd32e620"/>
    <w:p>
      <w:pPr>
        <w:spacing w:before="400" w:after="0" w:line="275" w:lineRule="atLeast"/>
        <w:jc w:val="center"/>
      </w:pPr>
      <w:r>
        <w:rPr>
          <w:rFonts w:ascii="Times New Roman" w:hAnsi="Times New Roman"/>
          <w:b/>
          <w:color w:val="000000"/>
          <w:sz w:val="20"/>
        </w:rPr>
        <w:t>I. FACTUAL BACKGROUND</w:t>
      </w:r>
    </w:p>
    <w:bookmarkEnd w:id="11"/>
    <w:p>
      <w:pPr>
        <w:spacing w:before="200" w:after="0" w:line="275" w:lineRule="atLeast"/>
        <w:jc w:val="both"/>
      </w:pPr>
      <w:r>
        <w:rPr>
          <w:rFonts w:ascii="Times New Roman" w:hAnsi="Times New Roman"/>
          <w:color w:val="000000"/>
          <w:sz w:val="20"/>
        </w:rPr>
        <w:t>Trial took place over five days. The parties introduced 3,187 exhibits, including thirty-nine deposition transcripts. Four fact witnesses—all present or former AT&amp;T executives—and three experts testified live. The following factual findings represent the court's effort to distill this record.</w:t>
      </w:r>
      <w:bookmarkStart w:id="12" w:name="co_fnRef_B00032055700832_ID0ENLAC_1"/>
      <w:hyperlink w:anchor="co_footnote_B00032055700832_1">
        <w:r>
          <w:rPr>
            <w:rFonts w:ascii="Times New Roman" w:hAnsi="Times New Roman"/>
            <w:color w:val="000000"/>
            <w:sz w:val="16"/>
            <w:vertAlign w:val="superscript"/>
          </w:rPr>
          <w:t>3</w:t>
        </w:r>
      </w:hyperlink>
      <w:bookmarkEnd w:id="12"/>
    </w:p>
    <w:p>
      <w:pPr>
        <w:spacing w:before="0" w:after="0" w:line="275" w:lineRule="atLeast"/>
        <w:jc w:val="both"/>
      </w:pPr>
      <w:r>
        <w:rPr>
          <w:rFonts w:ascii="Times New Roman" w:hAnsi="Times New Roman"/>
          <w:color w:val="000000"/>
          <w:sz w:val="20"/>
        </w:rPr>
        <w:t> </w:t>
      </w:r>
    </w:p>
    <w:bookmarkStart w:id="13" w:name="co_anchor_I8e7b14a1ace211ec8c80dd32e620"/>
    <w:bookmarkStart w:id="14" w:name="co_anchor_I8e7b14a1ace211ec8c80dd32e2"/>
    <w:p>
      <w:pPr>
        <w:spacing w:before="400" w:after="0" w:line="275" w:lineRule="atLeast"/>
      </w:pPr>
      <w:r>
        <w:rPr>
          <w:rFonts w:ascii="Times New Roman" w:hAnsi="Times New Roman"/>
          <w:b/>
          <w:color w:val="000000"/>
          <w:sz w:val="20"/>
        </w:rPr>
        <w:t>A. The Formation Of The Partnership</w:t>
      </w:r>
    </w:p>
    <w:bookmarkEnd w:id="14"/>
    <w:bookmarkEnd w:id="13"/>
    <w:p>
      <w:pPr>
        <w:spacing w:before="0" w:after="0" w:line="275" w:lineRule="atLeast"/>
        <w:jc w:val="both"/>
      </w:pPr>
      <w:bookmarkStart w:id="15" w:name="co_pp_sp_999_3_1"/>
      <w:r>
        <w:rPr>
          <w:rFonts w:ascii="Times New Roman" w:hAnsi="Times New Roman"/>
          <w:b/>
          <w:color w:val="000000"/>
          <w:sz w:val="20"/>
        </w:rPr>
        <w:t>*3</w:t>
      </w:r>
      <w:bookmarkEnd w:id="15"/>
      <w:r>
        <w:rPr>
          <w:rFonts w:ascii="Times New Roman" w:hAnsi="Times New Roman"/>
          <w:color w:val="000000"/>
          <w:sz w:val="20"/>
        </w:rPr>
        <w:t xml:space="preserve"> During the 1980s, the Federal Communications Commission (the “FCC”) conducted lotteries to award the rights to construct cellular telephone networks in particular geographic areas. If the lottery winner built out the network and complied with other regulatory requirements, then the FCC granted the lottery winner a license to provide cellular telephone service in that area. The legacy wireline carrier received a separate license and was not permitted to participate in the lottery.</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One of those geographic areas was centered around Salem, Oregon (the “Salem Market”). To increase their odds of winning, some of the lottery participants entered into an arrangement similar to an office pool: If one of them won, then the winner would contribute its rights to a partnership and receive a 50.01% interest in the partnership. The other members of the pool would receive shares of the remaining 49.99% interest.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One of the group members won the lottery for the Salem Market. The winning member sold her rights to a predecessor of AT&amp;T. In 1988, AT&amp;T and the other members of the pool formed the Partnership and executed a partnership agreement to govern its affairs. JX 15 (the “Partnership Agreement” or “PA”).</w:t>
      </w:r>
      <w:r>
        <w:rPr>
          <w:rFonts w:ascii="Times New Roman" w:hAnsi="Times New Roman"/>
          <w:color w:val="000000"/>
          <w:sz w:val="20"/>
        </w:rPr>
        <w:t xml:space="preserve"> As the party contributing the rights to build, maintain, and operate the network, AT&amp;T received a 50.01% interest in the Partnership. Over 110 members of the group shared the minority interest, with each member initially receiving a 0.3424% interest in the Partnership. </w:t>
      </w:r>
      <w:r>
        <w:rPr>
          <w:rFonts w:ascii="Times New Roman" w:hAnsi="Times New Roman"/>
          <w:i/>
          <w:color w:val="000000"/>
          <w:sz w:val="20"/>
        </w:rPr>
        <w:t>See id.</w:t>
      </w:r>
      <w:r>
        <w:rPr>
          <w:rFonts w:ascii="Times New Roman" w:hAnsi="Times New Roman"/>
          <w:color w:val="000000"/>
          <w:sz w:val="20"/>
        </w:rPr>
        <w:t xml:space="preserve"> at ’431–33.</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From the outset, AT&amp;T controlled the Partnership. First, AT&amp;T controlled the Partnership at the partner level. The Partnership Agreement generally authorized the partners to take action by majority vote. </w:t>
      </w:r>
      <w:r>
        <w:rPr>
          <w:rFonts w:ascii="Times New Roman" w:hAnsi="Times New Roman"/>
          <w:i/>
          <w:color w:val="000000"/>
          <w:sz w:val="20"/>
        </w:rPr>
        <w:t>Id.</w:t>
      </w:r>
      <w:r>
        <w:rPr>
          <w:rFonts w:ascii="Times New Roman" w:hAnsi="Times New Roman"/>
          <w:color w:val="000000"/>
          <w:sz w:val="20"/>
        </w:rPr>
        <w:t xml:space="preserve"> § 4.1. As the holder of a majority interest, AT&amp;T controlled the outcome of any partner-level vote.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Second, AT&amp;T controlled the Partnership's governing body. The Partnership Agreement delegated “complete and exclusive power to conduct the business affairs of the Partnership” to a three-member Executive Committee, with two representatives appointed by the majority partner and one by the minority partners. </w:t>
      </w:r>
      <w:r>
        <w:rPr>
          <w:rFonts w:ascii="Times New Roman" w:hAnsi="Times New Roman"/>
          <w:i/>
          <w:color w:val="000000"/>
          <w:sz w:val="20"/>
        </w:rPr>
        <w:t>Id.</w:t>
      </w:r>
      <w:r>
        <w:rPr>
          <w:rFonts w:ascii="Times New Roman" w:hAnsi="Times New Roman"/>
          <w:color w:val="000000"/>
          <w:sz w:val="20"/>
        </w:rPr>
        <w:t xml:space="preserve"> § 4.3. As the majority partner, AT&amp;T appointed two representatives.</w:t>
      </w:r>
      <w:bookmarkStart w:id="16" w:name="co_fnRef_B00042055700832_ID0EWBAE_1"/>
      <w:hyperlink w:anchor="co_footnote_B00042055700832_1">
        <w:r>
          <w:rPr>
            <w:rFonts w:ascii="Times New Roman" w:hAnsi="Times New Roman"/>
            <w:color w:val="000000"/>
            <w:sz w:val="16"/>
            <w:vertAlign w:val="superscript"/>
          </w:rPr>
          <w:t>4</w:t>
        </w:r>
      </w:hyperlink>
      <w:bookmarkEnd w:id="16"/>
      <w:r>
        <w:rPr>
          <w:rFonts w:ascii="Times New Roman" w:hAnsi="Times New Roman"/>
          <w:color w:val="000000"/>
          <w:sz w:val="20"/>
        </w:rPr>
        <w:t xml:space="preserve"> And because the Partnership Agreement authorized the Executive Committee to act by majority vote, AT&amp;T's representatives could dictate the outcome of any vote.</w:t>
      </w:r>
      <w:bookmarkStart w:id="17" w:name="co_fnRef_B00052055700832_ID0EACAE_1"/>
      <w:hyperlink w:anchor="co_footnote_B00052055700832_1">
        <w:r>
          <w:rPr>
            <w:rFonts w:ascii="Times New Roman" w:hAnsi="Times New Roman"/>
            <w:color w:val="000000"/>
            <w:sz w:val="16"/>
            <w:vertAlign w:val="superscript"/>
          </w:rPr>
          <w:t>5</w:t>
        </w:r>
      </w:hyperlink>
      <w:bookmarkEnd w:id="17"/>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Third, AT&amp;T controlled the Partnership's day-to-day operations. The Partnership did not have its own officers or employees. The Partnership did not even have its own bank account. AT&amp;T employees performed all of the tasks that the Partnership needed to accomplish. </w:t>
      </w:r>
      <w:r>
        <w:rPr>
          <w:rFonts w:ascii="Times New Roman" w:hAnsi="Times New Roman"/>
          <w:i/>
          <w:color w:val="000000"/>
          <w:sz w:val="20"/>
        </w:rPr>
        <w:t>See</w:t>
      </w:r>
      <w:r>
        <w:rPr>
          <w:rFonts w:ascii="Times New Roman" w:hAnsi="Times New Roman"/>
          <w:color w:val="000000"/>
          <w:sz w:val="20"/>
        </w:rPr>
        <w:t xml:space="preserve"> Wages Tr. 125, 134.</w:t>
      </w:r>
    </w:p>
    <w:p>
      <w:pPr>
        <w:spacing w:before="0" w:after="0" w:line="275" w:lineRule="atLeast"/>
        <w:jc w:val="both"/>
      </w:pPr>
      <w:r>
        <w:rPr>
          <w:rFonts w:ascii="Times New Roman" w:hAnsi="Times New Roman"/>
          <w:color w:val="000000"/>
          <w:sz w:val="20"/>
        </w:rPr>
        <w:t> </w:t>
      </w:r>
    </w:p>
    <w:bookmarkStart w:id="18" w:name="co_anchor_I8e7fa881ace211ec8c80dd32e620"/>
    <w:bookmarkStart w:id="19" w:name="co_anchor_I8e7fa881ace211ec8c80dd32e2"/>
    <w:p>
      <w:pPr>
        <w:spacing w:before="400" w:after="0" w:line="275" w:lineRule="atLeast"/>
      </w:pPr>
      <w:r>
        <w:rPr>
          <w:rFonts w:ascii="Times New Roman" w:hAnsi="Times New Roman"/>
          <w:b/>
          <w:color w:val="000000"/>
          <w:sz w:val="20"/>
        </w:rPr>
        <w:t>B. The Subscriber-Based Business Model</w:t>
      </w:r>
    </w:p>
    <w:bookmarkEnd w:id="19"/>
    <w:bookmarkEnd w:id="18"/>
    <w:p>
      <w:pPr>
        <w:spacing w:before="0" w:after="0" w:line="275" w:lineRule="atLeast"/>
        <w:jc w:val="both"/>
      </w:pPr>
      <w:bookmarkStart w:id="20" w:name="co_pp_sp_999_4_1"/>
      <w:r>
        <w:rPr>
          <w:rFonts w:ascii="Times New Roman" w:hAnsi="Times New Roman"/>
          <w:b/>
          <w:color w:val="000000"/>
          <w:sz w:val="20"/>
        </w:rPr>
        <w:t>*4</w:t>
      </w:r>
      <w:bookmarkEnd w:id="20"/>
      <w:r>
        <w:rPr>
          <w:rFonts w:ascii="Times New Roman" w:hAnsi="Times New Roman"/>
          <w:color w:val="000000"/>
          <w:sz w:val="20"/>
        </w:rPr>
        <w:t xml:space="preserve"> From the early days of the cellular industry until the mid-2000s, wireless carriers pursued a relatively stable business model that depended on “postpaid” wireless voice plans. Postpaid subscribers entered into long-term contracts (typically one or two years) and paid fees based on their monthly usage. AT&amp;T employed this business model, and the Partnership's primary revenue stream consisted of fees paid by postpaid subscribers that AT&amp;T allocated to the Partnership.</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Wireless carriers tracked subscribers and their usage using a system known as “NPA-NXX,” a shorthand term for the area code and next three digits of the subscriber's phone number.</w:t>
      </w:r>
      <w:bookmarkStart w:id="21" w:name="co_fnRef_B00062055700832_ID0EAHAE_1"/>
      <w:hyperlink w:anchor="co_footnote_B00062055700832_1">
        <w:r>
          <w:rPr>
            <w:rFonts w:ascii="Times New Roman" w:hAnsi="Times New Roman"/>
            <w:color w:val="000000"/>
            <w:sz w:val="16"/>
            <w:vertAlign w:val="superscript"/>
          </w:rPr>
          <w:t>6</w:t>
        </w:r>
      </w:hyperlink>
      <w:bookmarkEnd w:id="21"/>
      <w:r>
        <w:rPr>
          <w:rFonts w:ascii="Times New Roman" w:hAnsi="Times New Roman"/>
          <w:color w:val="000000"/>
          <w:sz w:val="20"/>
        </w:rPr>
        <w:t xml:space="preserve"> For example, in the phone number (999)-555-1234, the NPA-NXX is 999-555. The last four digits produce a block of 10,000 phone numbers, ranging from 0000 to 9999, associated with that particular NPA-NXX.</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Wireless carriers assigned particular NPA-NXX blocks to their market-level entities based on geography. Within its accounting system, AT&amp;T assigned company codes to its blocks of NPA-NXX numbers. AT&amp;T then used the codes to attribute revenue and expense to particular market-level entities, such as the Partnership.</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To assign the proper NPA-NXX number to a new subscriber, AT&amp;T asked the subscriber to identify the phone's primary place of use. An AT&amp;T employee then assigned the subscriber an NPA-NXX number based on the subscriber's reported primary place of use. If the subscriber identified a primary place of use that corresponded to the area covered by the Partnership, then the customer received an NPA-NXX number assigned to the Partnership and was treated thereafter as a subscriber of the Partnership.</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By assigning NPA-NXX numbers based on primary place of use and allocating revenue and expense to the market unit corresponding to the NPA-NXX number, AT&amp;T sought to connect portions of its network with the revenue and expense those portions generated. The system broke down if a customer moved to a new market, because AT&amp;T had no mechanism for assigning the existing NPA-NXX number to the new market. </w:t>
      </w:r>
      <w:r>
        <w:rPr>
          <w:rFonts w:ascii="Times New Roman" w:hAnsi="Times New Roman"/>
          <w:color w:val="000000"/>
          <w:sz w:val="20"/>
        </w:rPr>
        <w:t>Instead, the customer's usage continued to be attributed to the original market. In other words, if a customer with a number assigned to the Partnership moved from Salem, Oregon, to Salem, Massachusetts, then the customer's revenue and expense would continue to be attributed to the Partnership.</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Until the mid-aughts, that major defect was not a significant problem, because other aspects of the wireless business model resulted in an NPA-NXX number acting as a strong proxy for primary place of use. During that era, if a subscriber used her cellular phone outside of her local market, then the carrier charged the subscriber for “roaming.”</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Competing carriers entered into agreements that permitted their subscribers to roam on their competitors’ networks. As a result, there were two types of roaming. Intra-company or intra-carrier roaming referred to a customer who used her phone outside of her home area, but still used her provider's network. Inter-company or inter-carrier roaming referred to a customer who used her phone outside of her home area, but used a different carrier's network.</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Regardless of type, roaming was expensive. Due to the high cost of roaming, a customer who relocated outside of her home area had a strong financial incentive to obtain a new NPA-NXX number. Moreover, until the advent of number portability in 2004, any subscriber who changed carriers was treated as a new subscriber and received a new NPA-NXX number. A customer's NPA-NXX number therefore correlated strongly with the customer's primary place of use, and customers holding NPA-NXX numbers associated with the Partnership were highly likely to be primarily using the Partnership's portion of AT&amp;T's network.</w:t>
      </w:r>
      <w:bookmarkStart w:id="22" w:name="co_fnRef_B00072055700832_ID0EVKAE_1"/>
      <w:hyperlink w:anchor="co_footnote_B00072055700832_1">
        <w:r>
          <w:rPr>
            <w:rFonts w:ascii="Times New Roman" w:hAnsi="Times New Roman"/>
            <w:color w:val="000000"/>
            <w:sz w:val="16"/>
            <w:vertAlign w:val="superscript"/>
          </w:rPr>
          <w:t>7</w:t>
        </w:r>
      </w:hyperlink>
      <w:bookmarkEnd w:id="22"/>
    </w:p>
    <w:p>
      <w:pPr>
        <w:spacing w:before="0" w:after="0" w:line="275" w:lineRule="atLeast"/>
        <w:jc w:val="both"/>
      </w:pPr>
      <w:r>
        <w:rPr>
          <w:rFonts w:ascii="Times New Roman" w:hAnsi="Times New Roman"/>
          <w:color w:val="000000"/>
          <w:sz w:val="20"/>
        </w:rPr>
        <w:t> </w:t>
      </w:r>
    </w:p>
    <w:bookmarkStart w:id="23" w:name="co_anchor_I8e83ee41ace211ec8c80dd32e620"/>
    <w:bookmarkStart w:id="24" w:name="co_anchor_I8e83ee41ace211ec8c80dd32e2"/>
    <w:p>
      <w:pPr>
        <w:spacing w:before="400" w:after="0" w:line="275" w:lineRule="atLeast"/>
      </w:pPr>
      <w:r>
        <w:rPr>
          <w:rFonts w:ascii="Times New Roman" w:hAnsi="Times New Roman"/>
          <w:b/>
          <w:color w:val="000000"/>
          <w:sz w:val="20"/>
        </w:rPr>
        <w:t>C. The Advent Of Nationwide Plans And Number Portability</w:t>
      </w:r>
    </w:p>
    <w:bookmarkEnd w:id="24"/>
    <w:bookmarkEnd w:id="23"/>
    <w:p>
      <w:pPr>
        <w:spacing w:before="0" w:after="0" w:line="275" w:lineRule="atLeast"/>
        <w:jc w:val="both"/>
      </w:pPr>
      <w:bookmarkStart w:id="25" w:name="co_pp_sp_999_5_1"/>
      <w:r>
        <w:rPr>
          <w:rFonts w:ascii="Times New Roman" w:hAnsi="Times New Roman"/>
          <w:b/>
          <w:color w:val="000000"/>
          <w:sz w:val="20"/>
        </w:rPr>
        <w:t>*5</w:t>
      </w:r>
      <w:bookmarkEnd w:id="25"/>
      <w:r>
        <w:rPr>
          <w:rFonts w:ascii="Times New Roman" w:hAnsi="Times New Roman"/>
          <w:color w:val="000000"/>
          <w:sz w:val="20"/>
        </w:rPr>
        <w:t xml:space="preserve"> The basic cellular business model remained relatively stable until late 2003. Two developments brought the stable period to an end: nationwide plans and number portability.</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As the cellular industry grew, competition among carriers increased. One consequence was a shift to nationwide plans that eliminated roaming fees. Those plans in turn removed the financial incentive for a customer to obtain a new NPA-NXX number after relocating. Instead, there was a natural disincentive for a customer to avoid that hassle. As more subscribers moved while keeping their original numbers, the linkage between NPA-NXX and principal place of use became less reliable.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other major development was number portability. That concept refers to a subscriber's ability to keep the same phone number when switching carriers. Before the advent of number portability, a subscriber who switched wireless carriers had to obtain a new NPA-NXX number based on primary place of use, so the need to change numbers helped keep the NPA-NXX numbers current.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In the Telecommunications Act of 1996, Congress mandated that cellular carriers take steps to enable number portability by 2004. Beginning in 2004, a subscriber no longer had to receive a new NPA-NXX number when changing carriers.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combination of nationwide plans and number portability undermined the association between NPA-NXX and primary place of use. By the time of the Freeze-Out, the NPA-NXX system had become so unreliable that AT&amp;T could not provide basic information about its subscribers or the Partnership's:</w:t>
      </w:r>
    </w:p>
    <w:p>
      <w:pPr>
        <w:spacing w:before="200" w:after="0" w:line="275" w:lineRule="atLeast"/>
        <w:ind w:left="200" w:right="0" w:hanging="200"/>
        <w:jc w:val="both"/>
      </w:pPr>
      <w:r>
        <w:rPr>
          <w:rFonts w:ascii="Times New Roman" w:hAnsi="Times New Roman"/>
          <w:color w:val="000000"/>
          <w:sz w:val="20"/>
        </w:rPr>
        <w:t>• AT&amp;T did not know the number of AT&amp;T subscribers who resided in the Partnership's service area but used a non-Partnership NPA-NXX number.</w:t>
      </w:r>
    </w:p>
    <w:p>
      <w:pPr>
        <w:spacing w:before="200" w:after="0" w:line="275" w:lineRule="atLeast"/>
        <w:ind w:left="200" w:right="0" w:hanging="200"/>
        <w:jc w:val="both"/>
      </w:pPr>
      <w:r>
        <w:rPr>
          <w:rFonts w:ascii="Times New Roman" w:hAnsi="Times New Roman"/>
          <w:color w:val="000000"/>
          <w:sz w:val="20"/>
        </w:rPr>
        <w:t>• AT&amp;T did not know the number of AT&amp;T subscribers who resided in a non-Partnership service area and used an NPA-NXX number assigned to the Partnership.</w:t>
      </w:r>
    </w:p>
    <w:p>
      <w:pPr>
        <w:spacing w:before="200" w:after="0" w:line="275" w:lineRule="atLeast"/>
        <w:ind w:left="200" w:right="0" w:hanging="200"/>
        <w:jc w:val="both"/>
      </w:pPr>
      <w:r>
        <w:rPr>
          <w:rFonts w:ascii="Times New Roman" w:hAnsi="Times New Roman"/>
          <w:color w:val="000000"/>
          <w:sz w:val="20"/>
        </w:rPr>
        <w:t>• AT&amp;T did not know the number of AT&amp;T subscribers who moved to the Partnership's service area, changed their billing address and primary place of use to an address in the Partnership's service area, yet continued to use a non-Partnership NPA-NXX number.</w:t>
      </w:r>
    </w:p>
    <w:p>
      <w:pPr>
        <w:spacing w:before="200" w:after="0" w:line="275" w:lineRule="atLeast"/>
        <w:ind w:left="200" w:right="0" w:hanging="200"/>
        <w:jc w:val="both"/>
      </w:pPr>
      <w:r>
        <w:rPr>
          <w:rFonts w:ascii="Times New Roman" w:hAnsi="Times New Roman"/>
          <w:color w:val="000000"/>
          <w:sz w:val="20"/>
        </w:rPr>
        <w:t>• AT&amp;T did not know the percentage of AT&amp;T subscribers nationwide who resided in AT&amp;T service areas different from the one that issued their NPA-NXX number.</w:t>
      </w:r>
    </w:p>
    <w:p>
      <w:pPr>
        <w:spacing w:before="200" w:after="0" w:line="275" w:lineRule="atLeast"/>
        <w:jc w:val="both"/>
      </w:pPr>
      <w:r>
        <w:rPr>
          <w:rFonts w:ascii="Times New Roman" w:hAnsi="Times New Roman"/>
          <w:color w:val="000000"/>
          <w:sz w:val="20"/>
        </w:rPr>
        <w:t>Wages Tr. 364–66.</w:t>
      </w:r>
    </w:p>
    <w:p>
      <w:pPr>
        <w:spacing w:before="0" w:after="0" w:line="275" w:lineRule="atLeast"/>
        <w:jc w:val="both"/>
      </w:pPr>
      <w:r>
        <w:rPr>
          <w:rFonts w:ascii="Times New Roman" w:hAnsi="Times New Roman"/>
          <w:color w:val="000000"/>
          <w:sz w:val="20"/>
        </w:rPr>
        <w:t> </w:t>
      </w:r>
    </w:p>
    <w:bookmarkStart w:id="26" w:name="co_anchor_I8e868651ace211ec8c80dd32e620"/>
    <w:bookmarkStart w:id="27" w:name="co_anchor_I8e868651ace211ec8c80dd32e2"/>
    <w:p>
      <w:pPr>
        <w:spacing w:before="400" w:after="0" w:line="275" w:lineRule="atLeast"/>
      </w:pPr>
      <w:r>
        <w:rPr>
          <w:rFonts w:ascii="Times New Roman" w:hAnsi="Times New Roman"/>
          <w:b/>
          <w:color w:val="000000"/>
          <w:sz w:val="20"/>
        </w:rPr>
        <w:t>D. The Management Agreement</w:t>
      </w:r>
    </w:p>
    <w:bookmarkEnd w:id="27"/>
    <w:bookmarkEnd w:id="26"/>
    <w:p>
      <w:pPr>
        <w:spacing w:before="0" w:after="0" w:line="275" w:lineRule="atLeast"/>
        <w:jc w:val="both"/>
      </w:pPr>
      <w:r>
        <w:rPr>
          <w:rFonts w:ascii="Times New Roman" w:hAnsi="Times New Roman"/>
          <w:color w:val="000000"/>
          <w:sz w:val="20"/>
        </w:rPr>
        <w:t>In 2005, in response to the developments affecting the cellular industry, AT&amp;T caused the Partnership to enter into a Management and Network Sharing Agreement. JX 217 (the “Management Agreement” or “MNSA”). The terms of the Management Agreement specified how AT&amp;T would operate the Partnership as part of its national cellular business.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Despite having written the Management Agreement, AT&amp;T pervasively disregarded it. </w:t>
      </w:r>
      <w:r>
        <w:rPr>
          <w:rFonts w:ascii="Times New Roman" w:hAnsi="Times New Roman"/>
          <w:i/>
          <w:color w:val="000000"/>
          <w:sz w:val="20"/>
        </w:rPr>
        <w:t>See Salem Contract Decision</w:t>
      </w:r>
      <w:r>
        <w:rPr>
          <w:rFonts w:ascii="Times New Roman" w:hAnsi="Times New Roman"/>
          <w:color w:val="000000"/>
          <w:sz w:val="20"/>
        </w:rPr>
        <w:t xml:space="preserve">, </w:t>
      </w:r>
      <w:hyperlink r:id="r19">
        <w:r>
          <w:rPr>
            <w:rFonts w:ascii="Times New Roman" w:hAnsi="Times New Roman"/>
            <w:color w:val="000000"/>
            <w:sz w:val="20"/>
          </w:rPr>
          <w:t>2021 WL 4438046, at *19–24</w:t>
        </w:r>
      </w:hyperlink>
      <w:r>
        <w:rPr>
          <w:rFonts w:ascii="Times New Roman" w:hAnsi="Times New Roman"/>
          <w:color w:val="000000"/>
          <w:sz w:val="20"/>
        </w:rPr>
        <w:t>. Instead of using the metrics specified in the Management Agreement to allocate revenue and expense to the Partnership, AT&amp;T's accountants allocated revenue and expense using their own judgment about what would be “fair and reasonable.” Wages 2020 Dep. 189–90.</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Most notably for valuation purposes, AT&amp;T disregarded the Management Agreement's allocation methodology for “Shared Revenues,” defined as “the aggregate revenue generated by Subscribers of [the Partnership's] Business and [AT&amp;T's] Business utilizing [the Partnership's] System and [AT&amp;T's] System, and any other applicable revenues generated by utilization of the Entire Network, but excluding Outcollect Roaming Revenues.” MNSA at ’751. In the Management Agreement, AT&amp;T agreed to aggregate Shared Revenues and allocate a portion of the resulting revenue to the Partnership based on the proportion of “Traffic” carried by the Partnership's system. </w:t>
      </w:r>
      <w:r>
        <w:rPr>
          <w:rFonts w:ascii="Times New Roman" w:hAnsi="Times New Roman"/>
          <w:i/>
          <w:color w:val="000000"/>
          <w:sz w:val="20"/>
        </w:rPr>
        <w:t>See id.</w:t>
      </w:r>
      <w:r>
        <w:rPr>
          <w:rFonts w:ascii="Times New Roman" w:hAnsi="Times New Roman"/>
          <w:color w:val="000000"/>
          <w:sz w:val="20"/>
        </w:rPr>
        <w:t xml:space="preserve"> Ex. A (the “Shared Revenues Formula”). The Management Agreement defined “Traffic” broadly as “electronic signals including voice, data, and other associated electronic signals.” </w:t>
      </w:r>
      <w:r>
        <w:rPr>
          <w:rFonts w:ascii="Times New Roman" w:hAnsi="Times New Roman"/>
          <w:i/>
          <w:color w:val="000000"/>
          <w:sz w:val="20"/>
        </w:rPr>
        <w:t>Id.</w:t>
      </w:r>
      <w:r>
        <w:rPr>
          <w:rFonts w:ascii="Times New Roman" w:hAnsi="Times New Roman"/>
          <w:color w:val="000000"/>
          <w:sz w:val="20"/>
        </w:rPr>
        <w:t xml:space="preserve"> at ’752. The Management Agreement called for each “Unit of Traffic” to be allocated based on “the cell site that carries such Traffic, with the convention that the Unit of Traffic from any one call or transmission shall be assigned to the cell site upon which such call or transmission is first carried.” </w:t>
      </w:r>
      <w:r>
        <w:rPr>
          <w:rFonts w:ascii="Times New Roman" w:hAnsi="Times New Roman"/>
          <w:i/>
          <w:color w:val="000000"/>
          <w:sz w:val="20"/>
        </w:rPr>
        <w:t>Id.</w:t>
      </w:r>
      <w:r>
        <w:rPr>
          <w:rFonts w:ascii="Times New Roman" w:hAnsi="Times New Roman"/>
          <w:color w:val="000000"/>
          <w:sz w:val="20"/>
        </w:rPr>
        <w:t xml:space="preserve"> § V(G)(1).</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28" w:name="co_pp_sp_999_6_1"/>
      <w:r>
        <w:rPr>
          <w:rFonts w:ascii="Times New Roman" w:hAnsi="Times New Roman"/>
          <w:b/>
          <w:color w:val="000000"/>
          <w:sz w:val="20"/>
        </w:rPr>
        <w:t>*6</w:t>
      </w:r>
      <w:bookmarkEnd w:id="28"/>
      <w:r>
        <w:rPr>
          <w:rFonts w:ascii="Times New Roman" w:hAnsi="Times New Roman"/>
          <w:color w:val="000000"/>
          <w:sz w:val="20"/>
        </w:rPr>
        <w:t xml:space="preserve"> AT&amp;T never followed the Shared Revenues Formula. AT&amp;T never established an aggregate pool of Shared Revenues. AT&amp;T never allocated a proportionate share of Shared Revenues to the Partnership. Instead, AT&amp;T developed its own internal allocation methodologies without considering the Management Agreement. Those methodologies involved identifying items of revenue and expense and assigning them to the Partnership whenever possible, even if the Management Agreement specified a different allocation methodology.</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 also disregarded the requirement in the Management Agreement that AT&amp;T apply a premium to Shared Revenues and a discount to the Partnership's share of “Sales and Marketing Expenses,” defined as “expenses associated with Sales and Marketing Services,” which in turn was defined as “marketing, sales, advertising and other promotional and subscriber acquisition and retention services.” </w:t>
      </w:r>
      <w:r>
        <w:rPr>
          <w:rFonts w:ascii="Times New Roman" w:hAnsi="Times New Roman"/>
          <w:i/>
          <w:color w:val="000000"/>
          <w:sz w:val="20"/>
        </w:rPr>
        <w:t>Id.</w:t>
      </w:r>
      <w:r>
        <w:rPr>
          <w:rFonts w:ascii="Times New Roman" w:hAnsi="Times New Roman"/>
          <w:color w:val="000000"/>
          <w:sz w:val="20"/>
        </w:rPr>
        <w:t xml:space="preserve"> at ’751. The operative language stated:</w:t>
      </w:r>
    </w:p>
    <w:p>
      <w:pPr>
        <w:spacing w:before="200" w:after="0" w:line="275" w:lineRule="atLeast"/>
        <w:ind w:left="480" w:right="480" w:firstLine="0"/>
        <w:jc w:val="both"/>
      </w:pPr>
      <w:r>
        <w:rPr>
          <w:rFonts w:ascii="Times New Roman" w:hAnsi="Times New Roman"/>
          <w:color w:val="000000"/>
          <w:sz w:val="20"/>
        </w:rPr>
        <w:t xml:space="preserve">[AT&amp;T] may apply a premium to certain revenues and/or a discount to certain expenses to ensure that the allocation method set forth below is no less favorable to the [Partnership] than the allocation method used in prior periods. </w:t>
      </w:r>
      <w:r>
        <w:rPr>
          <w:rFonts w:ascii="Times New Roman" w:hAnsi="Times New Roman"/>
          <w:color w:val="000000"/>
          <w:sz w:val="20"/>
        </w:rPr>
        <w:t>Initially, [AT&amp;T] will apply a premium of 25% to [the Partnership's] share of Shared Revenues and a discount of 10% to [the Partnership's] share of Sales and Marketing Expenses.</w:t>
      </w:r>
    </w:p>
    <w:p>
      <w:pPr>
        <w:spacing w:before="200" w:after="0" w:line="275" w:lineRule="atLeast"/>
        <w:jc w:val="both"/>
      </w:pPr>
      <w:r>
        <w:rPr>
          <w:rFonts w:ascii="Times New Roman" w:hAnsi="Times New Roman"/>
          <w:i/>
          <w:color w:val="000000"/>
          <w:sz w:val="20"/>
        </w:rPr>
        <w:t>Id.</w:t>
      </w:r>
      <w:r>
        <w:rPr>
          <w:rFonts w:ascii="Times New Roman" w:hAnsi="Times New Roman"/>
          <w:color w:val="000000"/>
          <w:sz w:val="20"/>
        </w:rPr>
        <w:t xml:space="preserve"> Ex. A (the “Premium Provision”). Through the Premium Provision, AT&amp;T committed to treat the Partnership better than its own business units and indisputably better than an arm's-length third party. Although AT&amp;T reserved the right to apply a different premium to Shared Revenues and a different discount to Sales and Marketing Expenses, AT&amp;T agreed that any revised allocation method would be “no less favorable to [the Partnership] than the allocation method used in prior periods.” </w:t>
      </w:r>
      <w:r>
        <w:rPr>
          <w:rFonts w:ascii="Times New Roman" w:hAnsi="Times New Roman"/>
          <w:i/>
          <w:color w:val="000000"/>
          <w:sz w:val="20"/>
        </w:rPr>
        <w:t>Id.</w:t>
      </w:r>
      <w:r>
        <w:rPr>
          <w:rFonts w:ascii="Times New Roman" w:hAnsi="Times New Roman"/>
          <w:color w:val="000000"/>
          <w:sz w:val="20"/>
        </w:rPr>
        <w:t xml:space="preserve"> AT&amp;T thus committed to add </w:t>
      </w:r>
      <w:r>
        <w:rPr>
          <w:rFonts w:ascii="Times New Roman" w:hAnsi="Times New Roman"/>
          <w:i/>
          <w:color w:val="000000"/>
          <w:sz w:val="20"/>
        </w:rPr>
        <w:t>at least</w:t>
      </w:r>
      <w:r>
        <w:rPr>
          <w:rFonts w:ascii="Times New Roman" w:hAnsi="Times New Roman"/>
          <w:color w:val="000000"/>
          <w:sz w:val="20"/>
        </w:rPr>
        <w:t xml:space="preserve"> a 25% premium to the Partnership's allocated share of revenue and to deduct </w:t>
      </w:r>
      <w:r>
        <w:rPr>
          <w:rFonts w:ascii="Times New Roman" w:hAnsi="Times New Roman"/>
          <w:i/>
          <w:color w:val="000000"/>
          <w:sz w:val="20"/>
        </w:rPr>
        <w:t>at least</w:t>
      </w:r>
      <w:r>
        <w:rPr>
          <w:rFonts w:ascii="Times New Roman" w:hAnsi="Times New Roman"/>
          <w:color w:val="000000"/>
          <w:sz w:val="20"/>
        </w:rPr>
        <w:t xml:space="preserve"> a 10% discount from the Partnership's share of Sales and Marketing Expenses. AT&amp;T never applied a premium to the Partnership's share of revenue and never applied a discount to the Partnership's share of Sales and Marketing Expenses.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Furthermore, AT&amp;T failed to follow the Management Agreement's definition of the Partnership's business, which established that the Partnership's wireless business was coextensive with AT&amp;T's wireless business. Instead, AT&amp;T's accountants viewed the Partnership's business as limited to “cellular phones, voice, data, SMS text, those things ... we do with our phones.” Wages Tr. 395–97. For activities outside of this narrow definition, AT&amp;T's accountants believed that the Partnership only was entitled to be “made whole” for AT&amp;T's use of its assets. </w:t>
      </w:r>
      <w:r>
        <w:rPr>
          <w:rFonts w:ascii="Times New Roman" w:hAnsi="Times New Roman"/>
          <w:i/>
          <w:color w:val="000000"/>
          <w:sz w:val="20"/>
        </w:rPr>
        <w:t>Id.</w:t>
      </w:r>
      <w:r>
        <w:rPr>
          <w:rFonts w:ascii="Times New Roman" w:hAnsi="Times New Roman"/>
          <w:color w:val="000000"/>
          <w:sz w:val="20"/>
        </w:rPr>
        <w:t xml:space="preserve"> at 406. AT&amp;T's definition of “wireless activity” was not written down, and it was inconsistent with the Management Agreement. </w:t>
      </w:r>
      <w:r>
        <w:rPr>
          <w:rFonts w:ascii="Times New Roman" w:hAnsi="Times New Roman"/>
          <w:i/>
          <w:color w:val="000000"/>
          <w:sz w:val="20"/>
        </w:rPr>
        <w:t>Id.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 also continued to use NPA-NXX to assign subscribers to the Partnership. By the mid-2000s, the arrival of nationwide unlimited roaming and number portability had undermined the reliability of NPA-NXX as a proxy for primary place of use. The Management Agreement did not mention NPA-NXX, and the record indicates that AT&amp;T caused the Partnership and its sister entities to adopt the Management Agreement as part of an effort to move away from NPA-NXX. AT&amp;T nevertheless persisted in using NPA-NXX to identify subscribers to the Partnership.</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Because AT&amp;T pervasively disregarded the Management Agreement, the Partnership did not receive its full share of revenue. The Partnership also did not receive the benefits of the Premium Provision, under which the Partnership should have received at least 25% more revenue than AT&amp;T allocated to it.</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29" w:name="co_pp_sp_999_7_1"/>
      <w:r>
        <w:rPr>
          <w:rFonts w:ascii="Times New Roman" w:hAnsi="Times New Roman"/>
          <w:b/>
          <w:color w:val="000000"/>
          <w:sz w:val="20"/>
        </w:rPr>
        <w:t>*7</w:t>
      </w:r>
      <w:bookmarkEnd w:id="29"/>
      <w:r>
        <w:rPr>
          <w:rFonts w:ascii="Times New Roman" w:hAnsi="Times New Roman"/>
          <w:color w:val="000000"/>
          <w:sz w:val="20"/>
        </w:rPr>
        <w:t xml:space="preserve"> Setting aside these problems, AT&amp;T's accountants strived to allocate revenue and expense consistently and accurately. They deployed extensive accounting resources to track and allocate transactions, maintained overlapping systems of oversight, consulted with AT&amp;T's outside auditors, and interacted with AT&amp;T executives whose compensation structures gave them an incentive to ensure that AT&amp;T allocated revenues consistently across market-level entities. As a result of these careful procedures, AT&amp;T's accounting records accurately reflected the revenue and expense that AT&amp;T identified and assigned or allocated to the Partnership, as well as the methodologies that AT&amp;T used. It is not the case, for example, that AT&amp;T decided that the Partnership should receive a particular type of revenue, but its accountants failed to allocate it. Nor is it the case that the accountants decided to use a particular methodology, then implemented it errantly. The Partnership's financial records accurately depict how AT&amp;T treated the Partnership.</w:t>
      </w:r>
    </w:p>
    <w:p>
      <w:pPr>
        <w:spacing w:before="0" w:after="0" w:line="275" w:lineRule="atLeast"/>
        <w:jc w:val="both"/>
      </w:pPr>
      <w:r>
        <w:rPr>
          <w:rFonts w:ascii="Times New Roman" w:hAnsi="Times New Roman"/>
          <w:color w:val="000000"/>
          <w:sz w:val="20"/>
        </w:rPr>
        <w:t> </w:t>
      </w:r>
    </w:p>
    <w:bookmarkStart w:id="30" w:name="co_anchor_I8e8ceef1ace211ec8c80dd32e620"/>
    <w:bookmarkStart w:id="31" w:name="co_anchor_I8e8ceef1ace211ec8c80dd32e2"/>
    <w:p>
      <w:pPr>
        <w:spacing w:before="400" w:after="0" w:line="275" w:lineRule="atLeast"/>
      </w:pPr>
      <w:r>
        <w:rPr>
          <w:rFonts w:ascii="Times New Roman" w:hAnsi="Times New Roman"/>
          <w:b/>
          <w:color w:val="000000"/>
          <w:sz w:val="20"/>
        </w:rPr>
        <w:t>E. The Data Revolution</w:t>
      </w:r>
    </w:p>
    <w:bookmarkEnd w:id="31"/>
    <w:bookmarkEnd w:id="30"/>
    <w:p>
      <w:pPr>
        <w:spacing w:before="0" w:after="0" w:line="275" w:lineRule="atLeast"/>
        <w:jc w:val="both"/>
      </w:pPr>
      <w:r>
        <w:rPr>
          <w:rFonts w:ascii="Times New Roman" w:hAnsi="Times New Roman"/>
          <w:color w:val="000000"/>
          <w:sz w:val="20"/>
        </w:rPr>
        <w:t>By 2007, the market for wireless voice communications, known as legacy wireless, was relatively mature. For that business, the double-digit subscriber growth of the early 2000s had leveled off to single digits. Wireless providers began to see stronger growth in data services, driven by demand for downloadable music, games, ring tones, and text and photo messaging. The growth of data services opened up a vast array of new businesses and new revenue streams, including mobile internet advertising.</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 planned to capitalize on these changes. In June 2007, AT&amp;T announced the appointment of Randall Stephenson as its new chief executive officer (“CEO”). Stephenson envisioned AT&amp;T as “a brand-new company, with wireless at the heart of what we do.” JX 282.</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 cornerstone of AT&amp;T's plan was Apple Inc.’s iPhone, which launched on June 29, 2007. AT&amp;T was the exclusive wireless carrier for the iPhone for the first eighteen months after its release. AT&amp;T later extended its exclusive arrangement with Apple through early 2011. AT&amp;T correctly predicted that the iPhone would transform how people approached wireless communication. </w:t>
      </w:r>
      <w:r>
        <w:rPr>
          <w:rFonts w:ascii="Times New Roman" w:hAnsi="Times New Roman"/>
          <w:i/>
          <w:color w:val="000000"/>
          <w:sz w:val="20"/>
        </w:rPr>
        <w:t>See</w:t>
      </w:r>
      <w:r>
        <w:rPr>
          <w:rFonts w:ascii="Times New Roman" w:hAnsi="Times New Roman"/>
          <w:color w:val="000000"/>
          <w:sz w:val="20"/>
        </w:rPr>
        <w:t xml:space="preserve"> Lurie Dep. 31.</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 an analyst conference later in 2007, AT&amp;T highlighted that wireless data traffic was “[g]rowing [e]xponentially,” with “[u]sage [</w:t>
      </w:r>
      <w:r>
        <w:rPr>
          <w:rFonts w:ascii="Times New Roman" w:hAnsi="Times New Roman"/>
          <w:i/>
          <w:color w:val="000000"/>
          <w:sz w:val="20"/>
        </w:rPr>
        <w:t>q</w:t>
      </w:r>
      <w:r>
        <w:rPr>
          <w:rFonts w:ascii="Times New Roman" w:hAnsi="Times New Roman"/>
          <w:color w:val="000000"/>
          <w:sz w:val="20"/>
        </w:rPr>
        <w:t>]</w:t>
      </w:r>
      <w:r>
        <w:rPr>
          <w:rFonts w:ascii="Times New Roman" w:hAnsi="Times New Roman"/>
          <w:i/>
          <w:color w:val="000000"/>
          <w:sz w:val="20"/>
        </w:rPr>
        <w:t>uadrupling</w:t>
      </w:r>
      <w:r>
        <w:rPr>
          <w:rFonts w:ascii="Times New Roman" w:hAnsi="Times New Roman"/>
          <w:color w:val="000000"/>
          <w:sz w:val="20"/>
        </w:rPr>
        <w:t xml:space="preserve"> [</w:t>
      </w:r>
      <w:r>
        <w:rPr>
          <w:rFonts w:ascii="Times New Roman" w:hAnsi="Times New Roman"/>
          <w:i/>
          <w:color w:val="000000"/>
          <w:sz w:val="20"/>
        </w:rPr>
        <w:t>e</w:t>
      </w:r>
      <w:r>
        <w:rPr>
          <w:rFonts w:ascii="Times New Roman" w:hAnsi="Times New Roman"/>
          <w:color w:val="000000"/>
          <w:sz w:val="20"/>
        </w:rPr>
        <w:t>]</w:t>
      </w:r>
      <w:r>
        <w:rPr>
          <w:rFonts w:ascii="Times New Roman" w:hAnsi="Times New Roman"/>
          <w:i/>
          <w:color w:val="000000"/>
          <w:sz w:val="20"/>
        </w:rPr>
        <w:t>very</w:t>
      </w:r>
      <w:r>
        <w:rPr>
          <w:rFonts w:ascii="Times New Roman" w:hAnsi="Times New Roman"/>
          <w:color w:val="000000"/>
          <w:sz w:val="20"/>
        </w:rPr>
        <w:t xml:space="preserve"> [</w:t>
      </w:r>
      <w:r>
        <w:rPr>
          <w:rFonts w:ascii="Times New Roman" w:hAnsi="Times New Roman"/>
          <w:i/>
          <w:color w:val="000000"/>
          <w:sz w:val="20"/>
        </w:rPr>
        <w:t>y</w:t>
      </w:r>
      <w:r>
        <w:rPr>
          <w:rFonts w:ascii="Times New Roman" w:hAnsi="Times New Roman"/>
          <w:color w:val="000000"/>
          <w:sz w:val="20"/>
        </w:rPr>
        <w:t>]</w:t>
      </w:r>
      <w:r>
        <w:rPr>
          <w:rFonts w:ascii="Times New Roman" w:hAnsi="Times New Roman"/>
          <w:i/>
          <w:color w:val="000000"/>
          <w:sz w:val="20"/>
        </w:rPr>
        <w:t>ear.</w:t>
      </w:r>
      <w:r>
        <w:rPr>
          <w:rFonts w:ascii="Times New Roman" w:hAnsi="Times New Roman"/>
          <w:color w:val="000000"/>
          <w:sz w:val="20"/>
        </w:rPr>
        <w:t xml:space="preserve">” JX 325 at 11; </w:t>
      </w:r>
      <w:r>
        <w:rPr>
          <w:rFonts w:ascii="Times New Roman" w:hAnsi="Times New Roman"/>
          <w:i/>
          <w:color w:val="000000"/>
          <w:sz w:val="20"/>
        </w:rPr>
        <w:t>see</w:t>
      </w:r>
      <w:r>
        <w:rPr>
          <w:rFonts w:ascii="Times New Roman" w:hAnsi="Times New Roman"/>
          <w:color w:val="000000"/>
          <w:sz w:val="20"/>
        </w:rPr>
        <w:t xml:space="preserve"> JX 359 at 9. Annual growth in revenue from data services had “exceeded 60% for five consecutive quarters,” reaching an annualized run rate of more than $7 billion in the third quarter of 2007. JX 324 at 10, 22; </w:t>
      </w:r>
      <w:r>
        <w:rPr>
          <w:rFonts w:ascii="Times New Roman" w:hAnsi="Times New Roman"/>
          <w:i/>
          <w:color w:val="000000"/>
          <w:sz w:val="20"/>
        </w:rPr>
        <w:t>see</w:t>
      </w:r>
      <w:r>
        <w:rPr>
          <w:rFonts w:ascii="Times New Roman" w:hAnsi="Times New Roman"/>
          <w:color w:val="000000"/>
          <w:sz w:val="20"/>
        </w:rPr>
        <w:t xml:space="preserve"> JX 325 at 10, 15. The iPhone was the key driver in the growth of revenue from data services, with subscribers’ data usage nearly doubling after they purchased an iPhone. JX 325 at 12. AT&amp;T's partnership with Apple meant that AT&amp;T was “[e]arly in [the] [a]doption [c]urve for [m]edia-[r]ich [d]evices,” leading to “[h]uge [p]otential in [w]ireless [d]ata.” </w:t>
      </w:r>
      <w:r>
        <w:rPr>
          <w:rFonts w:ascii="Times New Roman" w:hAnsi="Times New Roman"/>
          <w:i/>
          <w:color w:val="000000"/>
          <w:sz w:val="20"/>
        </w:rPr>
        <w:t>Id.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Another driver of increased demand for data services came from “Connected Devices,” which are electronic devices other than cell phones that communicate via wireless networks. Connected Devices include tablets, electronic readers, personal and vehicle navigation devices, home security systems, machine-to-machine devices, and “smart grid” devices. AT&amp;T offered data services for some Connected Devices through individual data subscriptions. AT&amp;T offered data services for other Connected Devices through commercial agreements with companies like Amazon, General Motors, and Garmin (the “Commercial Network Agreements”). For example, Amazon entered into a Commercial Network Agreement for its Kindle product. General Motors entered into a Commercial Network Agreement for its On-Star vehicle security system. And Garmin entered into a Commercial Network Agreement for its navigation devices.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Increased revenue was not the only side of the equation. AT&amp;T would need to invest in its network to handle the increased demand. To expand its wireless capabilities, AT&amp;T paid $2.5 billion in October 2007 to purchase additional wireless spectrum. In the press release announcing the purchase, an AT&amp;T executive explained that “[c]ustomer demand for mobile services, including voice, data and video, is continually increasing.” JX 319. With its purchase, AT&amp;T touted that it could capitalize on data revenue growth due to its dominance in “Average Spectrum Depth” in the top one hundred U.S. markets. JX 324 at 4.</w:t>
      </w:r>
    </w:p>
    <w:p>
      <w:pPr>
        <w:spacing w:before="0" w:after="0" w:line="275" w:lineRule="atLeast"/>
        <w:jc w:val="both"/>
      </w:pPr>
      <w:r>
        <w:rPr>
          <w:rFonts w:ascii="Times New Roman" w:hAnsi="Times New Roman"/>
          <w:color w:val="000000"/>
          <w:sz w:val="20"/>
        </w:rPr>
        <w:t> </w:t>
      </w:r>
    </w:p>
    <w:bookmarkStart w:id="32" w:name="co_anchor_I8e8ffc31ace211ec8c80dd32e620"/>
    <w:bookmarkStart w:id="33" w:name="co_anchor_I8e8ffc31ace211ec8c80dd32e2"/>
    <w:p>
      <w:pPr>
        <w:spacing w:before="400" w:after="0" w:line="275" w:lineRule="atLeast"/>
      </w:pPr>
      <w:r>
        <w:rPr>
          <w:rFonts w:ascii="Times New Roman" w:hAnsi="Times New Roman"/>
          <w:b/>
          <w:color w:val="000000"/>
          <w:sz w:val="20"/>
        </w:rPr>
        <w:t>F. AT&amp;T Considers Eliminating The Minority Partners.</w:t>
      </w:r>
    </w:p>
    <w:bookmarkEnd w:id="33"/>
    <w:bookmarkEnd w:id="32"/>
    <w:p>
      <w:pPr>
        <w:spacing w:before="0" w:after="0" w:line="275" w:lineRule="atLeast"/>
        <w:jc w:val="both"/>
      </w:pPr>
      <w:bookmarkStart w:id="34" w:name="co_pp_sp_999_8_1"/>
      <w:r>
        <w:rPr>
          <w:rFonts w:ascii="Times New Roman" w:hAnsi="Times New Roman"/>
          <w:b/>
          <w:color w:val="000000"/>
          <w:sz w:val="20"/>
        </w:rPr>
        <w:t>*8</w:t>
      </w:r>
      <w:bookmarkEnd w:id="34"/>
      <w:r>
        <w:rPr>
          <w:rFonts w:ascii="Times New Roman" w:hAnsi="Times New Roman"/>
          <w:color w:val="000000"/>
          <w:sz w:val="20"/>
        </w:rPr>
        <w:t xml:space="preserve"> With revenue from data services and related businesses expected to balloon, AT&amp;T began to explore ways to eliminate the minority partners. </w:t>
      </w:r>
      <w:r>
        <w:rPr>
          <w:rFonts w:ascii="Times New Roman" w:hAnsi="Times New Roman"/>
          <w:color w:val="000000"/>
          <w:sz w:val="20"/>
        </w:rPr>
        <w:t>Chris Reeves, an executive in AT&amp;T's Corporate Development department, conducted the initial analysis. In August 2007, he gave a presentation to Wages, who oversaw AT&amp;T's Partnership Accounting Group, and Philip Teske, an AT&amp;T executive with AT&amp;T Mobility LLC (“Mobility”), the entity that managed AT&amp;T's wireless business.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Titled “Partnership Relations—Restructuring Update and Buyout Analysis,” Reeve's presentation identified fifty-one market-level entities, including the Partnership, where AT&amp;T could benefit by acquiring the minority interest. </w:t>
      </w:r>
      <w:r>
        <w:rPr>
          <w:rFonts w:ascii="Times New Roman" w:hAnsi="Times New Roman"/>
          <w:i/>
          <w:color w:val="000000"/>
          <w:sz w:val="20"/>
        </w:rPr>
        <w:t>See</w:t>
      </w:r>
      <w:r>
        <w:rPr>
          <w:rFonts w:ascii="Times New Roman" w:hAnsi="Times New Roman"/>
          <w:color w:val="000000"/>
          <w:sz w:val="20"/>
        </w:rPr>
        <w:t xml:space="preserve"> JX 310 at ’765–67. The presentation explained that “[a] buyout today will be much less expensive than 1 or 2 years down the road given OIBDA growth rates.” </w:t>
      </w:r>
      <w:r>
        <w:rPr>
          <w:rFonts w:ascii="Times New Roman" w:hAnsi="Times New Roman"/>
          <w:i/>
          <w:color w:val="000000"/>
          <w:sz w:val="20"/>
        </w:rPr>
        <w:t>Id.</w:t>
      </w:r>
      <w:r>
        <w:rPr>
          <w:rFonts w:ascii="Times New Roman" w:hAnsi="Times New Roman"/>
          <w:color w:val="000000"/>
          <w:sz w:val="20"/>
        </w:rPr>
        <w:t xml:space="preserve"> at ’765.</w:t>
      </w:r>
      <w:bookmarkStart w:id="35" w:name="co_fnRef_B00082055700832_ID0E5DAG_1"/>
      <w:hyperlink w:anchor="co_footnote_B00082055700832_1">
        <w:r>
          <w:rPr>
            <w:rFonts w:ascii="Times New Roman" w:hAnsi="Times New Roman"/>
            <w:color w:val="000000"/>
            <w:sz w:val="16"/>
            <w:vertAlign w:val="superscript"/>
          </w:rPr>
          <w:t>8</w:t>
        </w:r>
      </w:hyperlink>
      <w:bookmarkEnd w:id="35"/>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presentation divided the potential acquisitions into three tiers. The “Priority One” tier consisted of six corporations and “two partnerships where [AT&amp;T] owns more than a 99% interest.” </w:t>
      </w:r>
      <w:r>
        <w:rPr>
          <w:rFonts w:ascii="Times New Roman" w:hAnsi="Times New Roman"/>
          <w:i/>
          <w:color w:val="000000"/>
          <w:sz w:val="20"/>
        </w:rPr>
        <w:t>Id.</w:t>
      </w:r>
      <w:r>
        <w:rPr>
          <w:rFonts w:ascii="Times New Roman" w:hAnsi="Times New Roman"/>
          <w:color w:val="000000"/>
          <w:sz w:val="20"/>
        </w:rPr>
        <w:t xml:space="preserve"> at ’765. The “Priority 2” tier consisted of twelve “legacy AT&amp;T wireless partnerships,” including the Partnership. </w:t>
      </w:r>
      <w:r>
        <w:rPr>
          <w:rFonts w:ascii="Times New Roman" w:hAnsi="Times New Roman"/>
          <w:i/>
          <w:color w:val="000000"/>
          <w:sz w:val="20"/>
        </w:rPr>
        <w:t>Id.</w:t>
      </w:r>
      <w:r>
        <w:rPr>
          <w:rFonts w:ascii="Times New Roman" w:hAnsi="Times New Roman"/>
          <w:color w:val="000000"/>
          <w:sz w:val="20"/>
        </w:rPr>
        <w:t xml:space="preserve"> at ’766. For those entities, AT&amp;T could eliminate the minority using freeze-out mergers or similar transactions. </w:t>
      </w:r>
      <w:r>
        <w:rPr>
          <w:rFonts w:ascii="Times New Roman" w:hAnsi="Times New Roman"/>
          <w:i/>
          <w:color w:val="000000"/>
          <w:sz w:val="20"/>
        </w:rPr>
        <w:t>Id.</w:t>
      </w:r>
      <w:r>
        <w:rPr>
          <w:rFonts w:ascii="Times New Roman" w:hAnsi="Times New Roman"/>
          <w:color w:val="000000"/>
          <w:sz w:val="20"/>
        </w:rPr>
        <w:t xml:space="preserve"> The “Priority 3” tier consisted of “legacy Cingular partnerships where [AT&amp;T] would need to approach the partner(s) and negotiate a purchase.” </w:t>
      </w:r>
      <w:r>
        <w:rPr>
          <w:rFonts w:ascii="Times New Roman" w:hAnsi="Times New Roman"/>
          <w:i/>
          <w:color w:val="000000"/>
          <w:sz w:val="20"/>
        </w:rPr>
        <w:t>Id.</w:t>
      </w:r>
      <w:r>
        <w:rPr>
          <w:rFonts w:ascii="Times New Roman" w:hAnsi="Times New Roman"/>
          <w:color w:val="000000"/>
          <w:sz w:val="20"/>
        </w:rPr>
        <w:t xml:space="preserve"> at ’767. Reeves contemplated focusing first on the entities where minority holders had no ability to block the buyouts.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In early 2008, Reeves gave a similar presentation to Mobility's chief financial officer (“CFO”), Pete Ritcher. Titled “Minority Partnership Acquisition Summary,” the presentation stated that “[p]ending asset mergers and accelerating valuations provide an opportune time to buyout certain minority partnerships.” JX 344 at 2. Consistent with the 2007 presentation, Reeves recommended starting with “the 18 legacy AT&amp;T wireless partnerships” where transactions could be accomplished “without partner consent.” </w:t>
      </w:r>
      <w:r>
        <w:rPr>
          <w:rFonts w:ascii="Times New Roman" w:hAnsi="Times New Roman"/>
          <w:i/>
          <w:color w:val="000000"/>
          <w:sz w:val="20"/>
        </w:rPr>
        <w:t>Id.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Reeves identified multiple reasons for the buyouts. He noted that the minority partners’ lack of “knowledge of the industry and historically poor relations” had led to “consistent conflict.” </w:t>
      </w:r>
      <w:r>
        <w:rPr>
          <w:rFonts w:ascii="Times New Roman" w:hAnsi="Times New Roman"/>
          <w:i/>
          <w:color w:val="000000"/>
          <w:sz w:val="20"/>
        </w:rPr>
        <w:t>Id.</w:t>
      </w:r>
      <w:r>
        <w:rPr>
          <w:rFonts w:ascii="Times New Roman" w:hAnsi="Times New Roman"/>
          <w:color w:val="000000"/>
          <w:sz w:val="20"/>
        </w:rPr>
        <w:t xml:space="preserve"> at 3. He also observed that the partnerships required “extensive use of accounting and field personnel to resolve ongoing issues.” </w:t>
      </w:r>
      <w:r>
        <w:rPr>
          <w:rFonts w:ascii="Times New Roman" w:hAnsi="Times New Roman"/>
          <w:i/>
          <w:color w:val="000000"/>
          <w:sz w:val="20"/>
        </w:rPr>
        <w:t>Id.</w:t>
      </w:r>
      <w:r>
        <w:rPr>
          <w:rFonts w:ascii="Times New Roman" w:hAnsi="Times New Roman"/>
          <w:color w:val="000000"/>
          <w:sz w:val="20"/>
        </w:rPr>
        <w:t xml:space="preserve"> at 4. As a result, the buyouts would “eliminate value leakage.” </w:t>
      </w:r>
      <w:r>
        <w:rPr>
          <w:rFonts w:ascii="Times New Roman" w:hAnsi="Times New Roman"/>
          <w:i/>
          <w:color w:val="000000"/>
          <w:sz w:val="20"/>
        </w:rPr>
        <w:t>Id.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Equally important, Reeves highlighted the value AT&amp;T could capture retaining the full value of the profits that the partnerships paid out in distributions. Reeves contemplated buyouts at eighteen partnerships for a total cost of $100 million. By acquiring the minority interests in those entities, Reeves projected that AT&amp;T could “[e]liminate[ ] $186M of Distribution and Dividend payments over 10 years” with a present value of $113 million. </w:t>
      </w:r>
      <w:r>
        <w:rPr>
          <w:rFonts w:ascii="Times New Roman" w:hAnsi="Times New Roman"/>
          <w:i/>
          <w:color w:val="000000"/>
          <w:sz w:val="20"/>
        </w:rPr>
        <w:t>Id.</w:t>
      </w:r>
      <w:r>
        <w:rPr>
          <w:rFonts w:ascii="Times New Roman" w:hAnsi="Times New Roman"/>
          <w:color w:val="000000"/>
          <w:sz w:val="20"/>
        </w:rPr>
        <w:t xml:space="preserve"> at 2, 4. The buyouts would create “total savings of $243M in perpetuity.” </w:t>
      </w:r>
      <w:r>
        <w:rPr>
          <w:rFonts w:ascii="Times New Roman" w:hAnsi="Times New Roman"/>
          <w:i/>
          <w:color w:val="000000"/>
          <w:sz w:val="20"/>
        </w:rPr>
        <w:t>Id.</w:t>
      </w:r>
      <w:r>
        <w:rPr>
          <w:rFonts w:ascii="Times New Roman" w:hAnsi="Times New Roman"/>
          <w:color w:val="000000"/>
          <w:sz w:val="20"/>
        </w:rPr>
        <w:t xml:space="preserve"> at 7. The presentation explained that the value of the partnerships was “projected to increase 60% from 2007 to 2010 based on Mobility OIBDA growth rates,” equivalent to an OIBDA compound annual growth rate of 18%. </w:t>
      </w:r>
      <w:r>
        <w:rPr>
          <w:rFonts w:ascii="Times New Roman" w:hAnsi="Times New Roman"/>
          <w:i/>
          <w:color w:val="000000"/>
          <w:sz w:val="20"/>
        </w:rPr>
        <w:t>Id.</w:t>
      </w:r>
      <w:r>
        <w:rPr>
          <w:rFonts w:ascii="Times New Roman" w:hAnsi="Times New Roman"/>
          <w:color w:val="000000"/>
          <w:sz w:val="20"/>
        </w:rPr>
        <w:t xml:space="preserve"> at 8. By acquiring the minority interests, AT&amp;T would “retain [the] lift in value driven by [the] projected growth of the business” and acquire the interests “at a discount to future growth.” </w:t>
      </w:r>
      <w:r>
        <w:rPr>
          <w:rFonts w:ascii="Times New Roman" w:hAnsi="Times New Roman"/>
          <w:i/>
          <w:color w:val="000000"/>
          <w:sz w:val="20"/>
        </w:rPr>
        <w:t>Id.</w:t>
      </w:r>
      <w:r>
        <w:rPr>
          <w:rFonts w:ascii="Times New Roman" w:hAnsi="Times New Roman"/>
          <w:color w:val="000000"/>
          <w:sz w:val="20"/>
        </w:rPr>
        <w:t xml:space="preserve"> at 8, 9.</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36" w:name="co_pp_sp_999_9_1"/>
      <w:r>
        <w:rPr>
          <w:rFonts w:ascii="Times New Roman" w:hAnsi="Times New Roman"/>
          <w:b/>
          <w:color w:val="000000"/>
          <w:sz w:val="20"/>
        </w:rPr>
        <w:t>*9</w:t>
      </w:r>
      <w:bookmarkEnd w:id="36"/>
      <w:r>
        <w:rPr>
          <w:rFonts w:ascii="Times New Roman" w:hAnsi="Times New Roman"/>
          <w:color w:val="000000"/>
          <w:sz w:val="20"/>
        </w:rPr>
        <w:t xml:space="preserve"> The forecast of $243 million in savings projected that distributions to the minority partners would grow at a rate of 14% in 2009, 8% in 2010, 6.5% in 2011, and 3.5% thereafter. </w:t>
      </w:r>
      <w:r>
        <w:rPr>
          <w:rFonts w:ascii="Times New Roman" w:hAnsi="Times New Roman"/>
          <w:i/>
          <w:color w:val="000000"/>
          <w:sz w:val="20"/>
        </w:rPr>
        <w:t>See id.</w:t>
      </w:r>
      <w:r>
        <w:rPr>
          <w:rFonts w:ascii="Times New Roman" w:hAnsi="Times New Roman"/>
          <w:color w:val="000000"/>
          <w:sz w:val="20"/>
        </w:rPr>
        <w:t xml:space="preserve"> App'x A. The steep drop was questionable, and Teske asked why there was </w:t>
      </w:r>
      <w:r>
        <w:rPr>
          <w:rFonts w:ascii="Times New Roman" w:hAnsi="Times New Roman"/>
          <w:color w:val="000000"/>
          <w:sz w:val="20"/>
        </w:rPr>
        <w:t xml:space="preserve">“such a quick decline to 3.5%” from the high of 14% in 2009. JX 345 at ’254. If the drop was not so steep, then the buyouts would be even more beneficial to AT&amp;T. Teske wrote, “I will be keeping my fingers crossed that you get ‘the green light’ to proceed.” </w:t>
      </w:r>
      <w:r>
        <w:rPr>
          <w:rFonts w:ascii="Times New Roman" w:hAnsi="Times New Roman"/>
          <w:i/>
          <w:color w:val="000000"/>
          <w:sz w:val="20"/>
        </w:rPr>
        <w:t>Id.</w:t>
      </w:r>
    </w:p>
    <w:p>
      <w:pPr>
        <w:spacing w:before="0" w:after="0" w:line="275" w:lineRule="atLeast"/>
        <w:jc w:val="both"/>
      </w:pPr>
      <w:r>
        <w:rPr>
          <w:rFonts w:ascii="Times New Roman" w:hAnsi="Times New Roman"/>
          <w:color w:val="000000"/>
          <w:sz w:val="20"/>
        </w:rPr>
        <w:t> </w:t>
      </w:r>
    </w:p>
    <w:bookmarkStart w:id="37" w:name="co_anchor_I8e94b721ace211ec8c80dd32e620"/>
    <w:bookmarkStart w:id="38" w:name="co_anchor_I8e94b721ace211ec8c80dd32e2"/>
    <w:p>
      <w:pPr>
        <w:spacing w:before="400" w:after="0" w:line="275" w:lineRule="atLeast"/>
      </w:pPr>
      <w:r>
        <w:rPr>
          <w:rFonts w:ascii="Times New Roman" w:hAnsi="Times New Roman"/>
          <w:b/>
          <w:color w:val="000000"/>
          <w:sz w:val="20"/>
        </w:rPr>
        <w:t>G. AT&amp;T Invests In Its Network To Capitalize On The Demand For Data.</w:t>
      </w:r>
    </w:p>
    <w:bookmarkEnd w:id="38"/>
    <w:bookmarkEnd w:id="37"/>
    <w:p>
      <w:pPr>
        <w:spacing w:before="0" w:after="0" w:line="275" w:lineRule="atLeast"/>
        <w:jc w:val="both"/>
      </w:pPr>
      <w:r>
        <w:rPr>
          <w:rFonts w:ascii="Times New Roman" w:hAnsi="Times New Roman"/>
          <w:color w:val="000000"/>
          <w:sz w:val="20"/>
        </w:rPr>
        <w:t xml:space="preserve">While AT&amp;T was considering eliminating the minority partners, the demand for data services continued to increase. In its fourth quarter 2007 earnings release, AT&amp;T announced “record wireless gains” that included 57.5% annual growth in revenue from wireless data services. JX 342 at 1, 4. AT&amp;T viewed data services as a promising new source of revenue growth as wireless voice revenue began to slow. </w:t>
      </w:r>
      <w:r>
        <w:rPr>
          <w:rFonts w:ascii="Times New Roman" w:hAnsi="Times New Roman"/>
          <w:i/>
          <w:color w:val="000000"/>
          <w:sz w:val="20"/>
        </w:rPr>
        <w:t>See</w:t>
      </w:r>
      <w:r>
        <w:rPr>
          <w:rFonts w:ascii="Times New Roman" w:hAnsi="Times New Roman"/>
          <w:color w:val="000000"/>
          <w:sz w:val="20"/>
        </w:rPr>
        <w:t xml:space="preserve"> JX 359 at 30.</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 ultimately decided not to buy out the minority partners in 2008. AT&amp;T chose instead to buy additional spectrum and to invest in its network. Teske Tr. 535–36.</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As suggested by its spectrum purchases, AT&amp;T remained bullish on the prospects for data usage. AT&amp;T projected that “[t]otal revenue growth” would be “fueled by growth in data revenue as more subscribers utilize their handsets for [web] browsing and e-mail services and data only subscriptions begin to proliferate.” JX 367 at ’324. AT&amp;T forecasted “[t]op-line growth coming from data” as voice revenue growth slowed and AT&amp;T achieved “[h]igher penetration of data services on handsets.” </w:t>
      </w:r>
      <w:r>
        <w:rPr>
          <w:rFonts w:ascii="Times New Roman" w:hAnsi="Times New Roman"/>
          <w:i/>
          <w:color w:val="000000"/>
          <w:sz w:val="20"/>
        </w:rPr>
        <w:t>Id.</w:t>
      </w:r>
      <w:r>
        <w:rPr>
          <w:rFonts w:ascii="Times New Roman" w:hAnsi="Times New Roman"/>
          <w:color w:val="000000"/>
          <w:sz w:val="20"/>
        </w:rPr>
        <w:t xml:space="preserve"> at ’322. AT&amp;T expected to “add[ ] 29.6M new subscribers between 2009 and 2018,” with “[l]aptops and emerging device growth account[ing] for 17M of the net adds.” </w:t>
      </w:r>
      <w:r>
        <w:rPr>
          <w:rFonts w:ascii="Times New Roman" w:hAnsi="Times New Roman"/>
          <w:i/>
          <w:color w:val="000000"/>
          <w:sz w:val="20"/>
        </w:rPr>
        <w:t>Id.</w:t>
      </w:r>
      <w:r>
        <w:rPr>
          <w:rFonts w:ascii="Times New Roman" w:hAnsi="Times New Roman"/>
          <w:color w:val="000000"/>
          <w:sz w:val="20"/>
        </w:rPr>
        <w:t xml:space="preserve"> at ’323. AT&amp;T expected to gain market share and forecasted “stable margins” for the foreseeable future. </w:t>
      </w:r>
      <w:r>
        <w:rPr>
          <w:rFonts w:ascii="Times New Roman" w:hAnsi="Times New Roman"/>
          <w:i/>
          <w:color w:val="000000"/>
          <w:sz w:val="20"/>
        </w:rPr>
        <w:t>Id.</w:t>
      </w:r>
      <w:r>
        <w:rPr>
          <w:rFonts w:ascii="Times New Roman" w:hAnsi="Times New Roman"/>
          <w:color w:val="000000"/>
          <w:sz w:val="20"/>
        </w:rPr>
        <w:t xml:space="preserve"> at ’322.</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 also recognized the need to continue investing in its network to support increased data usage. For example, during the second quarter of 2008, AT&amp;T deployed a new 3G mobile telephone protocol to enable AT&amp;T's network to achieve faster mobile broadband speeds, boosting the rate and volume of wireless data transmission. </w:t>
      </w:r>
      <w:r>
        <w:rPr>
          <w:rFonts w:ascii="Times New Roman" w:hAnsi="Times New Roman"/>
          <w:i/>
          <w:color w:val="000000"/>
          <w:sz w:val="20"/>
        </w:rPr>
        <w:t>See</w:t>
      </w:r>
      <w:r>
        <w:rPr>
          <w:rFonts w:ascii="Times New Roman" w:hAnsi="Times New Roman"/>
          <w:color w:val="000000"/>
          <w:sz w:val="20"/>
        </w:rPr>
        <w:t xml:space="preserve"> JX 325 at 116; JX 1994 at 6, App'x B ¶ 3. AT&amp;T also planned to invest in 4G technology, which was expected to achieve “[c]ommercial availability in 2010.” JX 367 at ’322. AT&amp;T took these steps to capitalize on the data revolution and the revenue streams it would generate.</w:t>
      </w:r>
    </w:p>
    <w:p>
      <w:pPr>
        <w:spacing w:before="0" w:after="0" w:line="275" w:lineRule="atLeast"/>
        <w:jc w:val="both"/>
      </w:pPr>
      <w:r>
        <w:rPr>
          <w:rFonts w:ascii="Times New Roman" w:hAnsi="Times New Roman"/>
          <w:color w:val="000000"/>
          <w:sz w:val="20"/>
        </w:rPr>
        <w:t> </w:t>
      </w:r>
    </w:p>
    <w:bookmarkStart w:id="39" w:name="co_anchor_I8e96da01ace211ec8c80dd32e620"/>
    <w:bookmarkStart w:id="40" w:name="co_anchor_I8e96da01ace211ec8c80dd32e2"/>
    <w:p>
      <w:pPr>
        <w:spacing w:before="400" w:after="0" w:line="275" w:lineRule="atLeast"/>
      </w:pPr>
      <w:r>
        <w:rPr>
          <w:rFonts w:ascii="Times New Roman" w:hAnsi="Times New Roman"/>
          <w:b/>
          <w:color w:val="000000"/>
          <w:sz w:val="20"/>
        </w:rPr>
        <w:t>H. AT&amp;T Develops New Data Services And Businesses.</w:t>
      </w:r>
    </w:p>
    <w:bookmarkEnd w:id="40"/>
    <w:bookmarkEnd w:id="39"/>
    <w:p>
      <w:pPr>
        <w:spacing w:before="0" w:after="0" w:line="275" w:lineRule="atLeast"/>
        <w:jc w:val="both"/>
      </w:pPr>
      <w:r>
        <w:rPr>
          <w:rFonts w:ascii="Times New Roman" w:hAnsi="Times New Roman"/>
          <w:color w:val="000000"/>
          <w:sz w:val="20"/>
        </w:rPr>
        <w:t>In October 2008, AT&amp;T announced the appointment of Glenn Lurie as the head of its Emerging Devices Organization. Describing the Connected Devices business, Lurie explained that “[h]igh speed wireless broadband service can enhance a huge variety of gadgets” and announced that there were “a host of exciting new applications – from social networking to navigation to location-based solutions – being developed that will rely on wireless connectivity.” JX 401.</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In spring 2009, AT&amp;T provided further details about its efforts to capitalize on the growing demand for data services. At an industry conference in April 2009, Lurie reported that the Emerging Devices Organization “was talking to a whole range of device makers — from garage start-ups to billion-dollar companies — along with the major retailers” to develop new “wireless applications for consumer electronics devices, including game machines, electronic book readers and video and still cameras.” JX 447 at 1. In April 2009, AT&amp;T announced partnerships with the Houston Independent School District and Hertz Corporation to provide fleet management and other services for school buses and rental cars. JX 451; JX 452.</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41" w:name="co_pp_sp_999_10_1"/>
      <w:r>
        <w:rPr>
          <w:rFonts w:ascii="Times New Roman" w:hAnsi="Times New Roman"/>
          <w:b/>
          <w:color w:val="000000"/>
          <w:sz w:val="20"/>
        </w:rPr>
        <w:t>*10</w:t>
      </w:r>
      <w:bookmarkEnd w:id="41"/>
      <w:r>
        <w:rPr>
          <w:rFonts w:ascii="Times New Roman" w:hAnsi="Times New Roman"/>
          <w:color w:val="000000"/>
          <w:sz w:val="20"/>
        </w:rPr>
        <w:t xml:space="preserve"> In May 2009, Lurie gave the keynote address at the GoMobile wireless industry conference. He touted AT&amp;T's plans to “bring[ ] wireless connectivity to a host of new consumer electronics devices and applications — including personal computers, internet devices, in-car entertainment and navigation systems, cameras, and machine-to-machine communications solutions.” JX 455 at 3. Also in May 2009, AT&amp;T announced an exclusive partnership with Jasper Wireless that would provide a platform for the Emerging Devices Organization “to accelerate market entry for new categories of connected devices on AT&amp;T's network, including personal navigation, e-readers, mobile internet devices, gaming, healthcare, tracking, and in-car navigation systems, among others.” JX 460 at 1. The announcement quoted Lurie as saying, “This is a significant step for AT&amp;T as we continue to gain momentum with our emerging device strategy .... It's the ‘technological underpinnings’ to make our strategy possible.” </w:t>
      </w:r>
      <w:r>
        <w:rPr>
          <w:rFonts w:ascii="Times New Roman" w:hAnsi="Times New Roman"/>
          <w:i/>
          <w:color w:val="000000"/>
          <w:sz w:val="20"/>
        </w:rPr>
        <w:t>Id.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 the end of May 2009, AT&amp;T published “The Mobile Enterprise: Moving to the Next Generation.” JX 471. AT&amp;T stated that “[n]ew devices, new applications and new uses of wireless connectivity are coming and we're committed to being the leader.” </w:t>
      </w:r>
      <w:r>
        <w:rPr>
          <w:rFonts w:ascii="Times New Roman" w:hAnsi="Times New Roman"/>
          <w:i/>
          <w:color w:val="000000"/>
          <w:sz w:val="20"/>
        </w:rPr>
        <w:t>Id.</w:t>
      </w:r>
      <w:r>
        <w:rPr>
          <w:rFonts w:ascii="Times New Roman" w:hAnsi="Times New Roman"/>
          <w:color w:val="000000"/>
          <w:sz w:val="20"/>
        </w:rPr>
        <w:t xml:space="preserve"> at 4. In a June 2009 interview, Lurie discussed AT&amp;T's plans to capitalize on the demand for data by “embed[ding] wireless access into anything that isn't a smartphone, netbook or PC.” JX 485. Lurie also described AT&amp;T's plans for new data pricing models. </w:t>
      </w:r>
      <w:r>
        <w:rPr>
          <w:rFonts w:ascii="Times New Roman" w:hAnsi="Times New Roman"/>
          <w:i/>
          <w:color w:val="000000"/>
          <w:sz w:val="20"/>
        </w:rPr>
        <w:t>See id.</w:t>
      </w:r>
    </w:p>
    <w:p>
      <w:pPr>
        <w:spacing w:before="0" w:after="0" w:line="275" w:lineRule="atLeast"/>
        <w:jc w:val="both"/>
      </w:pPr>
      <w:r>
        <w:rPr>
          <w:rFonts w:ascii="Times New Roman" w:hAnsi="Times New Roman"/>
          <w:color w:val="000000"/>
          <w:sz w:val="20"/>
        </w:rPr>
        <w:t> </w:t>
      </w:r>
    </w:p>
    <w:bookmarkStart w:id="42" w:name="co_anchor_I8e98fce1ace211ec8c80dd32e620"/>
    <w:bookmarkStart w:id="43" w:name="co_anchor_I8e98fce1ace211ec8c80dd32e2"/>
    <w:p>
      <w:pPr>
        <w:spacing w:before="400" w:after="0" w:line="275" w:lineRule="atLeast"/>
      </w:pPr>
      <w:r>
        <w:rPr>
          <w:rFonts w:ascii="Times New Roman" w:hAnsi="Times New Roman"/>
          <w:b/>
          <w:color w:val="000000"/>
          <w:sz w:val="20"/>
        </w:rPr>
        <w:t>I. AT&amp;T Again Considers Eliminating The Minority Partners.</w:t>
      </w:r>
    </w:p>
    <w:bookmarkEnd w:id="43"/>
    <w:bookmarkEnd w:id="42"/>
    <w:p>
      <w:pPr>
        <w:spacing w:before="0" w:after="0" w:line="275" w:lineRule="atLeast"/>
        <w:jc w:val="both"/>
      </w:pPr>
      <w:r>
        <w:rPr>
          <w:rFonts w:ascii="Times New Roman" w:hAnsi="Times New Roman"/>
          <w:color w:val="000000"/>
          <w:sz w:val="20"/>
        </w:rPr>
        <w:t xml:space="preserve">In fall 2009, AT&amp;T again considered eliminating the minority partners. For AT&amp;T, the economic rationale for buying the minority interest had grown more compelling, because AT&amp;T's distributions to the minority partners had nearly doubled since AT&amp;T first considered a buyout. </w:t>
      </w:r>
      <w:r>
        <w:rPr>
          <w:rFonts w:ascii="Times New Roman" w:hAnsi="Times New Roman"/>
          <w:i/>
          <w:color w:val="000000"/>
          <w:sz w:val="20"/>
        </w:rPr>
        <w:t>See</w:t>
      </w:r>
      <w:r>
        <w:rPr>
          <w:rFonts w:ascii="Times New Roman" w:hAnsi="Times New Roman"/>
          <w:color w:val="000000"/>
          <w:sz w:val="20"/>
        </w:rPr>
        <w:t xml:space="preserve"> JX 616 at 13; JX 3516, “actualDist” tab.</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Anticipating lawsuits from the minority partners, AT&amp;T quickly brought litigation counsel into the process. Initially AT&amp;T treated the buyouts as new projects, referring to them as “Project Smoothie” and “Project Slim.” But after recognizing the desirability of having a non-valuation-based justification for the transactions, Stephens and Wages directed their teams to refer to “[P]roject LESS in all communications.” JX 721 at ’850; </w:t>
      </w:r>
      <w:r>
        <w:rPr>
          <w:rFonts w:ascii="Times New Roman" w:hAnsi="Times New Roman"/>
          <w:i/>
          <w:color w:val="000000"/>
          <w:sz w:val="20"/>
        </w:rPr>
        <w:t>accord</w:t>
      </w:r>
      <w:r>
        <w:rPr>
          <w:rFonts w:ascii="Times New Roman" w:hAnsi="Times New Roman"/>
          <w:color w:val="000000"/>
          <w:sz w:val="20"/>
        </w:rPr>
        <w:t xml:space="preserve"> Stephens Tr. 31–32; </w:t>
      </w:r>
      <w:r>
        <w:rPr>
          <w:rFonts w:ascii="Times New Roman" w:hAnsi="Times New Roman"/>
          <w:i/>
          <w:color w:val="000000"/>
          <w:sz w:val="20"/>
        </w:rPr>
        <w:t>see</w:t>
      </w:r>
      <w:r>
        <w:rPr>
          <w:rFonts w:ascii="Times New Roman" w:hAnsi="Times New Roman"/>
          <w:color w:val="000000"/>
          <w:sz w:val="20"/>
        </w:rPr>
        <w:t xml:space="preserve"> JX 587 at ’883; JX 616 at ’933; JX 682. Project LESS was an effort that AT&amp;T had pursued over the preceding decade to reduce the number of entities in the AT&amp;T corporate family and save administrative costs. Stephens Dep. 153–54.</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To support an argument that the buyouts were just another part of Project LESS, AT&amp;T put the leaders of Project LESS in charge of the process. The point person was Debbie Dial, an executive who handled special projects for John Stephens, AT&amp;T's CFO.</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Dial directed Teske, Wages, and others to compile information about the savings that a restructuring could generate. The team based its analysis on the “Minority Entity Acquisition Summary” that Reeves prepared in January 2008. </w:t>
      </w:r>
      <w:r>
        <w:rPr>
          <w:rFonts w:ascii="Times New Roman" w:hAnsi="Times New Roman"/>
          <w:i/>
          <w:color w:val="000000"/>
          <w:sz w:val="20"/>
        </w:rPr>
        <w:t>See</w:t>
      </w:r>
      <w:r>
        <w:rPr>
          <w:rFonts w:ascii="Times New Roman" w:hAnsi="Times New Roman"/>
          <w:color w:val="000000"/>
          <w:sz w:val="20"/>
        </w:rPr>
        <w:t xml:space="preserve"> JX 518; JX 547.</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Contemporaneously, AT&amp;T's senior executives were reviewing AT&amp;T's strategy for mobile applications and Connected Devices. AT&amp;T executives viewed initiatives in those areas as critical to “provid[ing] AT&amp;T a stronger foothold in the value chain” and enabling AT&amp;T to compete with the likes of Apple, Microsoft Corporation, and Google. JX 532 at 5. AT&amp;T believed that by leveraging its network, AT&amp;T could “drive a 10% uplift in AT&amp;T data revenue,”</w:t>
      </w:r>
      <w:r>
        <w:rPr>
          <w:rFonts w:ascii="Times New Roman" w:hAnsi="Times New Roman"/>
          <w:color w:val="000000"/>
          <w:sz w:val="20"/>
        </w:rPr>
        <w:t xml:space="preserve"> equal to $8 billion, by 2014. </w:t>
      </w:r>
      <w:r>
        <w:rPr>
          <w:rFonts w:ascii="Times New Roman" w:hAnsi="Times New Roman"/>
          <w:i/>
          <w:color w:val="000000"/>
          <w:sz w:val="20"/>
        </w:rPr>
        <w:t>Id.</w:t>
      </w:r>
      <w:r>
        <w:rPr>
          <w:rFonts w:ascii="Times New Roman" w:hAnsi="Times New Roman"/>
          <w:color w:val="000000"/>
          <w:sz w:val="20"/>
        </w:rPr>
        <w:t xml:space="preserve"> at 7.</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In November 2009, the Project LESS team presented its findings. JX 616. The presentation evaluated three structures to create savings for AT&amp;T: a national asset roll-up, regional asset roll-ups, and minority buyouts. </w:t>
      </w:r>
      <w:r>
        <w:rPr>
          <w:rFonts w:ascii="Times New Roman" w:hAnsi="Times New Roman"/>
          <w:i/>
          <w:color w:val="000000"/>
          <w:sz w:val="20"/>
        </w:rPr>
        <w:t>Id.</w:t>
      </w:r>
      <w:r>
        <w:rPr>
          <w:rFonts w:ascii="Times New Roman" w:hAnsi="Times New Roman"/>
          <w:color w:val="000000"/>
          <w:sz w:val="20"/>
        </w:rPr>
        <w:t xml:space="preserve"> at ’937. The team strongly recommended the minority buyouts as the “[s]traightfoward/simple alternative” that would (i) “[a]void[ ] litigation risks associated with business unit integration,” (ii) provide a “[c]lear legal path forward,” and (iii) “[e]liminate 360 ownership stakes” associated with the entities. </w:t>
      </w:r>
      <w:r>
        <w:rPr>
          <w:rFonts w:ascii="Times New Roman" w:hAnsi="Times New Roman"/>
          <w:i/>
          <w:color w:val="000000"/>
          <w:sz w:val="20"/>
        </w:rPr>
        <w:t>Id.</w:t>
      </w:r>
      <w:r>
        <w:rPr>
          <w:rFonts w:ascii="Times New Roman" w:hAnsi="Times New Roman"/>
          <w:color w:val="000000"/>
          <w:sz w:val="20"/>
        </w:rPr>
        <w:t xml:space="preserve"> at ’938.</w:t>
      </w:r>
    </w:p>
    <w:p>
      <w:pPr>
        <w:spacing w:before="0" w:after="0" w:line="275" w:lineRule="atLeast"/>
        <w:jc w:val="both"/>
      </w:pPr>
      <w:r>
        <w:rPr>
          <w:rFonts w:ascii="Times New Roman" w:hAnsi="Times New Roman"/>
          <w:color w:val="000000"/>
          <w:sz w:val="20"/>
        </w:rPr>
        <w:t> </w:t>
      </w:r>
    </w:p>
    <w:bookmarkStart w:id="44" w:name="co_anchor_I8e9b94f1ace211ec8c80dd32e620"/>
    <w:bookmarkStart w:id="45" w:name="co_anchor_I8e9b94f1ace211ec8c80dd32e2"/>
    <w:p>
      <w:pPr>
        <w:spacing w:before="400" w:after="0" w:line="275" w:lineRule="atLeast"/>
      </w:pPr>
      <w:r>
        <w:rPr>
          <w:rFonts w:ascii="Times New Roman" w:hAnsi="Times New Roman"/>
          <w:b/>
          <w:color w:val="000000"/>
          <w:sz w:val="20"/>
        </w:rPr>
        <w:t>J. AT&amp;T Retains PwC To Value The Partnership.</w:t>
      </w:r>
    </w:p>
    <w:bookmarkEnd w:id="45"/>
    <w:bookmarkEnd w:id="44"/>
    <w:p>
      <w:pPr>
        <w:spacing w:before="0" w:after="0" w:line="275" w:lineRule="atLeast"/>
        <w:jc w:val="both"/>
      </w:pPr>
      <w:bookmarkStart w:id="46" w:name="co_pp_sp_999_11_1"/>
      <w:r>
        <w:rPr>
          <w:rFonts w:ascii="Times New Roman" w:hAnsi="Times New Roman"/>
          <w:b/>
          <w:color w:val="000000"/>
          <w:sz w:val="20"/>
        </w:rPr>
        <w:t>*11</w:t>
      </w:r>
      <w:bookmarkEnd w:id="46"/>
      <w:r>
        <w:rPr>
          <w:rFonts w:ascii="Times New Roman" w:hAnsi="Times New Roman"/>
          <w:color w:val="000000"/>
          <w:sz w:val="20"/>
        </w:rPr>
        <w:t xml:space="preserve"> After the presentation from the Project LESS team, Stephens directed Teske and Greg Hall, Mobility's controller, to engage a valuation firm to value the minority partners’ interests. AT&amp;T contacted PricewaterhouseCoopers LLP (“PwC”) and Deloitte LLP, but quickly zeroed in on PwC because of its comfort with Aaron Gilcreast, who would lead the PwC team.</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Before joining PwC, Gilcreast had worked on a number of projects for AT&amp;T and developed relationships with AT&amp;T business executives. While at Standard &amp; Poors, Gilcreast had worked on AT&amp;T's acquisition of Cingular. After Duff &amp; Phelps acquired his practice group, Gilcreast performed accounting and valuation work for AT&amp;T, including projects that involved valuing market-level entities like the Partnership. </w:t>
      </w:r>
      <w:r>
        <w:rPr>
          <w:rFonts w:ascii="Times New Roman" w:hAnsi="Times New Roman"/>
          <w:i/>
          <w:color w:val="000000"/>
          <w:sz w:val="20"/>
        </w:rPr>
        <w:t>See</w:t>
      </w:r>
      <w:r>
        <w:rPr>
          <w:rFonts w:ascii="Times New Roman" w:hAnsi="Times New Roman"/>
          <w:color w:val="000000"/>
          <w:sz w:val="20"/>
        </w:rPr>
        <w:t xml:space="preserve"> Gilcreast Dep. 23–25, 39; Kobos Dep. 32–33; Hall Tr. 1077–79; JX 347 at 3. Gilcreast had left Duff &amp; Phelps to join PwC in 2009, and he remained bound by a noncompetition agreement that prohibited him from working for clients of Duff &amp; Phelps. At AT&amp;T's request, Duff &amp; Phelps waived the restriction. JX 722; </w:t>
      </w:r>
      <w:r>
        <w:rPr>
          <w:rFonts w:ascii="Times New Roman" w:hAnsi="Times New Roman"/>
          <w:i/>
          <w:color w:val="000000"/>
          <w:sz w:val="20"/>
        </w:rPr>
        <w:t>see</w:t>
      </w:r>
      <w:r>
        <w:rPr>
          <w:rFonts w:ascii="Times New Roman" w:hAnsi="Times New Roman"/>
          <w:color w:val="000000"/>
          <w:sz w:val="20"/>
        </w:rPr>
        <w:t xml:space="preserve"> Gilcreast Dep. 31–32.</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Before AT&amp;T hired PwC, AT&amp;T's litigators vetted Gilcreast. The litigators also participated in the initial meeting with Gilcreast's team, and they instructed Teske to provide Gilcreast with a set of documents so they could question Gilcreast. JX 678; JX 687. Teske advised Gilcreast that the attorneys would be focusing on his “capacity/effectiveness as a potential witness.” JX 689; </w:t>
      </w:r>
      <w:r>
        <w:rPr>
          <w:rFonts w:ascii="Times New Roman" w:hAnsi="Times New Roman"/>
          <w:i/>
          <w:color w:val="000000"/>
          <w:sz w:val="20"/>
        </w:rPr>
        <w:t>see also</w:t>
      </w:r>
      <w:r>
        <w:rPr>
          <w:rFonts w:ascii="Times New Roman" w:hAnsi="Times New Roman"/>
          <w:color w:val="000000"/>
          <w:sz w:val="20"/>
        </w:rPr>
        <w:t xml:space="preserve"> JX 691 (Teske anticipating that Gilcreast would bill by the hour “for any potential testimony”).</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In February 2010, after the litigators gave the thumbs up, AT&amp;T formally retained PwC. AT&amp;T agreed to pay PwC $31,860 to value the Partnership. In total, AT&amp;T agreed to pay $417,320 for valuations of all thirteen partnerships. To get PwC started, AT&amp;T directed Duff &amp; Phelps to send PwC valuations for four of AT&amp;T's partnerships that Duff &amp; Phelps prepared in 2007. JX 3502.</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 provided PwC with two sets of financial forecasts. One was a three-year plan for AT&amp;T's wireless business prepared by the Financial Planning Team at Mobility (the “Three-Year Plan”). The other was a ten-year plan for AT&amp;T as a whole prepared by the Corporate Financial Planning Team at AT&amp;T (the “Ten-Year Plan”).</w:t>
      </w:r>
    </w:p>
    <w:p>
      <w:pPr>
        <w:spacing w:before="0" w:after="0" w:line="275" w:lineRule="atLeast"/>
        <w:jc w:val="both"/>
      </w:pPr>
      <w:r>
        <w:rPr>
          <w:rFonts w:ascii="Times New Roman" w:hAnsi="Times New Roman"/>
          <w:color w:val="000000"/>
          <w:sz w:val="20"/>
        </w:rPr>
        <w:t> </w:t>
      </w:r>
    </w:p>
    <w:bookmarkStart w:id="47" w:name="co_anchor_I8e9d90c1ace211ec8c80dd32e620"/>
    <w:bookmarkStart w:id="48" w:name="co_anchor_I8e9d90c1ace211ec8c80dd32e2"/>
    <w:p>
      <w:pPr>
        <w:pBdr>
          <w:left w:val="none" w:space="10"/>
        </w:pBdr>
        <w:spacing w:before="400" w:after="0" w:line="275" w:lineRule="atLeast"/>
        <w:ind w:left="200" w:right="0" w:firstLine="0"/>
      </w:pPr>
      <w:r>
        <w:rPr>
          <w:rFonts w:ascii="Times New Roman" w:hAnsi="Times New Roman"/>
          <w:b/>
          <w:color w:val="000000"/>
          <w:sz w:val="20"/>
        </w:rPr>
        <w:t>1. The Three-Year Plan</w:t>
      </w:r>
    </w:p>
    <w:bookmarkEnd w:id="48"/>
    <w:bookmarkEnd w:id="47"/>
    <w:p>
      <w:pPr>
        <w:spacing w:before="0" w:after="0" w:line="275" w:lineRule="atLeast"/>
        <w:jc w:val="both"/>
      </w:pPr>
      <w:r>
        <w:rPr>
          <w:rFonts w:ascii="Times New Roman" w:hAnsi="Times New Roman"/>
          <w:color w:val="000000"/>
          <w:sz w:val="20"/>
        </w:rPr>
        <w:t>Each summer, AT&amp;T Mobility's Financial Planning Team prepared that year's iteration of the Three-Year Plan. It consisted of a three-year forecast and a valuation of AT&amp;T's wireless business. AT&amp;T considered the Three-Year Plan “to be an accurate representation of [its] true expectations for the business.” JX 780 at ’841. AT&amp;T rigorously monitored its performance against the Three-Year Plan. Stephens Dep. 34–35.</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 used the Three-Year Plan to draft Mobility's annual budget. Stephens Tr. 39, 41; Paoletti Dep. 21. AT&amp;T also used the Three-Year Plan when calculating incentive compensation for its executives. </w:t>
      </w:r>
      <w:r>
        <w:rPr>
          <w:rFonts w:ascii="Times New Roman" w:hAnsi="Times New Roman"/>
          <w:color w:val="000000"/>
          <w:sz w:val="20"/>
        </w:rPr>
        <w:t>Stephens Tr. 39; Stephens Dep. 32–34; Kobos Dep. 112–13. And AT&amp;T used the Three-Year Plan when communicating with investors about targets for subscriber growth, revenue, and earnings per share. Stephens Dep. 32–33; Kobos Dep. 127, 147–48. More broadly, Mobility used the Three-Year Plan for strategic planning and to measure performance against the operational and financial goals set by AT&amp;T's Financial Planning Team. Paoletti Dep. 37–38.</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49" w:name="co_pp_sp_999_12_1"/>
      <w:r>
        <w:rPr>
          <w:rFonts w:ascii="Times New Roman" w:hAnsi="Times New Roman"/>
          <w:b/>
          <w:color w:val="000000"/>
          <w:sz w:val="20"/>
        </w:rPr>
        <w:t>*12</w:t>
      </w:r>
      <w:bookmarkEnd w:id="49"/>
      <w:r>
        <w:rPr>
          <w:rFonts w:ascii="Times New Roman" w:hAnsi="Times New Roman"/>
          <w:color w:val="000000"/>
          <w:sz w:val="20"/>
        </w:rPr>
        <w:t xml:space="preserve"> Dale Paoletti, the Director of Financial Analysis at Mobility, oversaw the preparation of the Three-Year Plan. His team started by analyzing historical trends and Mobility's forecast for the current year. The team then sought input from AT&amp;T subject matter experts, such as sales, marketing, finance, information technology, and network specialists, who identified their departments’ needs and provided feedback on trends. Paoletti's team typically deferred to the subject matter experts, but would seek clarification on any input that “looked out of trend.” Paoletti Dep. 26–28; </w:t>
      </w:r>
      <w:r>
        <w:rPr>
          <w:rFonts w:ascii="Times New Roman" w:hAnsi="Times New Roman"/>
          <w:i/>
          <w:color w:val="000000"/>
          <w:sz w:val="20"/>
        </w:rPr>
        <w:t>see</w:t>
      </w:r>
      <w:r>
        <w:rPr>
          <w:rFonts w:ascii="Times New Roman" w:hAnsi="Times New Roman"/>
          <w:color w:val="000000"/>
          <w:sz w:val="20"/>
        </w:rPr>
        <w:t xml:space="preserve"> Stephens Tr. 40. The process thus began with a “top-down” approach, then applied a “bottoms-up” approach based on “[i]nput received from across the organization.” JX 780 at ’841.</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After preparing the Three-Year Plan, Paoletti's team handed it off to AT&amp;T's Financial Planning Team, who used the first year of the plan to prepare the current year's budget for AT&amp;T's wireless business. Stephens Tr. 39, 41; Paoletti Dep. 21–22. After review by senior AT&amp;T executives, the Three-Year Plan and the annual budget were presented to and approved by AT&amp;T's board of directors. JX 1269 at ’176; Stephens Tr. 40; </w:t>
      </w:r>
      <w:r>
        <w:rPr>
          <w:rFonts w:ascii="Times New Roman" w:hAnsi="Times New Roman"/>
          <w:i/>
          <w:color w:val="000000"/>
          <w:sz w:val="20"/>
        </w:rPr>
        <w:t>see</w:t>
      </w:r>
      <w:r>
        <w:rPr>
          <w:rFonts w:ascii="Times New Roman" w:hAnsi="Times New Roman"/>
          <w:color w:val="000000"/>
          <w:sz w:val="20"/>
        </w:rPr>
        <w:t xml:space="preserve"> Paoletti Dep. 42–43.</w:t>
      </w:r>
    </w:p>
    <w:p>
      <w:pPr>
        <w:spacing w:before="0" w:after="0" w:line="275" w:lineRule="atLeast"/>
        <w:jc w:val="both"/>
      </w:pPr>
      <w:r>
        <w:rPr>
          <w:rFonts w:ascii="Times New Roman" w:hAnsi="Times New Roman"/>
          <w:color w:val="000000"/>
          <w:sz w:val="20"/>
        </w:rPr>
        <w:t> </w:t>
      </w:r>
    </w:p>
    <w:bookmarkStart w:id="50" w:name="co_anchor_I8ea001c1ace211ec8c80dd32e620"/>
    <w:bookmarkStart w:id="51" w:name="co_anchor_I8ea001c1ace211ec8c80dd32e2"/>
    <w:p>
      <w:pPr>
        <w:pBdr>
          <w:left w:val="none" w:space="10"/>
        </w:pBdr>
        <w:spacing w:before="400" w:after="0" w:line="275" w:lineRule="atLeast"/>
        <w:ind w:left="200" w:right="0" w:firstLine="0"/>
      </w:pPr>
      <w:r>
        <w:rPr>
          <w:rFonts w:ascii="Times New Roman" w:hAnsi="Times New Roman"/>
          <w:b/>
          <w:color w:val="000000"/>
          <w:sz w:val="20"/>
        </w:rPr>
        <w:t>2. The Ten-Year Plan</w:t>
      </w:r>
    </w:p>
    <w:bookmarkEnd w:id="51"/>
    <w:bookmarkEnd w:id="50"/>
    <w:p>
      <w:pPr>
        <w:spacing w:before="0" w:after="0" w:line="275" w:lineRule="atLeast"/>
        <w:jc w:val="both"/>
      </w:pPr>
      <w:r>
        <w:rPr>
          <w:rFonts w:ascii="Times New Roman" w:hAnsi="Times New Roman"/>
          <w:color w:val="000000"/>
          <w:sz w:val="20"/>
        </w:rPr>
        <w:t>Each spring, AT&amp;T's Financial Planning Team prepared that year's iteration of the Ten-Year Plan, which AT&amp;T also referred to as a “10-Year View Sum-of-Parts Valuation.” JX 1269 at ’176. The Ten-Year Plan was a long-term forecast and valuation for all of AT&amp;T's businesses.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 regarded the Ten-Year Plan as a “business as usual” view of the company as a whole. </w:t>
      </w:r>
      <w:r>
        <w:rPr>
          <w:rFonts w:ascii="Times New Roman" w:hAnsi="Times New Roman"/>
          <w:i/>
          <w:color w:val="000000"/>
          <w:sz w:val="20"/>
        </w:rPr>
        <w:t>See</w:t>
      </w:r>
      <w:r>
        <w:rPr>
          <w:rFonts w:ascii="Times New Roman" w:hAnsi="Times New Roman"/>
          <w:color w:val="000000"/>
          <w:sz w:val="20"/>
        </w:rPr>
        <w:t xml:space="preserve"> Kobos Dep. 26–27; Stephens Tr. 40–41. AT&amp;T used the Ten-Year Plan as a baseline when considering how new initiatives might affect the company. AT&amp;T also used the Ten-Year Plan in its annual tests of goodwill impairment.</w:t>
      </w:r>
      <w:bookmarkStart w:id="52" w:name="co_fnRef_B00092055700832_ID0EGLBG_1"/>
      <w:hyperlink w:anchor="co_footnote_B00092055700832_1">
        <w:r>
          <w:rPr>
            <w:rFonts w:ascii="Times New Roman" w:hAnsi="Times New Roman"/>
            <w:color w:val="000000"/>
            <w:sz w:val="16"/>
            <w:vertAlign w:val="superscript"/>
          </w:rPr>
          <w:t>9</w:t>
        </w:r>
      </w:hyperlink>
      <w:bookmarkEnd w:id="52"/>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Philip Kobos, AT&amp;T's Director of Corporate Planning, oversaw the preparation of Mobility's portion of the Ten-Year Plan. Kobos’ team used a “top-down” process that involved updating the prior year's plan with the latest operational results and the projections from the Three-Year Plan. Kobos Dep. 48; </w:t>
      </w:r>
      <w:r>
        <w:rPr>
          <w:rFonts w:ascii="Times New Roman" w:hAnsi="Times New Roman"/>
          <w:i/>
          <w:color w:val="000000"/>
          <w:sz w:val="20"/>
        </w:rPr>
        <w:t>see</w:t>
      </w:r>
      <w:r>
        <w:rPr>
          <w:rFonts w:ascii="Times New Roman" w:hAnsi="Times New Roman"/>
          <w:color w:val="000000"/>
          <w:sz w:val="20"/>
        </w:rPr>
        <w:t xml:space="preserve"> PTO ¶ 230. The team then extended those projections into the future based on historical growth rate trends and AT&amp;T's strategic goals. Kobos Dep. 50–51. The final Ten-Year Plan contained forecasts for key metrics such as wireless service revenue, wireless penetration, AT&amp;T's market share, average revenue per user (“ARPU”), capital budget needs, and operating profit. </w:t>
      </w:r>
      <w:r>
        <w:rPr>
          <w:rFonts w:ascii="Times New Roman" w:hAnsi="Times New Roman"/>
          <w:i/>
          <w:color w:val="000000"/>
          <w:sz w:val="20"/>
        </w:rPr>
        <w:t>See</w:t>
      </w:r>
      <w:r>
        <w:rPr>
          <w:rFonts w:ascii="Times New Roman" w:hAnsi="Times New Roman"/>
          <w:color w:val="000000"/>
          <w:sz w:val="20"/>
        </w:rPr>
        <w:t xml:space="preserve"> JX 362 at 2.</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Ten-Year Plan occasionally was used in presentations for senior AT&amp;T executives. But unlike the Three-Year Plan, the Ten-Year Plan did not have to be approved by AT&amp;T's board of directors. Mobility's Financial Planning Team did not use the Ten-Year Plan. Paoletti Dep. 38. AT&amp;T did not use the Ten-Year Plan to set incentive compensation for directors and officers. Kobos Dep. 111.</w:t>
      </w:r>
    </w:p>
    <w:p>
      <w:pPr>
        <w:spacing w:before="0" w:after="0" w:line="275" w:lineRule="atLeast"/>
        <w:jc w:val="both"/>
      </w:pPr>
      <w:r>
        <w:rPr>
          <w:rFonts w:ascii="Times New Roman" w:hAnsi="Times New Roman"/>
          <w:color w:val="000000"/>
          <w:sz w:val="20"/>
        </w:rPr>
        <w:t> </w:t>
      </w:r>
    </w:p>
    <w:bookmarkStart w:id="53" w:name="co_anchor_I8ea272c1ace211ec8c80dd32e620"/>
    <w:bookmarkStart w:id="54" w:name="co_anchor_I8ea272c1ace211ec8c80dd32e2"/>
    <w:p>
      <w:pPr>
        <w:pBdr>
          <w:left w:val="none" w:space="10"/>
        </w:pBdr>
        <w:spacing w:before="400" w:after="0" w:line="275" w:lineRule="atLeast"/>
        <w:ind w:left="200" w:right="0" w:firstLine="0"/>
      </w:pPr>
      <w:r>
        <w:rPr>
          <w:rFonts w:ascii="Times New Roman" w:hAnsi="Times New Roman"/>
          <w:b/>
          <w:color w:val="000000"/>
          <w:sz w:val="20"/>
        </w:rPr>
        <w:t>3. The Relative Merits Of The Plans</w:t>
      </w:r>
    </w:p>
    <w:bookmarkEnd w:id="54"/>
    <w:bookmarkEnd w:id="53"/>
    <w:p>
      <w:pPr>
        <w:spacing w:before="0" w:after="0" w:line="275" w:lineRule="atLeast"/>
        <w:jc w:val="both"/>
      </w:pPr>
      <w:r>
        <w:rPr>
          <w:rFonts w:ascii="Times New Roman" w:hAnsi="Times New Roman"/>
          <w:color w:val="000000"/>
          <w:sz w:val="20"/>
        </w:rPr>
        <w:t xml:space="preserve">The parties have engaged in vigorous debate over the relative merits of the Three-Year Plan and the Ten-Year Plan. The plaintiffs prefer the Three-Year Plan, which projected greater near term growth. </w:t>
      </w:r>
      <w:r>
        <w:rPr>
          <w:rFonts w:ascii="Times New Roman" w:hAnsi="Times New Roman"/>
          <w:color w:val="000000"/>
          <w:sz w:val="20"/>
        </w:rPr>
        <w:t>AT&amp;T prefers the Ten-Year Plan, which anticipated more moderate growth.</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Three-Year Plan is generally more credible and reliable than the Ten-Year Plan. It resulted from a more reliable and detailed process, it was approved by AT&amp;T's board of directors, and it was used more extensively in AT&amp;T's business planning and operations. AT&amp;T measured its performance against the Three-Year Plan, including for purposes of executive compensation.</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55" w:name="co_pp_sp_999_13_1"/>
      <w:r>
        <w:rPr>
          <w:rFonts w:ascii="Times New Roman" w:hAnsi="Times New Roman"/>
          <w:b/>
          <w:color w:val="000000"/>
          <w:sz w:val="20"/>
        </w:rPr>
        <w:t>*13</w:t>
      </w:r>
      <w:bookmarkEnd w:id="55"/>
      <w:r>
        <w:rPr>
          <w:rFonts w:ascii="Times New Roman" w:hAnsi="Times New Roman"/>
          <w:color w:val="000000"/>
          <w:sz w:val="20"/>
        </w:rPr>
        <w:t xml:space="preserve"> The Ten-Year Plan is relatively less credible and reliable. It primarily resulted from a top-down process, it was not approved by AT&amp;T's board of directors, and it was not used as extensively in AT&amp;T's business. That is not to say that the Ten-Year Plan is unreliable. It still warrants consideration, but it is less persuasive than the Three-Year Plan.</w:t>
      </w:r>
      <w:bookmarkStart w:id="56" w:name="co_fnRef_B00102055700832_ID0EQQBG_1"/>
      <w:hyperlink w:anchor="co_footnote_B00102055700832_1">
        <w:r>
          <w:rPr>
            <w:rFonts w:ascii="Times New Roman" w:hAnsi="Times New Roman"/>
            <w:color w:val="000000"/>
            <w:sz w:val="16"/>
            <w:vertAlign w:val="superscript"/>
          </w:rPr>
          <w:t>10</w:t>
        </w:r>
      </w:hyperlink>
      <w:bookmarkEnd w:id="56"/>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When PwC prepared its valuation of the Partnership, only the 2009 versions of the Three-Year Plan and the Ten-Year Plan were available. </w:t>
      </w:r>
      <w:r>
        <w:rPr>
          <w:rFonts w:ascii="Times New Roman" w:hAnsi="Times New Roman"/>
          <w:i/>
          <w:color w:val="000000"/>
          <w:sz w:val="20"/>
        </w:rPr>
        <w:t>See</w:t>
      </w:r>
      <w:r>
        <w:rPr>
          <w:rFonts w:ascii="Times New Roman" w:hAnsi="Times New Roman"/>
          <w:color w:val="000000"/>
          <w:sz w:val="20"/>
        </w:rPr>
        <w:t xml:space="preserve"> JX 749. AT&amp;T prepared the 2010 Ten-Year Plan and provided it to PwC late in the valuation process. </w:t>
      </w:r>
      <w:r>
        <w:rPr>
          <w:rFonts w:ascii="Times New Roman" w:hAnsi="Times New Roman"/>
          <w:i/>
          <w:color w:val="000000"/>
          <w:sz w:val="20"/>
        </w:rPr>
        <w:t>See</w:t>
      </w:r>
      <w:r>
        <w:rPr>
          <w:rFonts w:ascii="Times New Roman" w:hAnsi="Times New Roman"/>
          <w:color w:val="000000"/>
          <w:sz w:val="20"/>
        </w:rPr>
        <w:t xml:space="preserve"> JX 749; JX 750; JX 2419 at 73 n.198. Gilcreast did not recall using it. </w:t>
      </w:r>
      <w:r>
        <w:rPr>
          <w:rFonts w:ascii="Times New Roman" w:hAnsi="Times New Roman"/>
          <w:i/>
          <w:color w:val="000000"/>
          <w:sz w:val="20"/>
        </w:rPr>
        <w:t>See</w:t>
      </w:r>
      <w:r>
        <w:rPr>
          <w:rFonts w:ascii="Times New Roman" w:hAnsi="Times New Roman"/>
          <w:color w:val="000000"/>
          <w:sz w:val="20"/>
        </w:rPr>
        <w:t xml:space="preserve"> Gilcreast Dep. 225.</w:t>
      </w:r>
    </w:p>
    <w:p>
      <w:pPr>
        <w:spacing w:before="0" w:after="0" w:line="275" w:lineRule="atLeast"/>
        <w:jc w:val="both"/>
      </w:pPr>
      <w:r>
        <w:rPr>
          <w:rFonts w:ascii="Times New Roman" w:hAnsi="Times New Roman"/>
          <w:color w:val="000000"/>
          <w:sz w:val="20"/>
        </w:rPr>
        <w:t> </w:t>
      </w:r>
    </w:p>
    <w:bookmarkStart w:id="57" w:name="co_anchor_I8ea4bcb1ace211ec8c80dd32e620"/>
    <w:bookmarkStart w:id="58" w:name="co_anchor_I8ea4bcb1ace211ec8c80dd32e2"/>
    <w:p>
      <w:pPr>
        <w:spacing w:before="400" w:after="0" w:line="275" w:lineRule="atLeast"/>
      </w:pPr>
      <w:r>
        <w:rPr>
          <w:rFonts w:ascii="Times New Roman" w:hAnsi="Times New Roman"/>
          <w:b/>
          <w:color w:val="000000"/>
          <w:sz w:val="20"/>
        </w:rPr>
        <w:t>K. PwC Completes Its Valuations.</w:t>
      </w:r>
    </w:p>
    <w:bookmarkEnd w:id="58"/>
    <w:bookmarkEnd w:id="57"/>
    <w:p>
      <w:pPr>
        <w:spacing w:before="0" w:after="0" w:line="275" w:lineRule="atLeast"/>
        <w:jc w:val="both"/>
      </w:pPr>
      <w:r>
        <w:rPr>
          <w:rFonts w:ascii="Times New Roman" w:hAnsi="Times New Roman"/>
          <w:color w:val="000000"/>
          <w:sz w:val="20"/>
        </w:rPr>
        <w:t xml:space="preserve">When PwC began work in February 2010, AT&amp;T gave PwC a deadline of March 29, 2010, for its valuations. </w:t>
      </w:r>
      <w:r>
        <w:rPr>
          <w:rFonts w:ascii="Times New Roman" w:hAnsi="Times New Roman"/>
          <w:i/>
          <w:color w:val="000000"/>
          <w:sz w:val="20"/>
        </w:rPr>
        <w:t>See</w:t>
      </w:r>
      <w:r>
        <w:rPr>
          <w:rFonts w:ascii="Times New Roman" w:hAnsi="Times New Roman"/>
          <w:color w:val="000000"/>
          <w:sz w:val="20"/>
        </w:rPr>
        <w:t xml:space="preserve"> JX 867 at ’251–52. During the negotiations over PwC's engagement letter, AT&amp;T even asked Gilcreast to reduce the amount of time his team would spend on the valuations. Gilcreast obliged. JX 706.</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On March 10, 2010, the PwC team met with Wages and Suma Gopalan, the regional business operations director for the Partnership. The meeting focused on basic characteristics of the Partnership's business, such as the size of the Salem Market, the rate of wireless penetration, the Partnership's ARPU, and the Partnership's “churn”—a measure of the number of the Partnership's subscribers who disconnected their service during a given period. </w:t>
      </w:r>
      <w:r>
        <w:rPr>
          <w:rFonts w:ascii="Times New Roman" w:hAnsi="Times New Roman"/>
          <w:i/>
          <w:color w:val="000000"/>
          <w:sz w:val="20"/>
        </w:rPr>
        <w:t>See</w:t>
      </w:r>
      <w:r>
        <w:rPr>
          <w:rFonts w:ascii="Times New Roman" w:hAnsi="Times New Roman"/>
          <w:color w:val="000000"/>
          <w:sz w:val="20"/>
        </w:rPr>
        <w:t xml:space="preserve"> JX 1075. The meeting thus addressed the metrics for valuing the Partnership as if it were a mini-independent wireless company that only offered traditional wireless services in the Salem Market, rather than as an integrated part of AT&amp;T's nationwide network. Gopalan believed that growth rates for the Partnership's inputs should “follow the overall AT&amp;T trend.” </w:t>
      </w:r>
      <w:r>
        <w:rPr>
          <w:rFonts w:ascii="Times New Roman" w:hAnsi="Times New Roman"/>
          <w:i/>
          <w:color w:val="000000"/>
          <w:sz w:val="20"/>
        </w:rPr>
        <w:t>Id.</w:t>
      </w:r>
      <w:r>
        <w:rPr>
          <w:rFonts w:ascii="Times New Roman" w:hAnsi="Times New Roman"/>
          <w:color w:val="000000"/>
          <w:sz w:val="20"/>
        </w:rPr>
        <w:t xml:space="preserve"> at 8–9.</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On Friday March 26, 2010, PwC met with employees in AT&amp;T's Corporate Development Department. </w:t>
      </w:r>
      <w:r>
        <w:rPr>
          <w:rFonts w:ascii="Times New Roman" w:hAnsi="Times New Roman"/>
          <w:i/>
          <w:color w:val="000000"/>
          <w:sz w:val="20"/>
        </w:rPr>
        <w:t>See</w:t>
      </w:r>
      <w:r>
        <w:rPr>
          <w:rFonts w:ascii="Times New Roman" w:hAnsi="Times New Roman"/>
          <w:color w:val="000000"/>
          <w:sz w:val="20"/>
        </w:rPr>
        <w:t xml:space="preserve"> JX 887; JX 889. AT&amp;T has maintained in this proceeding that no one instructed or pressured PwC to make changes to its valuation, but the evidence shows that PwC made changes to its model after the meeting. In fact, over the weekend, PwC indicated that while it could provide the first draft report on March 30, it would take time to incorporate all the changes that the Corporate Development Department wanted. Gilcreast proposed that AT&amp;T review the first report and provide comments so that PwC could incorporate the input in the other reports. JX 887.</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59" w:name="co_pp_sp_999_14_1"/>
      <w:r>
        <w:rPr>
          <w:rFonts w:ascii="Times New Roman" w:hAnsi="Times New Roman"/>
          <w:b/>
          <w:color w:val="000000"/>
          <w:sz w:val="20"/>
        </w:rPr>
        <w:t>*14</w:t>
      </w:r>
      <w:bookmarkEnd w:id="59"/>
      <w:r>
        <w:rPr>
          <w:rFonts w:ascii="Times New Roman" w:hAnsi="Times New Roman"/>
          <w:color w:val="000000"/>
          <w:sz w:val="20"/>
        </w:rPr>
        <w:t xml:space="preserve"> Coincidentally, the first report was for the Partnership. PwC concluded that the value of the Partnership was $219 million. PwC reached this conclusion by giving equal weight to a DCF analysis and a comparable companies analysis. The DCF analysis generated a value of $208 million. The comparable companies analysis generated a value of $242 million. PwC averaged the two, added the Partnership's net cash, and subtracted the value of the AT&amp;T-owned spectrum that the Partnership used free of charge. JX 894.</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During April and May 2010, PwC sent AT&amp;T its final valuations. </w:t>
      </w:r>
      <w:r>
        <w:rPr>
          <w:rFonts w:ascii="Times New Roman" w:hAnsi="Times New Roman"/>
          <w:color w:val="000000"/>
          <w:sz w:val="20"/>
        </w:rPr>
        <w:t>Each used March 30, 2010, as the valuation date.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PwC's final valuation for the Partnership was unchanged at $219 million. AT&amp;T used that valuation to set the price it paid in the Freeze-Out.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total valuation for the minority partners’ interests across all the partnerships was $130 million. That was much lower than the $243 million of avoided distributions that AT&amp;T had estimated in 2008 that the buyouts would unlock. </w:t>
      </w:r>
      <w:r>
        <w:rPr>
          <w:rFonts w:ascii="Times New Roman" w:hAnsi="Times New Roman"/>
          <w:i/>
          <w:color w:val="000000"/>
          <w:sz w:val="20"/>
        </w:rPr>
        <w:t>See</w:t>
      </w:r>
      <w:r>
        <w:rPr>
          <w:rFonts w:ascii="Times New Roman" w:hAnsi="Times New Roman"/>
          <w:color w:val="000000"/>
          <w:sz w:val="20"/>
        </w:rPr>
        <w:t xml:space="preserve"> JX 1123a.</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After receiving the valuations, Stephens sought approval from Stephenson, AT&amp;T's Chairman and CEO, to eliminate the minority partners. In connection with the meeting, AT&amp;T executives sent Stephenson a memorandum that quantified the administrative, audit, and tax savings that AT&amp;T would achieve. The memorandum also identified a benefit in the form of a “[d]ecreased distribution payment stream.” JX 3514 at ’575. The memorandum conspicuously failed to quantify the decreased distributions. AT&amp;T necessarily knew the value of that component, because AT&amp;T observed that eliminating the minority partners “will be slightly accretive to AT&amp;T's earnings and free cash flow per share.” </w:t>
      </w:r>
      <w:r>
        <w:rPr>
          <w:rFonts w:ascii="Times New Roman" w:hAnsi="Times New Roman"/>
          <w:i/>
          <w:color w:val="000000"/>
          <w:sz w:val="20"/>
        </w:rPr>
        <w:t>Id.</w:t>
      </w:r>
      <w:r>
        <w:rPr>
          <w:rFonts w:ascii="Times New Roman" w:hAnsi="Times New Roman"/>
          <w:color w:val="000000"/>
          <w:sz w:val="20"/>
        </w:rPr>
        <w:t xml:space="preserve"> Knowing that the number would become a focal point of any litigation challenging the transactions, AT&amp;T omitted any direct reference to the most significant financial benefit. On June 3, 2010, Stephenson approved the Freeze-Out and the transactions involving the Partnership's sister entities.</w:t>
      </w:r>
    </w:p>
    <w:p>
      <w:pPr>
        <w:spacing w:before="0" w:after="0" w:line="275" w:lineRule="atLeast"/>
        <w:jc w:val="both"/>
      </w:pPr>
      <w:r>
        <w:rPr>
          <w:rFonts w:ascii="Times New Roman" w:hAnsi="Times New Roman"/>
          <w:color w:val="000000"/>
          <w:sz w:val="20"/>
        </w:rPr>
        <w:t> </w:t>
      </w:r>
    </w:p>
    <w:bookmarkStart w:id="60" w:name="co_anchor_I8ea7f101ace211ec8c80dd32e620"/>
    <w:bookmarkStart w:id="61" w:name="co_anchor_I8ea7f101ace211ec8c80dd32e2"/>
    <w:p>
      <w:pPr>
        <w:spacing w:before="400" w:after="0" w:line="275" w:lineRule="atLeast"/>
      </w:pPr>
      <w:r>
        <w:rPr>
          <w:rFonts w:ascii="Times New Roman" w:hAnsi="Times New Roman"/>
          <w:b/>
          <w:color w:val="000000"/>
          <w:sz w:val="20"/>
        </w:rPr>
        <w:t>L. AT&amp;T Continues To See Future Growth In Wireless Data.</w:t>
      </w:r>
    </w:p>
    <w:bookmarkEnd w:id="61"/>
    <w:bookmarkEnd w:id="60"/>
    <w:p>
      <w:pPr>
        <w:spacing w:before="0" w:after="0" w:line="275" w:lineRule="atLeast"/>
        <w:jc w:val="both"/>
      </w:pPr>
      <w:r>
        <w:rPr>
          <w:rFonts w:ascii="Times New Roman" w:hAnsi="Times New Roman"/>
          <w:color w:val="000000"/>
          <w:sz w:val="20"/>
        </w:rPr>
        <w:t xml:space="preserve">While the valuation process was going on, AT&amp;T continued to stress that its future lay in wireless data. In its annual report for 2009, issued on February 25, 2010, AT&amp;T described mobility services as “the driving force behind our industry's growth.” JX 3812 at 2. AT&amp;T identified Mobility as its “No. 1 investment priority.” </w:t>
      </w:r>
      <w:r>
        <w:rPr>
          <w:rFonts w:ascii="Times New Roman" w:hAnsi="Times New Roman"/>
          <w:i/>
          <w:color w:val="000000"/>
          <w:sz w:val="20"/>
        </w:rPr>
        <w:t>Id.</w:t>
      </w:r>
      <w:r>
        <w:rPr>
          <w:rFonts w:ascii="Times New Roman" w:hAnsi="Times New Roman"/>
          <w:color w:val="000000"/>
          <w:sz w:val="20"/>
        </w:rPr>
        <w:t xml:space="preserve"> at 4. The report highlighted AT&amp;T's leadership in smartphones and emerging devices, which the report described as “the next wave of growth in wireless.” </w:t>
      </w:r>
      <w:r>
        <w:rPr>
          <w:rFonts w:ascii="Times New Roman" w:hAnsi="Times New Roman"/>
          <w:i/>
          <w:color w:val="000000"/>
          <w:sz w:val="20"/>
        </w:rPr>
        <w:t>Id.</w:t>
      </w:r>
      <w:r>
        <w:rPr>
          <w:rFonts w:ascii="Times New Roman" w:hAnsi="Times New Roman"/>
          <w:color w:val="000000"/>
          <w:sz w:val="20"/>
        </w:rPr>
        <w:t xml:space="preserve"> at 2.</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In March 2010, Ralph de la Vega, the CEO of Mobility, predicted that Connected Devices would “become a billion dollar business” for AT&amp;T “in a few years.” JX 878. Later in spring 2010, Lurie outlined Mobility's vision for the future of wireless:</w:t>
      </w:r>
    </w:p>
    <w:p>
      <w:pPr>
        <w:spacing w:before="200" w:after="0" w:line="275" w:lineRule="atLeast"/>
        <w:ind w:left="480" w:right="480" w:firstLine="0"/>
        <w:jc w:val="both"/>
      </w:pPr>
      <w:r>
        <w:rPr>
          <w:rFonts w:ascii="Times New Roman" w:hAnsi="Times New Roman"/>
          <w:color w:val="000000"/>
          <w:sz w:val="20"/>
        </w:rPr>
        <w:t>[T]he most key message is that going forward, everything is going to be wirelessly enabled. Every device, anything that has a current running through it, is going to have wireless connectivity, which is exactly what people expect [and] want, and it's going to raise the value of all of the products and it's going to change our lives. The takeaway is that that is not something that's going to happen in the future; it's happening right now.</w:t>
      </w:r>
    </w:p>
    <w:p>
      <w:pPr>
        <w:spacing w:before="200" w:after="0" w:line="275" w:lineRule="atLeast"/>
        <w:jc w:val="both"/>
      </w:pPr>
      <w:r>
        <w:rPr>
          <w:rFonts w:ascii="Times New Roman" w:hAnsi="Times New Roman"/>
          <w:color w:val="000000"/>
          <w:sz w:val="20"/>
        </w:rPr>
        <w:t xml:space="preserve">JX 990 at 0:22–0:40; </w:t>
      </w:r>
      <w:r>
        <w:rPr>
          <w:rFonts w:ascii="Times New Roman" w:hAnsi="Times New Roman"/>
          <w:i/>
          <w:color w:val="000000"/>
          <w:sz w:val="20"/>
        </w:rPr>
        <w:t>see also</w:t>
      </w:r>
      <w:r>
        <w:rPr>
          <w:rFonts w:ascii="Times New Roman" w:hAnsi="Times New Roman"/>
          <w:color w:val="000000"/>
          <w:sz w:val="20"/>
        </w:rPr>
        <w:t xml:space="preserve"> JX 853. AT&amp;T expected robust growth in “data plans and data usage” and believed its network was uniquely positioned to capitalize on the coming wave of wireless activity. JX 2432 at ’797.</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By summer 2010, consolidation in the wireless industry had resulted in four major carriers—AT&amp;T, Verizon, Sprint, and T-Mobile—dominating 90% of the U.S. market. Taylor Report at 10; </w:t>
      </w:r>
      <w:r>
        <w:rPr>
          <w:rFonts w:ascii="Times New Roman" w:hAnsi="Times New Roman"/>
          <w:i/>
          <w:color w:val="000000"/>
          <w:sz w:val="20"/>
        </w:rPr>
        <w:t>see</w:t>
      </w:r>
      <w:r>
        <w:rPr>
          <w:rFonts w:ascii="Times New Roman" w:hAnsi="Times New Roman"/>
          <w:color w:val="000000"/>
          <w:sz w:val="20"/>
        </w:rPr>
        <w:t xml:space="preserve"> JX 1209 at ’044. Regional wireless carriers such as US Cellular, MetroPCS, and Leap Wireless accounted for the balance. Taylor Report at 10. By this point, the legacy wireless voice business was relatively mature. </w:t>
      </w:r>
      <w:r>
        <w:rPr>
          <w:rFonts w:ascii="Times New Roman" w:hAnsi="Times New Roman"/>
          <w:i/>
          <w:color w:val="000000"/>
          <w:sz w:val="20"/>
        </w:rPr>
        <w:t>See</w:t>
      </w:r>
      <w:r>
        <w:rPr>
          <w:rFonts w:ascii="Times New Roman" w:hAnsi="Times New Roman"/>
          <w:color w:val="000000"/>
          <w:sz w:val="20"/>
        </w:rPr>
        <w:t xml:space="preserve"> JX 1209 at ’045; JX 1239; JX 1330. Data-related businesses represented the future. </w:t>
      </w:r>
      <w:r>
        <w:rPr>
          <w:rFonts w:ascii="Times New Roman" w:hAnsi="Times New Roman"/>
          <w:i/>
          <w:color w:val="000000"/>
          <w:sz w:val="20"/>
        </w:rPr>
        <w:t>See</w:t>
      </w:r>
      <w:r>
        <w:rPr>
          <w:rFonts w:ascii="Times New Roman" w:hAnsi="Times New Roman"/>
          <w:color w:val="000000"/>
          <w:sz w:val="20"/>
        </w:rPr>
        <w:t xml:space="preserve"> JX 1239 at 11.</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62" w:name="co_pp_sp_999_15_1"/>
      <w:r>
        <w:rPr>
          <w:rFonts w:ascii="Times New Roman" w:hAnsi="Times New Roman"/>
          <w:b/>
          <w:color w:val="000000"/>
          <w:sz w:val="20"/>
        </w:rPr>
        <w:t>*15</w:t>
      </w:r>
      <w:bookmarkEnd w:id="62"/>
      <w:r>
        <w:rPr>
          <w:rFonts w:ascii="Times New Roman" w:hAnsi="Times New Roman"/>
          <w:color w:val="000000"/>
          <w:sz w:val="20"/>
        </w:rPr>
        <w:t xml:space="preserve"> Reflecting a decline in voice revenue, AT&amp;T's earnings for the second quarter of 2010 fell short of expectations for revenue growth and new subscribers. </w:t>
      </w:r>
      <w:r>
        <w:rPr>
          <w:rFonts w:ascii="Times New Roman" w:hAnsi="Times New Roman"/>
          <w:color w:val="000000"/>
          <w:sz w:val="20"/>
        </w:rPr>
        <w:t xml:space="preserve">JX 1312 at ’160; </w:t>
      </w:r>
      <w:r>
        <w:rPr>
          <w:rFonts w:ascii="Times New Roman" w:hAnsi="Times New Roman"/>
          <w:i/>
          <w:color w:val="000000"/>
          <w:sz w:val="20"/>
        </w:rPr>
        <w:t>see</w:t>
      </w:r>
      <w:r>
        <w:rPr>
          <w:rFonts w:ascii="Times New Roman" w:hAnsi="Times New Roman"/>
          <w:color w:val="000000"/>
          <w:sz w:val="20"/>
        </w:rPr>
        <w:t xml:space="preserve"> JX 1310; JX 1330 at ’079. AT&amp;T also faced the loss of iPhone exclusivity in 2011. </w:t>
      </w:r>
      <w:r>
        <w:rPr>
          <w:rFonts w:ascii="Times New Roman" w:hAnsi="Times New Roman"/>
          <w:i/>
          <w:color w:val="000000"/>
          <w:sz w:val="20"/>
        </w:rPr>
        <w:t>See</w:t>
      </w:r>
      <w:r>
        <w:rPr>
          <w:rFonts w:ascii="Times New Roman" w:hAnsi="Times New Roman"/>
          <w:color w:val="000000"/>
          <w:sz w:val="20"/>
        </w:rPr>
        <w:t xml:space="preserve"> JX 1311 at 12. AT&amp;T predicted that overall wireless revenue would “continue[ ] to grow but at a slower rate.” </w:t>
      </w:r>
      <w:r>
        <w:rPr>
          <w:rFonts w:ascii="Times New Roman" w:hAnsi="Times New Roman"/>
          <w:i/>
          <w:color w:val="000000"/>
          <w:sz w:val="20"/>
        </w:rPr>
        <w:t>Id.</w:t>
      </w:r>
      <w:r>
        <w:rPr>
          <w:rFonts w:ascii="Times New Roman" w:hAnsi="Times New Roman"/>
          <w:color w:val="000000"/>
          <w:sz w:val="20"/>
        </w:rPr>
        <w:t xml:space="preserve"> at 17.</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Reflecting the promising future for data revenue, smartphone penetration continued to increase. By summer 2010, smartphone penetration had reached 28%, up from 21% in the fourth quarter of 2009. Taylor Report at 13. AT&amp;T also expected continued growth in Connected Devices. JX 1312 at ’165. In the second quarter of 2010, AT&amp;T added nearly 900,000 Connected Devices, bringing the total number on AT&amp;T's network to approximately 6.7 million. JX 1301 at 1. In a press release, AT&amp;T reported that “[s]ince forming a dedicated organization to focus on wirelessly connecting new categories of emerging devices in late 2008, AT&amp;T has emerged as the clear industry leader in one of the wireless industry's fastest growing areas.” </w:t>
      </w:r>
      <w:r>
        <w:rPr>
          <w:rFonts w:ascii="Times New Roman" w:hAnsi="Times New Roman"/>
          <w:i/>
          <w:color w:val="000000"/>
          <w:sz w:val="20"/>
        </w:rPr>
        <w:t>Id.</w:t>
      </w:r>
      <w:r>
        <w:rPr>
          <w:rFonts w:ascii="Times New Roman" w:hAnsi="Times New Roman"/>
          <w:color w:val="000000"/>
          <w:sz w:val="20"/>
        </w:rPr>
        <w:t xml:space="preserve"> at 2. The press release also described AT&amp;T's plans to expand into new Connected Device categories. </w:t>
      </w:r>
      <w:r>
        <w:rPr>
          <w:rFonts w:ascii="Times New Roman" w:hAnsi="Times New Roman"/>
          <w:i/>
          <w:color w:val="000000"/>
          <w:sz w:val="20"/>
        </w:rPr>
        <w:t>Id.</w:t>
      </w:r>
      <w:r>
        <w:rPr>
          <w:rFonts w:ascii="Times New Roman" w:hAnsi="Times New Roman"/>
          <w:color w:val="000000"/>
          <w:sz w:val="20"/>
        </w:rPr>
        <w:t xml:space="preserve"> at 3.</w:t>
      </w:r>
    </w:p>
    <w:p>
      <w:pPr>
        <w:spacing w:before="0" w:after="0" w:line="275" w:lineRule="atLeast"/>
        <w:jc w:val="both"/>
      </w:pPr>
      <w:r>
        <w:rPr>
          <w:rFonts w:ascii="Times New Roman" w:hAnsi="Times New Roman"/>
          <w:color w:val="000000"/>
          <w:sz w:val="20"/>
        </w:rPr>
        <w:t> </w:t>
      </w:r>
    </w:p>
    <w:bookmarkStart w:id="63" w:name="co_anchor_I8eab2551ace211ec8c80dd32e620"/>
    <w:bookmarkStart w:id="64" w:name="co_anchor_I8eab2551ace211ec8c80dd32e2"/>
    <w:p>
      <w:pPr>
        <w:spacing w:before="400" w:after="0" w:line="275" w:lineRule="atLeast"/>
      </w:pPr>
      <w:r>
        <w:rPr>
          <w:rFonts w:ascii="Times New Roman" w:hAnsi="Times New Roman"/>
          <w:b/>
          <w:color w:val="000000"/>
          <w:sz w:val="20"/>
        </w:rPr>
        <w:t>M. AT&amp;T Changes Its Pricing Models.</w:t>
      </w:r>
    </w:p>
    <w:bookmarkEnd w:id="64"/>
    <w:bookmarkEnd w:id="63"/>
    <w:p>
      <w:pPr>
        <w:spacing w:before="0" w:after="0" w:line="275" w:lineRule="atLeast"/>
        <w:jc w:val="both"/>
      </w:pPr>
      <w:r>
        <w:rPr>
          <w:rFonts w:ascii="Times New Roman" w:hAnsi="Times New Roman"/>
          <w:color w:val="000000"/>
          <w:sz w:val="20"/>
        </w:rPr>
        <w:t xml:space="preserve">With wireless data usage expanding, AT&amp;T took steps to adopt pricing models that would replace the “all-you-can-eat” plans that its customers were enjoying. At an investor conference in March 2010, Stephenson previewed a tiered pricing model in which “intensive Internet users ... pay higher monthly fees than other customers.” JX 801. In June 2010, AT&amp;T stopped offering unlimited data plans for iPhone and iPad subscribers, replacing them with a tiered pricing model under which the customer purchased a base amount of data and paid for excess data usage. </w:t>
      </w:r>
      <w:r>
        <w:rPr>
          <w:rFonts w:ascii="Times New Roman" w:hAnsi="Times New Roman"/>
          <w:i/>
          <w:color w:val="000000"/>
          <w:sz w:val="20"/>
        </w:rPr>
        <w:t>See</w:t>
      </w:r>
      <w:r>
        <w:rPr>
          <w:rFonts w:ascii="Times New Roman" w:hAnsi="Times New Roman"/>
          <w:color w:val="000000"/>
          <w:sz w:val="20"/>
        </w:rPr>
        <w:t xml:space="preserve"> JX 1057 at ’980–81; JX 1259 at 2–4; JX 1384 at 3–4. AT&amp;T viewed this move as the beginning of a transition to a different industry pricing model. JX 1057 at ’979. Analysts reacted favorably. </w:t>
      </w:r>
      <w:r>
        <w:rPr>
          <w:rFonts w:ascii="Times New Roman" w:hAnsi="Times New Roman"/>
          <w:i/>
          <w:color w:val="000000"/>
          <w:sz w:val="20"/>
        </w:rPr>
        <w:t>See</w:t>
      </w:r>
      <w:r>
        <w:rPr>
          <w:rFonts w:ascii="Times New Roman" w:hAnsi="Times New Roman"/>
          <w:color w:val="000000"/>
          <w:sz w:val="20"/>
        </w:rPr>
        <w:t xml:space="preserve"> JX 1259 at 2–4.</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 also changed how it billed for intercompany data roaming. Starting in July 2010, AT&amp;T paid the Partnership a per-kilobyte data fee if any AT&amp;T customer's wireless device pinged off a cellular antenna belonging to the Partnership. AT&amp;T also charged the Partnership a per-kilobyte fee each time a Partnership subscriber's wireless device pinged off an AT&amp;T antenna that did not belong to the Partnership. The amount of the per-kilobyte fee “was determined on a cost basis by kilobytes used, including network system costs, interconnect/facilities costs, and network property taxes.” JX 2166 at 16.</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By allocating intra-carrier data roaming and expense based on cost, AT&amp;T treated the Partnership like a third party service provider. The Partnership was a net loser under the new roaming model, and AT&amp;T determined in late 2010 that the new system had resulted in a net loss of $300,000 for the Partnership since its implementation in July. </w:t>
      </w:r>
      <w:r>
        <w:rPr>
          <w:rFonts w:ascii="Times New Roman" w:hAnsi="Times New Roman"/>
          <w:i/>
          <w:color w:val="000000"/>
          <w:sz w:val="20"/>
        </w:rPr>
        <w:t>See</w:t>
      </w:r>
      <w:r>
        <w:rPr>
          <w:rFonts w:ascii="Times New Roman" w:hAnsi="Times New Roman"/>
          <w:color w:val="000000"/>
          <w:sz w:val="20"/>
        </w:rPr>
        <w:t xml:space="preserve"> JX 1872d, “Data Settlement” tab; JX 2166 at 16. Part of the net loss resulted from AT&amp;T's decision to systematically charge a rate for incollect data roaming expense that was 0.38% higher than it paid for outcollect data roaming revenue.</w:t>
      </w:r>
      <w:bookmarkStart w:id="65" w:name="co_fnRef_B00112055700832_ID0E4DAI_1"/>
      <w:hyperlink w:anchor="co_footnote_B00112055700832_1">
        <w:r>
          <w:rPr>
            <w:rFonts w:ascii="Times New Roman" w:hAnsi="Times New Roman"/>
            <w:color w:val="000000"/>
            <w:sz w:val="16"/>
            <w:vertAlign w:val="superscript"/>
          </w:rPr>
          <w:t>11</w:t>
        </w:r>
      </w:hyperlink>
      <w:bookmarkEnd w:id="65"/>
      <w:r>
        <w:rPr>
          <w:rFonts w:ascii="Times New Roman" w:hAnsi="Times New Roman"/>
          <w:color w:val="000000"/>
          <w:sz w:val="20"/>
        </w:rPr>
        <w:t xml:space="preserve"> The unfavorable rate differential was less severe for the Partnership than for its sister entities, where the average rate differential was -4.87%.</w:t>
      </w:r>
    </w:p>
    <w:p>
      <w:pPr>
        <w:spacing w:before="0" w:after="0" w:line="275" w:lineRule="atLeast"/>
        <w:jc w:val="both"/>
      </w:pPr>
      <w:r>
        <w:rPr>
          <w:rFonts w:ascii="Times New Roman" w:hAnsi="Times New Roman"/>
          <w:color w:val="000000"/>
          <w:sz w:val="20"/>
        </w:rPr>
        <w:t> </w:t>
      </w:r>
    </w:p>
    <w:bookmarkStart w:id="66" w:name="co_anchor_I8ead6f41ace211ec8c80dd32e620"/>
    <w:bookmarkStart w:id="67" w:name="co_anchor_I8ead6f41ace211ec8c80dd32e2"/>
    <w:p>
      <w:pPr>
        <w:spacing w:before="400" w:after="0" w:line="275" w:lineRule="atLeast"/>
      </w:pPr>
      <w:r>
        <w:rPr>
          <w:rFonts w:ascii="Times New Roman" w:hAnsi="Times New Roman"/>
          <w:b/>
          <w:color w:val="000000"/>
          <w:sz w:val="20"/>
        </w:rPr>
        <w:t>N. AT&amp;T Eliminates The Minority Partners.</w:t>
      </w:r>
    </w:p>
    <w:bookmarkEnd w:id="67"/>
    <w:bookmarkEnd w:id="66"/>
    <w:p>
      <w:pPr>
        <w:spacing w:before="0" w:after="0" w:line="275" w:lineRule="atLeast"/>
        <w:jc w:val="both"/>
      </w:pPr>
      <w:bookmarkStart w:id="68" w:name="co_pp_sp_999_16_1"/>
      <w:r>
        <w:rPr>
          <w:rFonts w:ascii="Times New Roman" w:hAnsi="Times New Roman"/>
          <w:b/>
          <w:color w:val="000000"/>
          <w:sz w:val="20"/>
        </w:rPr>
        <w:t>*16</w:t>
      </w:r>
      <w:bookmarkEnd w:id="68"/>
      <w:r>
        <w:rPr>
          <w:rFonts w:ascii="Times New Roman" w:hAnsi="Times New Roman"/>
          <w:color w:val="000000"/>
          <w:sz w:val="20"/>
        </w:rPr>
        <w:t xml:space="preserve"> In July 2010, AT&amp;T offered to purchase the minority partners’ interests at a 5% premium over the PwC valuation. AT&amp;T's offer letter informed the minority partners that if they did not accept, then AT&amp;T would convene a meeting of partners and vote its interest in favor of selling the Partnership's assets and liabilities at the PwC valuation. </w:t>
      </w:r>
      <w:r>
        <w:rPr>
          <w:rFonts w:ascii="Times New Roman" w:hAnsi="Times New Roman"/>
          <w:color w:val="000000"/>
          <w:sz w:val="20"/>
        </w:rPr>
        <w:t>The letter explained that after the sale, the Partnership would dissolve and each remaining partner would receive a payment equal to its pro rata share of the purchase price. In other words, minority partners who declined the buyout offer would receive their pro rata share, without the 5% premium.</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Some minority partners accepted AT&amp;T's offer. When AT&amp;T began the freeze-out process, the Partnership had twelve minority partners holding a total minority interest of 3.078%.</w:t>
      </w:r>
      <w:bookmarkStart w:id="69" w:name="co_fnRef_B00122055700832_ID0EPGAI_1"/>
      <w:hyperlink w:anchor="co_footnote_B00122055700832_1">
        <w:r>
          <w:rPr>
            <w:rFonts w:ascii="Times New Roman" w:hAnsi="Times New Roman"/>
            <w:color w:val="000000"/>
            <w:sz w:val="16"/>
            <w:vertAlign w:val="superscript"/>
          </w:rPr>
          <w:t>12</w:t>
        </w:r>
      </w:hyperlink>
      <w:bookmarkEnd w:id="69"/>
      <w:r>
        <w:rPr>
          <w:rFonts w:ascii="Times New Roman" w:hAnsi="Times New Roman"/>
          <w:color w:val="000000"/>
          <w:sz w:val="20"/>
        </w:rPr>
        <w:t xml:space="preserve"> Seven of the twelve minority partners rejected the offer, and they held an aggregate interest of 1.881%. That meant that a 58.33% majority of the minority partners by number and a 61.11% majority of the minority by interest rejected AT&amp;T's offer, even though it provided a 5% premium over the Freeze-Out price. </w:t>
      </w:r>
      <w:r>
        <w:rPr>
          <w:rFonts w:ascii="Times New Roman" w:hAnsi="Times New Roman"/>
          <w:i/>
          <w:color w:val="000000"/>
          <w:sz w:val="20"/>
        </w:rPr>
        <w:t>See</w:t>
      </w:r>
      <w:r>
        <w:rPr>
          <w:rFonts w:ascii="Times New Roman" w:hAnsi="Times New Roman"/>
          <w:color w:val="000000"/>
          <w:sz w:val="20"/>
        </w:rPr>
        <w:t xml:space="preserve"> JX 2569 at ’038.</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In September 2010, AT&amp;T caused New Salem to offer to purchase all of the Partnership's assets and assume all of its liabilities for a cash payment of $219 million. On October 12, 2010, AT&amp;T convened a special meeting to vote on the offer. At the meeting, AT&amp;T voted its interest in favor of the Freeze-Out. The minority partners in attendance voted against the Freeze-Out. JX 1485; </w:t>
      </w:r>
      <w:r>
        <w:rPr>
          <w:rFonts w:ascii="Times New Roman" w:hAnsi="Times New Roman"/>
          <w:i/>
          <w:color w:val="000000"/>
          <w:sz w:val="20"/>
        </w:rPr>
        <w:t>see</w:t>
      </w:r>
      <w:r>
        <w:rPr>
          <w:rFonts w:ascii="Times New Roman" w:hAnsi="Times New Roman"/>
          <w:color w:val="000000"/>
          <w:sz w:val="20"/>
        </w:rPr>
        <w:t xml:space="preserve"> PTO ¶ 66.</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Immediately after the vote, AT&amp;T caused the Partnership to enter into an asset purchase agreement with New Salem. Immediately after that, the Partnership and New Salem entered into a bill of sale and assignment and assumption agreement that effectuated the transfer of the Partnership's assets and liabilities. Wages then executed a “Statement of Dissolution,” also dated October 12, 2010, which recited that the Partnership had dissolved as a result of completing a sale of all of its assets. JX 1493. That same day, AT&amp;T sent checks to the minority partners reflecting their pro rata share of the Freeze-Out price.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Roughly contemporaneous with the Freeze-Out, AT&amp;T engaged in similar transactions at five other partnerships. Over the following months, AT&amp;T engaged in similar transactions involving seven additional partnerships, bringing the total number of freeze-outs to thirteen.</w:t>
      </w:r>
    </w:p>
    <w:p>
      <w:pPr>
        <w:spacing w:before="0" w:after="0" w:line="275" w:lineRule="atLeast"/>
        <w:jc w:val="both"/>
      </w:pPr>
      <w:r>
        <w:rPr>
          <w:rFonts w:ascii="Times New Roman" w:hAnsi="Times New Roman"/>
          <w:color w:val="000000"/>
          <w:sz w:val="20"/>
        </w:rPr>
        <w:t> </w:t>
      </w:r>
    </w:p>
    <w:bookmarkStart w:id="70" w:name="co_anchor_I8eafb931ace211ec8c80dd32e620"/>
    <w:bookmarkStart w:id="71" w:name="co_anchor_I8eafb931ace211ec8c80dd32e2"/>
    <w:p>
      <w:pPr>
        <w:spacing w:before="400" w:after="0" w:line="275" w:lineRule="atLeast"/>
      </w:pPr>
      <w:r>
        <w:rPr>
          <w:rFonts w:ascii="Times New Roman" w:hAnsi="Times New Roman"/>
          <w:b/>
          <w:color w:val="000000"/>
          <w:sz w:val="20"/>
        </w:rPr>
        <w:t>O. Litigation Commences.</w:t>
      </w:r>
    </w:p>
    <w:bookmarkEnd w:id="71"/>
    <w:bookmarkEnd w:id="70"/>
    <w:p>
      <w:pPr>
        <w:spacing w:before="0" w:after="0" w:line="275" w:lineRule="atLeast"/>
        <w:jc w:val="both"/>
      </w:pPr>
      <w:r>
        <w:rPr>
          <w:rFonts w:ascii="Times New Roman" w:hAnsi="Times New Roman"/>
          <w:color w:val="000000"/>
          <w:sz w:val="20"/>
        </w:rPr>
        <w:t xml:space="preserve">On August 26, 2011, the former minority partners in the Partnership who were eliminated in the Freeze-Out sent AT&amp;T a letter asserting that AT&amp;T had breached the Partnership Agreement when engaging in the transaction. The former minority partners gave AT&amp;T thirty days to cure its breach. JX 2030 at 2; </w:t>
      </w:r>
      <w:r>
        <w:rPr>
          <w:rFonts w:ascii="Times New Roman" w:hAnsi="Times New Roman"/>
          <w:i/>
          <w:color w:val="000000"/>
          <w:sz w:val="20"/>
        </w:rPr>
        <w:t>see</w:t>
      </w:r>
      <w:r>
        <w:rPr>
          <w:rFonts w:ascii="Times New Roman" w:hAnsi="Times New Roman"/>
          <w:color w:val="000000"/>
          <w:sz w:val="20"/>
        </w:rPr>
        <w:t xml:space="preserve"> PTO ¶ 70.</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On September 23, 2011, AT&amp;T filed a lawsuit seeking declaratory relief against the seven minority partners in the Partnership who were eliminated in the Freeze-Out. C.A. No. 6886-VCL, Dkt. 1. AT&amp;T's complaint sought broad declarations absolving AT&amp;T of any contractual or fiduciary liability for its actions. On October 4, 2011, five of the former minority partners in the Partnership filed suit against AT&amp;T. C.A. No. 6908-VCL, Dkt. 1.</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Either AT&amp;T, the minority partners, or both filed lawsuits addressing the other twelve freeze-outs. In total, fifteen lawsuits were filed challenging thirteen different transactions, with minority partners appearing as the plaintiffs in some and as defendants in others. To achieve a measure of consistency, the court realigned all of the minority partners as plaintiffs and AT&amp;T and its affiliates as defendants.</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72" w:name="co_pp_sp_999_17_1"/>
      <w:r>
        <w:rPr>
          <w:rFonts w:ascii="Times New Roman" w:hAnsi="Times New Roman"/>
          <w:b/>
          <w:color w:val="000000"/>
          <w:sz w:val="20"/>
        </w:rPr>
        <w:t>*17</w:t>
      </w:r>
      <w:bookmarkEnd w:id="72"/>
      <w:r>
        <w:rPr>
          <w:rFonts w:ascii="Times New Roman" w:hAnsi="Times New Roman"/>
          <w:color w:val="000000"/>
          <w:sz w:val="20"/>
        </w:rPr>
        <w:t xml:space="preserve"> As a result of the court's orders, the following minority partners are the plaintiffs for purposes of claims relating to the Partnership. The chart identifies their minority interest in the Partnership at the time of the Freeze-Out.</w:t>
      </w:r>
    </w:p>
    <w:p>
      <w:pPr>
        <w:spacing w:before="0" w:after="0" w:line="275" w:lineRule="atLeast"/>
        <w:jc w:val="both"/>
      </w:pPr>
      <w:r>
        <w:rPr>
          <w:rFonts w:ascii="Times New Roman" w:hAnsi="Times New Roman"/>
          <w:color w:val="000000"/>
          <w:sz w:val="20"/>
        </w:rPr>
        <w:t> </w:t>
      </w:r>
    </w:p>
    <w:p>
      <w:pPr>
        <w:sectPr>
          <w:headerReference w:type="default" r:id="r5"/>
          <w:headerReference w:type="even" r:id="r5"/>
          <w:footerReference w:type="default" r:id="r6"/>
          <w:footerReference w:type="even" r:id="r6"/>
          <w:pgSz w:w="12240" w:h="15840"/>
          <w:pgMar w:top="1800" w:bottom="1080" w:left="1080" w:right="1080" w:header="720" w:footer="720" w:gutter="0"/>
          <w:pgNumType w:fmt="decimal" w:start="1"/>
          <w:cols w:num="2" w:space="240"/>
        </w:sectPr>
      </w:pPr>
    </w:p>
    <w:tbl>
      <w:tblPr>
        <w:tblInd w:w="36" w:type="dxa"/>
        <w:tblLayout w:type="fixed"/>
      </w:tblPr>
      <w:tblGrid>
        <w:gridCol w:w="7185"/>
        <w:gridCol w:w="2880"/>
      </w:tblGrid>
      <w:tr>
        <w:tblPrEx/>
        <w:trPr/>
        <w:tc>
          <w:tcPr>
            <w:tcBorders>
              <w:bottom w:val="single" w:sz="6" w:color="cccccc"/>
            </w:tcBorders>
            <w:tcMar>
              <w:left w:w="36" w:type="dxa"/>
              <w:right w:w="36" w:type="dxa"/>
            </w:tcMar>
            <w:vAlign w:val="top"/>
          </w:tcPr>
          <w:p>
            <w:pPr>
              <w:spacing w:before="0" w:after="0" w:line="235" w:lineRule="atLeast"/>
              <w:jc w:val="center"/>
            </w:pPr>
            <w:r>
              <w:rPr>
                <w:rFonts w:ascii="Times New Roman" w:hAnsi="Times New Roman"/>
                <w:b/>
                <w:color w:val="000000"/>
                <w:sz w:val="24"/>
              </w:rPr>
              <w:t>Salem Minority Partners</w:t>
            </w:r>
          </w:p>
          <w:p>
            <w:pPr>
              <w:spacing w:before="0" w:after="0" w:line="235" w:lineRule="atLeast"/>
              <w:jc w:val="center"/>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center"/>
            </w:pPr>
            <w:r>
              <w:rPr>
                <w:rFonts w:ascii="Times New Roman" w:hAnsi="Times New Roman"/>
                <w:b/>
                <w:color w:val="000000"/>
                <w:sz w:val="24"/>
              </w:rPr>
              <w:t>Interest</w:t>
            </w:r>
          </w:p>
          <w:p>
            <w:pPr>
              <w:spacing w:before="0" w:after="0" w:line="235" w:lineRule="atLeast"/>
              <w:jc w:val="center"/>
            </w:pPr>
            <w:r>
              <w:rPr>
                <w:rFonts w:ascii="Times New Roman" w:hAnsi="Times New Roman"/>
                <w:color w:val="000000"/>
                <w:sz w:val="24"/>
              </w:rPr>
              <w:t> </w:t>
            </w:r>
          </w:p>
        </w:tc>
      </w:tr>
      <w:tr>
        <w:tblPrEx/>
        <w:trPr/>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Alan R. Bell</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right"/>
            </w:pPr>
            <w:r>
              <w:rPr>
                <w:rFonts w:ascii="Times New Roman" w:hAnsi="Times New Roman"/>
                <w:color w:val="000000"/>
                <w:sz w:val="24"/>
              </w:rPr>
              <w:t>0.3420%</w:t>
            </w:r>
          </w:p>
          <w:p>
            <w:pPr>
              <w:spacing w:before="0" w:after="0" w:line="235" w:lineRule="atLeast"/>
              <w:jc w:val="right"/>
            </w:pPr>
            <w:r>
              <w:rPr>
                <w:rFonts w:ascii="Times New Roman" w:hAnsi="Times New Roman"/>
                <w:color w:val="000000"/>
                <w:sz w:val="24"/>
              </w:rPr>
              <w:t> </w:t>
            </w:r>
          </w:p>
        </w:tc>
      </w:tr>
      <w:tr>
        <w:tblPrEx/>
        <w:trPr/>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Michael T. Bowers</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right"/>
            </w:pPr>
            <w:r>
              <w:rPr>
                <w:rFonts w:ascii="Times New Roman" w:hAnsi="Times New Roman"/>
                <w:color w:val="000000"/>
                <w:sz w:val="24"/>
              </w:rPr>
              <w:t>0.1710%</w:t>
            </w:r>
          </w:p>
          <w:p>
            <w:pPr>
              <w:spacing w:before="0" w:after="0" w:line="235" w:lineRule="atLeast"/>
              <w:jc w:val="right"/>
            </w:pPr>
            <w:r>
              <w:rPr>
                <w:rFonts w:ascii="Times New Roman" w:hAnsi="Times New Roman"/>
                <w:color w:val="000000"/>
                <w:sz w:val="24"/>
              </w:rPr>
              <w:t> </w:t>
            </w:r>
          </w:p>
        </w:tc>
      </w:tr>
      <w:tr>
        <w:tblPrEx/>
        <w:trPr/>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The Ronald J. Gotchall Living Trust (Rosa Lee Gotchall, Trustee)</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right"/>
            </w:pPr>
            <w:r>
              <w:rPr>
                <w:rFonts w:ascii="Times New Roman" w:hAnsi="Times New Roman"/>
                <w:color w:val="000000"/>
                <w:sz w:val="24"/>
              </w:rPr>
              <w:t>0.1710%</w:t>
            </w:r>
          </w:p>
          <w:p>
            <w:pPr>
              <w:spacing w:before="0" w:after="0" w:line="235" w:lineRule="atLeast"/>
              <w:jc w:val="right"/>
            </w:pPr>
            <w:r>
              <w:rPr>
                <w:rFonts w:ascii="Times New Roman" w:hAnsi="Times New Roman"/>
                <w:color w:val="000000"/>
                <w:sz w:val="24"/>
              </w:rPr>
              <w:t> </w:t>
            </w:r>
          </w:p>
        </w:tc>
      </w:tr>
      <w:tr>
        <w:tblPrEx/>
        <w:trPr/>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The Rosa L. Gotchall Living Trust (Ronald J. Gotchall, Trustee)</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right"/>
            </w:pPr>
            <w:r>
              <w:rPr>
                <w:rFonts w:ascii="Times New Roman" w:hAnsi="Times New Roman"/>
                <w:color w:val="000000"/>
                <w:sz w:val="24"/>
              </w:rPr>
              <w:t>0.3420%</w:t>
            </w:r>
          </w:p>
          <w:p>
            <w:pPr>
              <w:spacing w:before="0" w:after="0" w:line="235" w:lineRule="atLeast"/>
              <w:jc w:val="right"/>
            </w:pPr>
            <w:r>
              <w:rPr>
                <w:rFonts w:ascii="Times New Roman" w:hAnsi="Times New Roman"/>
                <w:color w:val="000000"/>
                <w:sz w:val="24"/>
              </w:rPr>
              <w:t> </w:t>
            </w:r>
          </w:p>
        </w:tc>
      </w:tr>
      <w:tr>
        <w:tblPrEx/>
        <w:trPr/>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Om Parkash Kalra</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right"/>
            </w:pPr>
            <w:r>
              <w:rPr>
                <w:rFonts w:ascii="Times New Roman" w:hAnsi="Times New Roman"/>
                <w:color w:val="000000"/>
                <w:sz w:val="24"/>
              </w:rPr>
              <w:t>0.3420%</w:t>
            </w:r>
          </w:p>
          <w:p>
            <w:pPr>
              <w:spacing w:before="0" w:after="0" w:line="235" w:lineRule="atLeast"/>
              <w:jc w:val="right"/>
            </w:pPr>
            <w:r>
              <w:rPr>
                <w:rFonts w:ascii="Times New Roman" w:hAnsi="Times New Roman"/>
                <w:color w:val="000000"/>
                <w:sz w:val="24"/>
              </w:rPr>
              <w:t> </w:t>
            </w:r>
          </w:p>
        </w:tc>
      </w:tr>
      <w:tr>
        <w:tblPrEx/>
        <w:trPr/>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Ellen M. Martin</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right"/>
            </w:pPr>
            <w:r>
              <w:rPr>
                <w:rFonts w:ascii="Times New Roman" w:hAnsi="Times New Roman"/>
                <w:color w:val="000000"/>
                <w:sz w:val="24"/>
              </w:rPr>
              <w:t>0.1710%</w:t>
            </w:r>
          </w:p>
          <w:p>
            <w:pPr>
              <w:spacing w:before="0" w:after="0" w:line="235" w:lineRule="atLeast"/>
              <w:jc w:val="right"/>
            </w:pPr>
            <w:r>
              <w:rPr>
                <w:rFonts w:ascii="Times New Roman" w:hAnsi="Times New Roman"/>
                <w:color w:val="000000"/>
                <w:sz w:val="24"/>
              </w:rPr>
              <w:t> </w:t>
            </w:r>
          </w:p>
        </w:tc>
      </w:tr>
      <w:tr>
        <w:tblPrEx/>
        <w:trPr/>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Roam-Tel Partners</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right"/>
            </w:pPr>
            <w:r>
              <w:rPr>
                <w:rFonts w:ascii="Times New Roman" w:hAnsi="Times New Roman"/>
                <w:color w:val="000000"/>
                <w:sz w:val="24"/>
              </w:rPr>
              <w:t>0.3420%</w:t>
            </w:r>
          </w:p>
          <w:p>
            <w:pPr>
              <w:spacing w:before="0" w:after="0" w:line="235" w:lineRule="atLeast"/>
              <w:jc w:val="right"/>
            </w:pPr>
            <w:r>
              <w:rPr>
                <w:rFonts w:ascii="Times New Roman" w:hAnsi="Times New Roman"/>
                <w:color w:val="000000"/>
                <w:sz w:val="24"/>
              </w:rPr>
              <w:t> </w:t>
            </w:r>
          </w:p>
        </w:tc>
      </w:tr>
    </w:tbl>
    <w:p>
      <w:pPr>
        <w:sectPr>
          <w:pgSz w:w="12240" w:h="15840"/>
          <w:pgMar w:top="1800" w:bottom="1080" w:left="1080" w:right="1080" w:header="720" w:footer="720" w:gutter="0"/>
          <w:pgNumType w:fmt="decimal"/>
        </w:sectPr>
      </w:pPr>
    </w:p>
    <w:p>
      <w:pPr>
        <w:spacing w:before="200" w:after="0" w:line="275" w:lineRule="atLeast"/>
        <w:jc w:val="both"/>
      </w:pPr>
      <w:r>
        <w:rPr>
          <w:rFonts w:ascii="Times New Roman" w:hAnsi="Times New Roman"/>
          <w:color w:val="000000"/>
          <w:sz w:val="20"/>
        </w:rPr>
        <w:t>PTO ¶ 9. Based on the consideration that AT&amp;T paid for the assets and liabilities of the Partnership in the Freeze-Out, the plaintiffs received $4,119,390 in the aggregate.</w:t>
      </w:r>
    </w:p>
    <w:bookmarkStart w:id="74" w:name="co_anchor_I8eb31491ace211ec8c80dd32e620"/>
    <w:bookmarkStart w:id="75" w:name="co_anchor_I8eb31491ace211ec8c80dd32e2"/>
    <w:p>
      <w:pPr>
        <w:spacing w:before="400" w:after="0" w:line="275" w:lineRule="atLeast"/>
      </w:pPr>
      <w:r>
        <w:rPr>
          <w:rFonts w:ascii="Times New Roman" w:hAnsi="Times New Roman"/>
          <w:b/>
          <w:color w:val="000000"/>
          <w:sz w:val="20"/>
        </w:rPr>
        <w:t>P. The Coordination Order</w:t>
      </w:r>
    </w:p>
    <w:bookmarkEnd w:id="75"/>
    <w:bookmarkEnd w:id="74"/>
    <w:p>
      <w:pPr>
        <w:spacing w:before="0" w:after="0" w:line="275" w:lineRule="atLeast"/>
        <w:jc w:val="both"/>
      </w:pPr>
      <w:r>
        <w:rPr>
          <w:rFonts w:ascii="Times New Roman" w:hAnsi="Times New Roman"/>
          <w:color w:val="000000"/>
          <w:sz w:val="20"/>
        </w:rPr>
        <w:t>Initially, the fifteen actions proceeded separately, albeit with the parties making parallel moves across the lawsuits. In June 2012, AT&amp;T filed motions to dismiss the claims which asserted that AT&amp;T failed to comply with the partnership agreements when effectuating the freeze-outs. In March 2013, the court issued a series of orders which held that AT&amp;T had the power to effectuate the freeze-outs.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In June 2013, the court entered a stipulated order coordinating the actions for purposes of pre-trial discovery. The actions were not formally consolidated. The court directed the parties to make all filings in the Coordinated Action and designate them as pertaining to all of the coordinated actions or to specific cases.</w:t>
      </w:r>
    </w:p>
    <w:p>
      <w:pPr>
        <w:spacing w:before="0" w:after="0" w:line="275" w:lineRule="atLeast"/>
        <w:jc w:val="both"/>
      </w:pPr>
      <w:r>
        <w:rPr>
          <w:rFonts w:ascii="Times New Roman" w:hAnsi="Times New Roman"/>
          <w:color w:val="000000"/>
          <w:sz w:val="20"/>
        </w:rPr>
        <w:t> </w:t>
      </w:r>
    </w:p>
    <w:bookmarkStart w:id="76" w:name="co_anchor_I8eb3b0d1ace211ec8c80dd32e620"/>
    <w:bookmarkStart w:id="77" w:name="co_anchor_I8eb3b0d1ace211ec8c80dd32e2"/>
    <w:p>
      <w:pPr>
        <w:spacing w:before="400" w:after="0" w:line="275" w:lineRule="atLeast"/>
      </w:pPr>
      <w:r>
        <w:rPr>
          <w:rFonts w:ascii="Times New Roman" w:hAnsi="Times New Roman"/>
          <w:b/>
          <w:color w:val="000000"/>
          <w:sz w:val="20"/>
        </w:rPr>
        <w:t>Q. Discovery</w:t>
      </w:r>
    </w:p>
    <w:bookmarkEnd w:id="77"/>
    <w:bookmarkEnd w:id="76"/>
    <w:p>
      <w:pPr>
        <w:spacing w:before="0" w:after="0" w:line="275" w:lineRule="atLeast"/>
        <w:jc w:val="both"/>
      </w:pPr>
      <w:r>
        <w:rPr>
          <w:rFonts w:ascii="Times New Roman" w:hAnsi="Times New Roman"/>
          <w:color w:val="000000"/>
          <w:sz w:val="20"/>
        </w:rPr>
        <w:t xml:space="preserve">Discovery unfolded over the better part of eight years. During the process, AT&amp;T aggressively resisted discovery, even after the court ruled against AT&amp;T on specific issues. As the court noted on several occasions, AT&amp;T was the most obstructive litigant that this judge has ever seen, whether in private practice or on the bench. Interested readers may consult a prior decision for a description of how the litigation unfolded. </w:t>
      </w:r>
      <w:r>
        <w:rPr>
          <w:rFonts w:ascii="Times New Roman" w:hAnsi="Times New Roman"/>
          <w:i/>
          <w:color w:val="000000"/>
          <w:sz w:val="20"/>
        </w:rPr>
        <w:t>See Salem Contract Decision</w:t>
      </w:r>
      <w:r>
        <w:rPr>
          <w:rFonts w:ascii="Times New Roman" w:hAnsi="Times New Roman"/>
          <w:color w:val="000000"/>
          <w:sz w:val="20"/>
        </w:rPr>
        <w:t xml:space="preserve">, </w:t>
      </w:r>
      <w:hyperlink r:id="r20">
        <w:r>
          <w:rPr>
            <w:rFonts w:ascii="Times New Roman" w:hAnsi="Times New Roman"/>
            <w:color w:val="000000"/>
            <w:sz w:val="20"/>
          </w:rPr>
          <w:t>2021 WL 4438046, at *32–40</w:t>
        </w:r>
      </w:hyperlink>
      <w:r>
        <w:rPr>
          <w:rFonts w:ascii="Times New Roman" w:hAnsi="Times New Roman"/>
          <w:color w:val="000000"/>
          <w:sz w:val="20"/>
        </w:rPr>
        <w: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In December 2020, the case proceeded to trial. The initial coordination order had provided for coordination only for purposes of pre-trial discovery. In the pre-trial order, the parties agreed to a coordinated trial.</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parties tried both the plaintiffs’ claims for breach of the partnership agreements and the plaintiffs’ claims for breach of fiduciary duty. Both sides relied heavily on experts. Carlyn Taylor served as AT&amp;T's valuation expert. Taylor is a Senior Managing Director in the Corporate Finance Group of FTI Consulting, Inc., a publicly traded financial and economic consulting firm. Taylor specializes in the telecommunications and media industries. J. Armand Musey served as the plaintiffs’ wireless industry expert. He is the President and founder of Summit Ridge Group, LLC, a consulting firm that serves clients in the telecommunications, media, and satellite industries. Lorraine Barrick served as the plaintiffs’ valuation expert. She is a Certified Public Accountant and an accredited appraiser who operates her own consulting firm.</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After considering the post-trial briefing, the court decided to issue two bellwether decisions, both involving the Partnership. The </w:t>
      </w:r>
      <w:r>
        <w:rPr>
          <w:rFonts w:ascii="Times New Roman" w:hAnsi="Times New Roman"/>
          <w:i/>
          <w:color w:val="000000"/>
          <w:sz w:val="20"/>
        </w:rPr>
        <w:t>Salem Contract Decision</w:t>
      </w:r>
      <w:r>
        <w:rPr>
          <w:rFonts w:ascii="Times New Roman" w:hAnsi="Times New Roman"/>
          <w:color w:val="000000"/>
          <w:sz w:val="20"/>
        </w:rPr>
        <w:t xml:space="preserve"> addressed the claims for breach of the Partnership Agreement. This decision addresses the claims for breach of fiduciary duty.</w:t>
      </w:r>
    </w:p>
    <w:p>
      <w:pPr>
        <w:spacing w:before="0" w:after="0" w:line="275" w:lineRule="atLeast"/>
        <w:jc w:val="both"/>
      </w:pPr>
      <w:r>
        <w:rPr>
          <w:rFonts w:ascii="Times New Roman" w:hAnsi="Times New Roman"/>
          <w:color w:val="000000"/>
          <w:sz w:val="20"/>
        </w:rPr>
        <w:t> </w:t>
      </w:r>
    </w:p>
    <w:bookmarkStart w:id="78" w:name="co_anchor_I8eb53771ace211ec8c80dd32e620"/>
    <w:p>
      <w:pPr>
        <w:spacing w:before="400" w:after="0" w:line="275" w:lineRule="atLeast"/>
        <w:jc w:val="center"/>
      </w:pPr>
      <w:r>
        <w:rPr>
          <w:rFonts w:ascii="Times New Roman" w:hAnsi="Times New Roman"/>
          <w:b/>
          <w:color w:val="000000"/>
          <w:sz w:val="20"/>
        </w:rPr>
        <w:t>II. WHETHER THE FREEZE-OUT WAS ENTIRELY FAIR</w:t>
      </w:r>
    </w:p>
    <w:bookmarkEnd w:id="78"/>
    <w:p>
      <w:pPr>
        <w:spacing w:before="200" w:after="0" w:line="275" w:lineRule="atLeast"/>
        <w:jc w:val="both"/>
      </w:pPr>
      <w:bookmarkStart w:id="79" w:name="co_pp_sp_999_18_1"/>
      <w:r>
        <w:rPr>
          <w:rFonts w:ascii="Times New Roman" w:hAnsi="Times New Roman"/>
          <w:b/>
          <w:color w:val="000000"/>
          <w:sz w:val="20"/>
        </w:rPr>
        <w:t>*18</w:t>
      </w:r>
      <w:bookmarkEnd w:id="79"/>
      <w:r>
        <w:rPr>
          <w:rFonts w:ascii="Times New Roman" w:hAnsi="Times New Roman"/>
          <w:color w:val="000000"/>
          <w:sz w:val="20"/>
        </w:rPr>
        <w:t xml:space="preserve"> The plaintiffs asserted that AT&amp;T breached its fiduciary duty of loyalty to the minority partners by effecting the Freeze-Out. AT&amp;T controlled the Partnership, and AT&amp;T stood on both sides of the Freeze-Out. As a result, AT&amp;T bore the burden of proving that the terms of the Freeze-Out were entirely fair. AT&amp;T failed to carry its burden. Instead, AT&amp;T breached its duty of loyalty by failing to follow a fair process and by imposing an unfair price. </w:t>
      </w:r>
      <w:r>
        <w:rPr>
          <w:rFonts w:ascii="Times New Roman" w:hAnsi="Times New Roman"/>
          <w:color w:val="000000"/>
          <w:sz w:val="20"/>
        </w:rPr>
        <w:t xml:space="preserve">The plaintiffs are therefore entitled to an award of damages. </w:t>
      </w:r>
      <w:r>
        <w:rPr>
          <w:rFonts w:ascii="Times New Roman" w:hAnsi="Times New Roman"/>
          <w:i/>
          <w:color w:val="000000"/>
          <w:sz w:val="20"/>
        </w:rPr>
        <w:t>See</w:t>
      </w:r>
      <w:r>
        <w:rPr>
          <w:rFonts w:ascii="Times New Roman" w:hAnsi="Times New Roman"/>
          <w:color w:val="000000"/>
          <w:sz w:val="20"/>
        </w:rPr>
        <w:t xml:space="preserve"> Part III, </w:t>
      </w:r>
      <w:r>
        <w:rPr>
          <w:rFonts w:ascii="Times New Roman" w:hAnsi="Times New Roman"/>
          <w:i/>
          <w:color w:val="000000"/>
          <w:sz w:val="20"/>
        </w:rPr>
        <w:t>infra.</w:t>
      </w:r>
    </w:p>
    <w:p>
      <w:pPr>
        <w:spacing w:before="0" w:after="0" w:line="275" w:lineRule="atLeast"/>
        <w:jc w:val="both"/>
      </w:pPr>
      <w:r>
        <w:rPr>
          <w:rFonts w:ascii="Times New Roman" w:hAnsi="Times New Roman"/>
          <w:color w:val="000000"/>
          <w:sz w:val="20"/>
        </w:rPr>
        <w:t> </w:t>
      </w:r>
    </w:p>
    <w:bookmarkStart w:id="80" w:name="co_anchor_I8eb5fac1ace211ec8c80dd32e620"/>
    <w:bookmarkStart w:id="81" w:name="co_anchor_I8eb5fac1ace211ec8c80dd32e2"/>
    <w:p>
      <w:pPr>
        <w:spacing w:before="400" w:after="0" w:line="275" w:lineRule="atLeast"/>
      </w:pPr>
      <w:r>
        <w:rPr>
          <w:rFonts w:ascii="Times New Roman" w:hAnsi="Times New Roman"/>
          <w:b/>
          <w:color w:val="000000"/>
          <w:sz w:val="20"/>
        </w:rPr>
        <w:t>A. The Entire Fairness Test</w:t>
      </w:r>
    </w:p>
    <w:bookmarkEnd w:id="81"/>
    <w:bookmarkEnd w:id="80"/>
    <w:p>
      <w:pPr>
        <w:spacing w:before="0" w:after="0" w:line="275" w:lineRule="atLeast"/>
        <w:jc w:val="both"/>
      </w:pPr>
      <w:r>
        <w:rPr>
          <w:rFonts w:ascii="Times New Roman" w:hAnsi="Times New Roman"/>
          <w:color w:val="000000"/>
          <w:sz w:val="20"/>
        </w:rPr>
        <w:t>When determining whether a fiduciary has breached its duties, Delaware courts evaluate the fiduciary's conduct using a standard of review. The parties agree that the Freeze-Out is subject to the entire fairness standard of review.</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When the entire fairness test applies, “the defendant fiduciaries bear the burden of showing that the challenged decision was entirely fair” to the plaintiffs. </w:t>
      </w:r>
      <w:hyperlink r:id="r21">
        <w:r>
          <w:rPr>
            <w:rFonts w:ascii="Times New Roman" w:hAnsi="Times New Roman"/>
            <w:i/>
            <w:color w:val="000000"/>
            <w:sz w:val="20"/>
          </w:rPr>
          <w:t>In re Energy Transfer Equity, L.P. Unitholder Litig.</w:t>
        </w:r>
        <w:r>
          <w:rPr>
            <w:rFonts w:ascii="Times New Roman" w:hAnsi="Times New Roman"/>
            <w:color w:val="000000"/>
            <w:sz w:val="20"/>
          </w:rPr>
          <w:t>, 2018 WL 2254706, at *18 (Del. Ch. May 17, 2018)</w:t>
        </w:r>
      </w:hyperlink>
      <w:r>
        <w:rPr>
          <w:rFonts w:ascii="Times New Roman" w:hAnsi="Times New Roman"/>
          <w:color w:val="000000"/>
          <w:sz w:val="20"/>
        </w:rPr>
        <w:t xml:space="preserve">. To meet its burden, the defendant must establish “to the </w:t>
      </w:r>
      <w:r>
        <w:rPr>
          <w:rFonts w:ascii="Times New Roman" w:hAnsi="Times New Roman"/>
          <w:i/>
          <w:color w:val="000000"/>
          <w:sz w:val="20"/>
        </w:rPr>
        <w:t>court's</w:t>
      </w:r>
      <w:r>
        <w:rPr>
          <w:rFonts w:ascii="Times New Roman" w:hAnsi="Times New Roman"/>
          <w:color w:val="000000"/>
          <w:sz w:val="20"/>
        </w:rPr>
        <w:t xml:space="preserve"> satisfaction that the transaction was the product of both fair dealing </w:t>
      </w:r>
      <w:r>
        <w:rPr>
          <w:rFonts w:ascii="Times New Roman" w:hAnsi="Times New Roman"/>
          <w:i/>
          <w:color w:val="000000"/>
          <w:sz w:val="20"/>
        </w:rPr>
        <w:t>and</w:t>
      </w:r>
      <w:r>
        <w:rPr>
          <w:rFonts w:ascii="Times New Roman" w:hAnsi="Times New Roman"/>
          <w:color w:val="000000"/>
          <w:sz w:val="20"/>
        </w:rPr>
        <w:t xml:space="preserve"> fair price.” </w:t>
      </w:r>
      <w:hyperlink r:id="r22">
        <w:r>
          <w:rPr>
            <w:rFonts w:ascii="Times New Roman" w:hAnsi="Times New Roman"/>
            <w:i/>
            <w:color w:val="000000"/>
            <w:sz w:val="20"/>
          </w:rPr>
          <w:t>Cinerama, Inc. v. Technicolor, Inc.</w:t>
        </w:r>
        <w:r>
          <w:rPr>
            <w:rFonts w:ascii="Times New Roman" w:hAnsi="Times New Roman"/>
            <w:color w:val="000000"/>
            <w:sz w:val="20"/>
          </w:rPr>
          <w:t>, 663 A.2d 1156, 1163 (Del. 1995)</w:t>
        </w:r>
      </w:hyperlink>
      <w:r>
        <w:rPr>
          <w:rFonts w:ascii="Times New Roman" w:hAnsi="Times New Roman"/>
          <w:color w:val="000000"/>
          <w:sz w:val="20"/>
        </w:rPr>
        <w:t xml:space="preserve"> (cleaned up). “Not even an honest belief that the transaction was entirely fair will be sufficient to establish entire fairness. Rather, the transaction itself must be objectively fair, independent of the [defendant fiduciary's] beliefs.” </w:t>
      </w:r>
      <w:hyperlink r:id="r23">
        <w:r>
          <w:rPr>
            <w:rFonts w:ascii="Times New Roman" w:hAnsi="Times New Roman"/>
            <w:i/>
            <w:color w:val="000000"/>
            <w:sz w:val="20"/>
          </w:rPr>
          <w:t>Gesoff v. IIC Indus., Inc.</w:t>
        </w:r>
        <w:r>
          <w:rPr>
            <w:rFonts w:ascii="Times New Roman" w:hAnsi="Times New Roman"/>
            <w:color w:val="000000"/>
            <w:sz w:val="20"/>
          </w:rPr>
          <w:t>, 902 A.2d 1130, 1145 (Del. Ch. 2006)</w:t>
        </w:r>
      </w:hyperlink>
      <w:r>
        <w:rPr>
          <w:rFonts w:ascii="Times New Roman" w:hAnsi="Times New Roman"/>
          <w:color w:val="000000"/>
          <w:sz w:val="20"/>
        </w:rPr>
        <w: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concept of fairness has two basic aspects: fair dealing and fair price.” </w:t>
      </w:r>
      <w:hyperlink r:id="r24">
        <w:r>
          <w:rPr>
            <w:rFonts w:ascii="Times New Roman" w:hAnsi="Times New Roman"/>
            <w:i/>
            <w:color w:val="000000"/>
            <w:sz w:val="20"/>
          </w:rPr>
          <w:t>Weinberger v. UOP, Inc.</w:t>
        </w:r>
        <w:r>
          <w:rPr>
            <w:rFonts w:ascii="Times New Roman" w:hAnsi="Times New Roman"/>
            <w:color w:val="000000"/>
            <w:sz w:val="20"/>
          </w:rPr>
          <w:t>, 457 A.2d 701, 711 (Del. 1983)</w:t>
        </w:r>
      </w:hyperlink>
      <w:r>
        <w:rPr>
          <w:rFonts w:ascii="Times New Roman" w:hAnsi="Times New Roman"/>
          <w:color w:val="000000"/>
          <w:sz w:val="20"/>
        </w:rPr>
        <w:t xml:space="preserve">. The fair dealing inquiry “embraces questions of when the transaction was timed, how it was initiated, structured, and negotiated, and how the transactional approvals were obtained.” </w:t>
      </w:r>
      <w:r>
        <w:rPr>
          <w:rFonts w:ascii="Times New Roman" w:hAnsi="Times New Roman"/>
          <w:i/>
          <w:color w:val="000000"/>
          <w:sz w:val="20"/>
        </w:rPr>
        <w:t>Id.</w:t>
      </w:r>
      <w:r>
        <w:rPr>
          <w:rFonts w:ascii="Times New Roman" w:hAnsi="Times New Roman"/>
          <w:color w:val="000000"/>
          <w:sz w:val="20"/>
        </w:rPr>
        <w:t xml:space="preserve"> The fair price inquiry focuses on the economic and financial considerations of the challenged transaction. </w:t>
      </w:r>
      <w:r>
        <w:rPr>
          <w:rFonts w:ascii="Times New Roman" w:hAnsi="Times New Roman"/>
          <w:i/>
          <w:color w:val="000000"/>
          <w:sz w:val="20"/>
        </w:rPr>
        <w:t>Id.</w:t>
      </w:r>
      <w:r>
        <w:rPr>
          <w:rFonts w:ascii="Times New Roman" w:hAnsi="Times New Roman"/>
          <w:color w:val="000000"/>
          <w:sz w:val="20"/>
        </w:rPr>
        <w:t xml:space="preserve"> “[T]he test for fairness is not a bifurcated one as between fair dealing and price. All aspects of the issue must be examined as a whole since the question is one of entire fairness.” </w:t>
      </w:r>
      <w:r>
        <w:rPr>
          <w:rFonts w:ascii="Times New Roman" w:hAnsi="Times New Roman"/>
          <w:i/>
          <w:color w:val="000000"/>
          <w:sz w:val="20"/>
        </w:rPr>
        <w:t>Id.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Because the entire fairness test is not bifurcated, “the two aspects of the entire fairness standard interact.” </w:t>
      </w:r>
      <w:hyperlink r:id="r25">
        <w:r>
          <w:rPr>
            <w:rFonts w:ascii="Times New Roman" w:hAnsi="Times New Roman"/>
            <w:i/>
            <w:color w:val="000000"/>
            <w:sz w:val="20"/>
          </w:rPr>
          <w:t>In re Dole Food Co., Inc. S'holder Litig.</w:t>
        </w:r>
        <w:r>
          <w:rPr>
            <w:rFonts w:ascii="Times New Roman" w:hAnsi="Times New Roman"/>
            <w:color w:val="000000"/>
            <w:sz w:val="20"/>
          </w:rPr>
          <w:t>, 2015 WL 5052214, at *34 (Del. Ch. Aug. 27, 2015)</w:t>
        </w:r>
      </w:hyperlink>
      <w:r>
        <w:rPr>
          <w:rFonts w:ascii="Times New Roman" w:hAnsi="Times New Roman"/>
          <w:color w:val="000000"/>
          <w:sz w:val="20"/>
        </w:rPr>
        <w:t xml:space="preserve">. “A strong record of fair dealing can influence the fair price inquiry, reinforcing the unitary nature of the entire fairness test. The converse is equally true: process can infect price.” </w:t>
      </w:r>
      <w:hyperlink r:id="r26">
        <w:r>
          <w:rPr>
            <w:rFonts w:ascii="Times New Roman" w:hAnsi="Times New Roman"/>
            <w:i/>
            <w:color w:val="000000"/>
            <w:sz w:val="20"/>
          </w:rPr>
          <w:t>Reis v. Hazelett Strip-Casting Corp.</w:t>
        </w:r>
        <w:r>
          <w:rPr>
            <w:rFonts w:ascii="Times New Roman" w:hAnsi="Times New Roman"/>
            <w:color w:val="000000"/>
            <w:sz w:val="20"/>
          </w:rPr>
          <w:t>, 28 A.3d 442, 467 (Del. Ch. 2011)</w:t>
        </w:r>
      </w:hyperlink>
      <w:r>
        <w:rPr>
          <w:rFonts w:ascii="Times New Roman" w:hAnsi="Times New Roman"/>
          <w:color w:val="000000"/>
          <w:sz w:val="20"/>
        </w:rPr>
        <w:t xml:space="preserve"> (collecting authorities).</w:t>
      </w:r>
    </w:p>
    <w:p>
      <w:pPr>
        <w:spacing w:before="0" w:after="0" w:line="275" w:lineRule="atLeast"/>
        <w:jc w:val="both"/>
      </w:pPr>
      <w:r>
        <w:rPr>
          <w:rFonts w:ascii="Times New Roman" w:hAnsi="Times New Roman"/>
          <w:color w:val="000000"/>
          <w:sz w:val="20"/>
        </w:rPr>
        <w:t> </w:t>
      </w:r>
    </w:p>
    <w:bookmarkStart w:id="82" w:name="co_anchor_I8eb844b1ace211ec8c80dd32e620"/>
    <w:bookmarkStart w:id="83" w:name="co_anchor_I8eb844b1ace211ec8c80dd32e2"/>
    <w:p>
      <w:pPr>
        <w:spacing w:before="400" w:after="0" w:line="275" w:lineRule="atLeast"/>
      </w:pPr>
      <w:r>
        <w:rPr>
          <w:rFonts w:ascii="Times New Roman" w:hAnsi="Times New Roman"/>
          <w:b/>
          <w:color w:val="000000"/>
          <w:sz w:val="20"/>
        </w:rPr>
        <w:t>B. Fair Dealing</w:t>
      </w:r>
    </w:p>
    <w:bookmarkEnd w:id="83"/>
    <w:bookmarkEnd w:id="82"/>
    <w:p>
      <w:pPr>
        <w:spacing w:before="0" w:after="0" w:line="275" w:lineRule="atLeast"/>
        <w:jc w:val="both"/>
      </w:pPr>
      <w:r>
        <w:rPr>
          <w:rFonts w:ascii="Times New Roman" w:hAnsi="Times New Roman"/>
          <w:color w:val="000000"/>
          <w:sz w:val="20"/>
        </w:rPr>
        <w:t>The first dimension of the unitary entire fairness test involves the issue of fair dealing. AT&amp;T failed to prove that it dealt fairly with the minority partners. The only step AT&amp;T took towards instantiating a fair process was to hire a financial advisor to value the Partnership, then use that valuation when setting the price for the Freeze-Out. No special committee or other independent bargaining agent negotiated on behalf of the minority. No one had the ability to veto the deal. And contrary to AT&amp;T's assertions in this litigation, AT&amp;T acted for the primary purpose of acquiring the minority partners’ interests for less than the value that the minority partners otherwise would have received in distributions.</w:t>
      </w:r>
    </w:p>
    <w:p>
      <w:pPr>
        <w:spacing w:before="0" w:after="0" w:line="275" w:lineRule="atLeast"/>
        <w:jc w:val="both"/>
      </w:pPr>
      <w:r>
        <w:rPr>
          <w:rFonts w:ascii="Times New Roman" w:hAnsi="Times New Roman"/>
          <w:color w:val="000000"/>
          <w:sz w:val="20"/>
        </w:rPr>
        <w:t> </w:t>
      </w:r>
    </w:p>
    <w:bookmarkStart w:id="84" w:name="co_anchor_I8eb8e0f1ace211ec8c80dd32e620"/>
    <w:bookmarkStart w:id="85" w:name="co_anchor_I8eb8e0f1ace211ec8c80dd32e2"/>
    <w:p>
      <w:pPr>
        <w:pBdr>
          <w:left w:val="none" w:space="10"/>
        </w:pBdr>
        <w:spacing w:before="400" w:after="0" w:line="275" w:lineRule="atLeast"/>
        <w:ind w:left="200" w:right="0" w:firstLine="0"/>
      </w:pPr>
      <w:r>
        <w:rPr>
          <w:rFonts w:ascii="Times New Roman" w:hAnsi="Times New Roman"/>
          <w:b/>
          <w:color w:val="000000"/>
          <w:sz w:val="20"/>
        </w:rPr>
        <w:t>1. The Timing And Initiation Of The Freeze-Out</w:t>
      </w:r>
    </w:p>
    <w:bookmarkEnd w:id="85"/>
    <w:bookmarkEnd w:id="84"/>
    <w:p>
      <w:pPr>
        <w:spacing w:before="0" w:after="0" w:line="275" w:lineRule="atLeast"/>
        <w:jc w:val="both"/>
      </w:pPr>
      <w:r>
        <w:rPr>
          <w:rFonts w:ascii="Times New Roman" w:hAnsi="Times New Roman"/>
          <w:color w:val="000000"/>
          <w:sz w:val="20"/>
        </w:rPr>
        <w:t xml:space="preserve">One factor pertinent to the dimension of fair dealing is how the transaction was timed and initiated. </w:t>
      </w:r>
      <w:hyperlink r:id="r27">
        <w:r>
          <w:rPr>
            <w:rFonts w:ascii="Times New Roman" w:hAnsi="Times New Roman"/>
            <w:i/>
            <w:color w:val="000000"/>
            <w:sz w:val="20"/>
          </w:rPr>
          <w:t>Weinberger</w:t>
        </w:r>
        <w:r>
          <w:rPr>
            <w:rFonts w:ascii="Times New Roman" w:hAnsi="Times New Roman"/>
            <w:color w:val="000000"/>
            <w:sz w:val="20"/>
          </w:rPr>
          <w:t>, 457 A.2d at 711</w:t>
        </w:r>
      </w:hyperlink>
      <w:r>
        <w:rPr>
          <w:rFonts w:ascii="Times New Roman" w:hAnsi="Times New Roman"/>
          <w:color w:val="000000"/>
          <w:sz w:val="20"/>
        </w:rPr>
        <w:t>. AT&amp;T failed to prove that the timing and initiation of the Freeze-Out were consistent with fair dealing. Instead, AT&amp;T timed and initiated the Freeze-Out to acquire the minority partner interests before the data revolution caused the value of the Partnership to increase.</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86" w:name="co_pp_sp_999_19_1"/>
      <w:r>
        <w:rPr>
          <w:rFonts w:ascii="Times New Roman" w:hAnsi="Times New Roman"/>
          <w:b/>
          <w:color w:val="000000"/>
          <w:sz w:val="20"/>
        </w:rPr>
        <w:t>*19</w:t>
      </w:r>
      <w:bookmarkEnd w:id="86"/>
      <w:r>
        <w:rPr>
          <w:rFonts w:ascii="Times New Roman" w:hAnsi="Times New Roman"/>
          <w:color w:val="000000"/>
          <w:sz w:val="20"/>
        </w:rPr>
        <w:t xml:space="preserve"> AT&amp;T timed the Freeze-Out to take advantage of the data revolution. Although the market for legacy wireless voice communication was relatively mature by 2007, AT&amp;T saw the potential for continued growth in data services, driven by new products and applications.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To capitalize on the data revolution, AT&amp;T had created the Emerging Devices Organization and was investing heavily in Connected Devices. During the period leading up to the Freeze-Out, AT&amp;T's executives consistently stressed the potential of AT&amp;T's data services business. On the day after PwC delivered its valuation reports, Lurie gave a keynote speech in which he described AT&amp;T's plans to connect “anything that has a current running through it.” JX 990 at 0:26–0:29. Days later, Lurie highlighted the “unbelievable change” in wireless penetration rates and expressed his belief that “wireless penetration could be 5, 6, 700%” by 2013, largely because of Connected Devices and “wirelessly-enabl[ed] everything.” JX 1011 at 4:19–5:00. In an interview in August 2010, Stephenson expressed similar statements. When asked about AT&amp;T's business, he responded:</w:t>
      </w:r>
    </w:p>
    <w:p>
      <w:pPr>
        <w:spacing w:before="200" w:after="0" w:line="275" w:lineRule="atLeast"/>
        <w:ind w:left="480" w:right="480" w:firstLine="0"/>
        <w:jc w:val="both"/>
      </w:pPr>
      <w:r>
        <w:rPr>
          <w:rFonts w:ascii="Times New Roman" w:hAnsi="Times New Roman"/>
          <w:color w:val="000000"/>
          <w:sz w:val="20"/>
        </w:rPr>
        <w:t>We're in the connectivity business. We like to say that we connect people to their world. That is basically what we do. And so our objective is to make sure that you're connected to your business information needs, to your home entertainment information needs, to your family, to your associates, that the machines that you possess that transmit data, that they're connected to other machines that are important. And if you think about this, we have this really terrific world-class global network, [and] hanging off of that network are well over 1 billion devices that are basically allowing you to connect with data, machines, and whatnot, and that includes ATMs, and gas pumps, and so forth. So we're in the business of connecting people to information. And data.... Our objective ... is to mobilize everything that you do. Whatever your connectivity needs are, I want those needs mobilized.</w:t>
      </w:r>
    </w:p>
    <w:p>
      <w:pPr>
        <w:spacing w:before="200" w:after="0" w:line="275" w:lineRule="atLeast"/>
        <w:jc w:val="both"/>
      </w:pPr>
      <w:r>
        <w:rPr>
          <w:rFonts w:ascii="Times New Roman" w:hAnsi="Times New Roman"/>
          <w:color w:val="000000"/>
          <w:sz w:val="20"/>
        </w:rPr>
        <w:t>JX 1340 at 0:37–1:54.</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By freezing out the minority partners, AT&amp;T ensured that it would enjoy 100% of the anticipated gains from the data-driven businesses and avoid sharing those gains with the minority partners. AT&amp;T began giving serious consideration to eliminating the minority partners in late 2007, when the shift towards data services began. After the release of the iPhone in summer 2007, the cost to AT&amp;T of paying distributions to the minority partners increased 82% year-over-year. Teske Tr. 611–12; JX 616 at 20. AT&amp;T ultimately chose not to move forward in 2008, but not because AT&amp;T had any doubts about the data revolution. Instead, AT&amp;T focused on purchasing additional spectrum and developing new business lines to take advantage of the shift toward data services. AT&amp;T deferred engaging in the Freeze-Out and similar transactions involving the Partnership's sister entities until 2010 and 2011, but AT&amp;T's principal rationale remained the same: acquire the minority interest before its value increased.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AT&amp;T's early analyses of the potential freeze-out transactions were quite candid in this regard. In a presentation in August 2007, AT&amp;T's Corporate Development team explained that “[a] buyout today will be much less expensive than [a buyout] 1 or 2 years down the road given OIBDA growth rates.” JX 310 at 10. In January 2008, AT&amp;T's Corporate Development team again pitched the Freeze-Out as an opportunity to acquire the minority partners’ interests “at a discount to future growth.” JX 347 at 9.</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87" w:name="co_pp_sp_999_20_1"/>
      <w:r>
        <w:rPr>
          <w:rFonts w:ascii="Times New Roman" w:hAnsi="Times New Roman"/>
          <w:b/>
          <w:color w:val="000000"/>
          <w:sz w:val="20"/>
        </w:rPr>
        <w:t>*20</w:t>
      </w:r>
      <w:bookmarkEnd w:id="87"/>
      <w:r>
        <w:rPr>
          <w:rFonts w:ascii="Times New Roman" w:hAnsi="Times New Roman"/>
          <w:color w:val="000000"/>
          <w:sz w:val="20"/>
        </w:rPr>
        <w:t xml:space="preserve"> By the end of 2008, the distributions to the minority partners had nearly doubled since August of the prior year. </w:t>
      </w:r>
      <w:r>
        <w:rPr>
          <w:rFonts w:ascii="Times New Roman" w:hAnsi="Times New Roman"/>
          <w:i/>
          <w:color w:val="000000"/>
          <w:sz w:val="20"/>
        </w:rPr>
        <w:t>See</w:t>
      </w:r>
      <w:r>
        <w:rPr>
          <w:rFonts w:ascii="Times New Roman" w:hAnsi="Times New Roman"/>
          <w:color w:val="000000"/>
          <w:sz w:val="20"/>
        </w:rPr>
        <w:t xml:space="preserve"> JX 616 at 13; JX 3516, “actualDist” tab. And revenue from data services continued to grow rapidly. By August 2009, AT&amp;T projected that its investment in the Emerging Devices Organization would deliver an internal rate of return </w:t>
      </w:r>
      <w:r>
        <w:rPr>
          <w:rFonts w:ascii="Times New Roman" w:hAnsi="Times New Roman"/>
          <w:color w:val="000000"/>
          <w:sz w:val="20"/>
        </w:rPr>
        <w:t xml:space="preserve">“over 50% within the 5 year period” from 2010 to 2014. JX 532 at 16. AT&amp;T therefore again took up the possibility of freeze-out transactions. </w:t>
      </w:r>
      <w:r>
        <w:rPr>
          <w:rFonts w:ascii="Times New Roman" w:hAnsi="Times New Roman"/>
          <w:i/>
          <w:color w:val="000000"/>
          <w:sz w:val="20"/>
        </w:rPr>
        <w:t>See</w:t>
      </w:r>
      <w:r>
        <w:rPr>
          <w:rFonts w:ascii="Times New Roman" w:hAnsi="Times New Roman"/>
          <w:color w:val="000000"/>
          <w:sz w:val="20"/>
        </w:rPr>
        <w:t xml:space="preserve"> JX 587; JX 616.</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Recognizing that the early planning documents telegraphed that AT&amp;T wanted to eliminate the minority partners to capture the value of the minority interests before they increased, AT&amp;T contends that the 2007–2008 effort was separate and distinct, with no bearing on the transactions that occurred two years later. </w:t>
      </w:r>
      <w:r>
        <w:rPr>
          <w:rFonts w:ascii="Times New Roman" w:hAnsi="Times New Roman"/>
          <w:i/>
          <w:color w:val="000000"/>
          <w:sz w:val="20"/>
        </w:rPr>
        <w:t>See</w:t>
      </w:r>
      <w:r>
        <w:rPr>
          <w:rFonts w:ascii="Times New Roman" w:hAnsi="Times New Roman"/>
          <w:color w:val="000000"/>
          <w:sz w:val="20"/>
        </w:rPr>
        <w:t xml:space="preserve"> Dkt. 614 at 31. Citing </w:t>
      </w:r>
      <w:r>
        <w:rPr>
          <w:rFonts w:ascii="Times New Roman" w:hAnsi="Times New Roman"/>
          <w:i/>
          <w:color w:val="000000"/>
          <w:sz w:val="20"/>
        </w:rPr>
        <w:t>ACP Master, Ltd. v. Sprint Corp.</w:t>
      </w:r>
      <w:r>
        <w:rPr>
          <w:rFonts w:ascii="Times New Roman" w:hAnsi="Times New Roman"/>
          <w:color w:val="000000"/>
          <w:sz w:val="20"/>
        </w:rPr>
        <w:t xml:space="preserve">, AT&amp;T claims that the delay between 2007 and 2008 and the actual freeze-outs “freshened the atmosphere.” </w:t>
      </w:r>
      <w:r>
        <w:rPr>
          <w:rFonts w:ascii="Times New Roman" w:hAnsi="Times New Roman"/>
          <w:i/>
          <w:color w:val="000000"/>
          <w:sz w:val="20"/>
        </w:rPr>
        <w:t>Id.</w:t>
      </w:r>
      <w:r>
        <w:rPr>
          <w:rFonts w:ascii="Times New Roman" w:hAnsi="Times New Roman"/>
          <w:color w:val="000000"/>
          <w:sz w:val="20"/>
        </w:rPr>
        <w:t xml:space="preserve"> at 31–32 (quoting </w:t>
      </w:r>
      <w:hyperlink r:id="r28">
        <w:r>
          <w:rPr>
            <w:rFonts w:ascii="Times New Roman" w:hAnsi="Times New Roman"/>
            <w:color w:val="000000"/>
            <w:sz w:val="20"/>
          </w:rPr>
          <w:t>2017 WL 3421142, at *29 (Del. Ch. July 21, 2017)</w:t>
        </w:r>
      </w:hyperlink>
      <w:r>
        <w:rPr>
          <w:rFonts w:ascii="Times New Roman" w:hAnsi="Times New Roman"/>
          <w:color w:val="000000"/>
          <w:sz w:val="20"/>
        </w:rPr>
        <w:t xml:space="preserve">, </w:t>
      </w:r>
      <w:r>
        <w:rPr>
          <w:rFonts w:ascii="Times New Roman" w:hAnsi="Times New Roman"/>
          <w:i/>
          <w:color w:val="000000"/>
          <w:sz w:val="20"/>
        </w:rPr>
        <w:t>aff'd</w:t>
      </w:r>
      <w:r>
        <w:rPr>
          <w:rFonts w:ascii="Times New Roman" w:hAnsi="Times New Roman"/>
          <w:color w:val="000000"/>
          <w:sz w:val="20"/>
        </w:rPr>
        <w:t xml:space="preserve">, </w:t>
      </w:r>
      <w:hyperlink r:id="r29">
        <w:r>
          <w:rPr>
            <w:rFonts w:ascii="Times New Roman" w:hAnsi="Times New Roman"/>
            <w:color w:val="000000"/>
            <w:sz w:val="20"/>
          </w:rPr>
          <w:t>184 A.3d 1291 (Del. 2018)</w:t>
        </w:r>
      </w:hyperlink>
      <w:r>
        <w:rPr>
          <w:rFonts w:ascii="Times New Roman" w:hAnsi="Times New Roman"/>
          <w:color w:val="000000"/>
          <w:sz w:val="20"/>
        </w:rPr>
        <w:t xml:space="preserve"> (TABLE)). The events in </w:t>
      </w:r>
      <w:r>
        <w:rPr>
          <w:rFonts w:ascii="Times New Roman" w:hAnsi="Times New Roman"/>
          <w:i/>
          <w:color w:val="000000"/>
          <w:sz w:val="20"/>
        </w:rPr>
        <w:t>ACP</w:t>
      </w:r>
      <w:r>
        <w:rPr>
          <w:rFonts w:ascii="Times New Roman" w:hAnsi="Times New Roman"/>
          <w:color w:val="000000"/>
          <w:sz w:val="20"/>
        </w:rPr>
        <w:t xml:space="preserve"> bear no similarity to this case. There, a controlling stockholder was pursuing a freeze-out merger when a third party submitted a topping bid for the controlled corporation. </w:t>
      </w:r>
      <w:hyperlink r:id="r30">
        <w:r>
          <w:rPr>
            <w:rFonts w:ascii="Times New Roman" w:hAnsi="Times New Roman"/>
            <w:i/>
            <w:color w:val="000000"/>
            <w:sz w:val="20"/>
          </w:rPr>
          <w:t>ACP</w:t>
        </w:r>
        <w:r>
          <w:rPr>
            <w:rFonts w:ascii="Times New Roman" w:hAnsi="Times New Roman"/>
            <w:color w:val="000000"/>
            <w:sz w:val="20"/>
          </w:rPr>
          <w:t>, 2017 WL 3421142, at *9</w:t>
        </w:r>
      </w:hyperlink>
      <w:r>
        <w:rPr>
          <w:rFonts w:ascii="Times New Roman" w:hAnsi="Times New Roman"/>
          <w:color w:val="000000"/>
          <w:sz w:val="20"/>
        </w:rPr>
        <w:t xml:space="preserve">. When the target failed to engage, the third party made a bid for the controller. </w:t>
      </w:r>
      <w:hyperlink r:id="r31">
        <w:r>
          <w:rPr>
            <w:rFonts w:ascii="Times New Roman" w:hAnsi="Times New Roman"/>
            <w:i/>
            <w:color w:val="000000"/>
            <w:sz w:val="20"/>
          </w:rPr>
          <w:t>Id.</w:t>
        </w:r>
        <w:r>
          <w:rPr>
            <w:rFonts w:ascii="Times New Roman" w:hAnsi="Times New Roman"/>
            <w:color w:val="000000"/>
            <w:sz w:val="20"/>
          </w:rPr>
          <w:t xml:space="preserve"> at *11</w:t>
        </w:r>
      </w:hyperlink>
      <w:r>
        <w:rPr>
          <w:rFonts w:ascii="Times New Roman" w:hAnsi="Times New Roman"/>
          <w:color w:val="000000"/>
          <w:sz w:val="20"/>
        </w:rPr>
        <w:t xml:space="preserve">. With the controller continuing to pursue the freeze-out, a group of four large stockholders banded together to oppose it. </w:t>
      </w:r>
      <w:r>
        <w:rPr>
          <w:rFonts w:ascii="Times New Roman" w:hAnsi="Times New Roman"/>
          <w:i/>
          <w:color w:val="000000"/>
          <w:sz w:val="20"/>
        </w:rPr>
        <w:t>Id.</w:t>
      </w:r>
      <w:r>
        <w:rPr>
          <w:rFonts w:ascii="Times New Roman" w:hAnsi="Times New Roman"/>
          <w:color w:val="000000"/>
          <w:sz w:val="20"/>
        </w:rPr>
        <w:t xml:space="preserve"> In the end, the controller completed the freeze-out but was forced to pay approximately 70% more than the price it originally proposed. Despite serious problems with the fairness of the initial transaction, the court found that the third party's intervention and the stockholder group's resistance “freshened the atmosphere and created a competitive dynamic” that resulted in the eventual transaction being fair. </w:t>
      </w:r>
      <w:hyperlink r:id="r32">
        <w:r>
          <w:rPr>
            <w:rFonts w:ascii="Times New Roman" w:hAnsi="Times New Roman"/>
            <w:i/>
            <w:color w:val="000000"/>
            <w:sz w:val="20"/>
          </w:rPr>
          <w:t>Id.</w:t>
        </w:r>
        <w:r>
          <w:rPr>
            <w:rFonts w:ascii="Times New Roman" w:hAnsi="Times New Roman"/>
            <w:color w:val="000000"/>
            <w:sz w:val="20"/>
          </w:rPr>
          <w:t xml:space="preserve"> at *29</w:t>
        </w:r>
      </w:hyperlink>
      <w:r>
        <w:rPr>
          <w:rFonts w:ascii="Times New Roman" w:hAnsi="Times New Roman"/>
          <w:color w:val="000000"/>
          <w:sz w:val="20"/>
        </w:rPr>
        <w: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Nothing like that happened here. There was no third-party bidder. There was no ability of minority investors to push back on AT&amp;T. There was no price competition. AT&amp;T simply delayed the buyouts. When AT&amp;T started considering them again, the same members of the Corporate Development Team were intimately involved. </w:t>
      </w:r>
      <w:r>
        <w:rPr>
          <w:rFonts w:ascii="Times New Roman" w:hAnsi="Times New Roman"/>
          <w:i/>
          <w:color w:val="000000"/>
          <w:sz w:val="20"/>
        </w:rPr>
        <w:t>See, e.g.</w:t>
      </w:r>
      <w:r>
        <w:rPr>
          <w:rFonts w:ascii="Times New Roman" w:hAnsi="Times New Roman"/>
          <w:color w:val="000000"/>
          <w:sz w:val="20"/>
        </w:rPr>
        <w:t xml:space="preserve">, JX 558; JX 562; JX 568 JX 569; JX 572; JX 582; JX 585; JX 597; JX 611. They followed the same plan, and they based their analyses on their earlier work. </w:t>
      </w:r>
      <w:r>
        <w:rPr>
          <w:rFonts w:ascii="Times New Roman" w:hAnsi="Times New Roman"/>
          <w:i/>
          <w:color w:val="000000"/>
          <w:sz w:val="20"/>
        </w:rPr>
        <w:t>See</w:t>
      </w:r>
      <w:r>
        <w:rPr>
          <w:rFonts w:ascii="Times New Roman" w:hAnsi="Times New Roman"/>
          <w:color w:val="000000"/>
          <w:sz w:val="20"/>
        </w:rPr>
        <w:t xml:space="preserve"> JX 565; JX 577.</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AT&amp;T's attempt to distance the Freeze-Out from earlier efforts is an invention of litigation counsel, whom AT&amp;T brought in when it revisited the buyouts to sanitize the record. As early as October 1, 2009, the Corporate Development Team circulated a review of “prior court cases” involving partnership freeze-outs. JX 568. AT&amp;T's litigators participated in discussions with the Corporate Development team about how to prepare valuations and move forward. JX 3587. AT&amp;T even had its litigators vet Gilcreast as a potential witness before hiring PwC. </w:t>
      </w:r>
      <w:r>
        <w:rPr>
          <w:rFonts w:ascii="Times New Roman" w:hAnsi="Times New Roman"/>
          <w:i/>
          <w:color w:val="000000"/>
          <w:sz w:val="20"/>
        </w:rPr>
        <w:t>See</w:t>
      </w:r>
      <w:r>
        <w:rPr>
          <w:rFonts w:ascii="Times New Roman" w:hAnsi="Times New Roman"/>
          <w:color w:val="000000"/>
          <w:sz w:val="20"/>
        </w:rPr>
        <w:t xml:space="preserve"> Gilcreast Dep. 45; JX 689 at ’424; </w:t>
      </w:r>
      <w:r>
        <w:rPr>
          <w:rFonts w:ascii="Times New Roman" w:hAnsi="Times New Roman"/>
          <w:i/>
          <w:color w:val="000000"/>
          <w:sz w:val="20"/>
        </w:rPr>
        <w:t>see also</w:t>
      </w:r>
      <w:r>
        <w:rPr>
          <w:rFonts w:ascii="Times New Roman" w:hAnsi="Times New Roman"/>
          <w:color w:val="000000"/>
          <w:sz w:val="20"/>
        </w:rPr>
        <w:t xml:space="preserve"> JX 691.</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As part of its strategy for eventual litigation, AT&amp;T sought to associate the buyouts with Project LESS, and AT&amp;T has argued in this case that it did not act selfishly to capture value from the minority partners but merely to simplify its complex corporate structure and reduce administrative costs. Project LESS was indeed an ongoing effort in that direction, and the Freeze-Out and its sister transactions did have those effects. But they did not provide AT&amp;T's primary motivation. AT&amp;T acted because it anticipated a period of significant growth in data-driven wireless businesses, wanted 100% of the benefits for itself, and did not want to share the benefits with the minority partners.</w:t>
      </w:r>
      <w:bookmarkStart w:id="88" w:name="co_fnRef_B00132055700832_ID0EKOBI_1"/>
      <w:hyperlink w:anchor="co_footnote_B00132055700832_1">
        <w:r>
          <w:rPr>
            <w:rFonts w:ascii="Times New Roman" w:hAnsi="Times New Roman"/>
            <w:color w:val="000000"/>
            <w:sz w:val="16"/>
            <w:vertAlign w:val="superscript"/>
          </w:rPr>
          <w:t>13</w:t>
        </w:r>
      </w:hyperlink>
      <w:bookmarkEnd w:id="88"/>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89" w:name="co_pp_sp_999_21_1"/>
      <w:r>
        <w:rPr>
          <w:rFonts w:ascii="Times New Roman" w:hAnsi="Times New Roman"/>
          <w:b/>
          <w:color w:val="000000"/>
          <w:sz w:val="20"/>
        </w:rPr>
        <w:t>*21</w:t>
      </w:r>
      <w:bookmarkEnd w:id="89"/>
      <w:r>
        <w:rPr>
          <w:rFonts w:ascii="Times New Roman" w:hAnsi="Times New Roman"/>
          <w:color w:val="000000"/>
          <w:sz w:val="20"/>
        </w:rPr>
        <w:t xml:space="preserve"> The relative magnitude of the shared administrative savings and the avoided distributions reveals what really drove AT&amp;T's decision. </w:t>
      </w:r>
      <w:r>
        <w:rPr>
          <w:rFonts w:ascii="Times New Roman" w:hAnsi="Times New Roman"/>
          <w:color w:val="000000"/>
          <w:sz w:val="20"/>
        </w:rPr>
        <w:t xml:space="preserve">In an analysis of a buyout of twenty-one market-level entities, including the Partnership, AT&amp;T projected that it would save $725,000 annually in administrative expenses, and AT&amp;T ascribed a present value of nearly $7 million to those savings. JX 3516, “AdminSavings” tab; </w:t>
      </w:r>
      <w:r>
        <w:rPr>
          <w:rFonts w:ascii="Times New Roman" w:hAnsi="Times New Roman"/>
          <w:i/>
          <w:color w:val="000000"/>
          <w:sz w:val="20"/>
        </w:rPr>
        <w:t>accord</w:t>
      </w:r>
      <w:r>
        <w:rPr>
          <w:rFonts w:ascii="Times New Roman" w:hAnsi="Times New Roman"/>
          <w:color w:val="000000"/>
          <w:sz w:val="20"/>
        </w:rPr>
        <w:t xml:space="preserve"> JX 3514 at ’575. In the same analysis, AT&amp;T projected that it would save at least $13.43 million annually in distributions to the minority partners, and AT&amp;T ascribed a present value of $128.4 million to those savings. JX 3516, “actualDist” tab. The avoided distributions were eighteen times larger than the administrative savings, and the avoided distributions were based on the actual distributions in 2009, which were lower than the distributions to minority partners in 2008. In addition, AT&amp;T would gain a tax benefit by eliminating the minority partners in the form of a step up in basis on their member interests. </w:t>
      </w:r>
      <w:r>
        <w:rPr>
          <w:rFonts w:ascii="Times New Roman" w:hAnsi="Times New Roman"/>
          <w:i/>
          <w:color w:val="000000"/>
          <w:sz w:val="20"/>
        </w:rPr>
        <w:t>See</w:t>
      </w:r>
      <w:r>
        <w:rPr>
          <w:rFonts w:ascii="Times New Roman" w:hAnsi="Times New Roman"/>
          <w:color w:val="000000"/>
          <w:sz w:val="20"/>
        </w:rPr>
        <w:t xml:space="preserve"> JX 3514 at ’580. Across all of the partnerships where AT&amp;T eliminated the minority partners, AT&amp;T estimated the present value of the tax benefits at between $16 million and $18.9 million, more than double the administrative savings. </w:t>
      </w:r>
      <w:r>
        <w:rPr>
          <w:rFonts w:ascii="Times New Roman" w:hAnsi="Times New Roman"/>
          <w:i/>
          <w:color w:val="000000"/>
          <w:sz w:val="20"/>
        </w:rPr>
        <w:t>Id.</w:t>
      </w:r>
      <w:r>
        <w:rPr>
          <w:rFonts w:ascii="Times New Roman" w:hAnsi="Times New Roman"/>
          <w:color w:val="000000"/>
          <w:sz w:val="20"/>
        </w:rPr>
        <w:t xml:space="preserve"> The non-administrative benefits thus provided approximately twenty times the value of the administrative savings that AT&amp;T now claims drove its decision.</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When planning the freeze-outs, AT&amp;T specifically focused on the Partnership, sixteen sister partnerships, and four corporations because they were low-hanging fruit. </w:t>
      </w:r>
      <w:r>
        <w:rPr>
          <w:rFonts w:ascii="Times New Roman" w:hAnsi="Times New Roman"/>
          <w:i/>
          <w:color w:val="000000"/>
          <w:sz w:val="20"/>
        </w:rPr>
        <w:t>See</w:t>
      </w:r>
      <w:r>
        <w:rPr>
          <w:rFonts w:ascii="Times New Roman" w:hAnsi="Times New Roman"/>
          <w:color w:val="000000"/>
          <w:sz w:val="20"/>
        </w:rPr>
        <w:t xml:space="preserve"> Teske Tr. 581–83. The Corporate Development team evaluated buyouts at fifty-one market-level entities. They targeted the Partnership and its sister entities because the minority investors could be eliminated unilaterally. JX 2522 at 2; </w:t>
      </w:r>
      <w:r>
        <w:rPr>
          <w:rFonts w:ascii="Times New Roman" w:hAnsi="Times New Roman"/>
          <w:i/>
          <w:color w:val="000000"/>
          <w:sz w:val="20"/>
        </w:rPr>
        <w:t>see</w:t>
      </w:r>
      <w:r>
        <w:rPr>
          <w:rFonts w:ascii="Times New Roman" w:hAnsi="Times New Roman"/>
          <w:color w:val="000000"/>
          <w:sz w:val="20"/>
        </w:rPr>
        <w:t xml:space="preserve"> JX 310 at ’765–66.</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In response, AT&amp;T has offered more counterfactual assertions. First, AT&amp;T claims that no one expected a sudden increase in the value of the wireless business such that AT&amp;T could not have acted to claim a near-term burst in value. That is true but irrelevant. No one is suggesting that AT&amp;T spring-loaded an option. As depicted by the following graphic, AT&amp;T anticipated substantial growth over time:</w:t>
      </w:r>
    </w:p>
    <w:p>
      <w:pPr>
        <w:spacing w:before="0" w:after="0" w:line="275" w:lineRule="atLeast"/>
        <w:jc w:val="both"/>
      </w:pPr>
      <w:r>
        <w:rPr>
          <w:rFonts w:ascii="Times New Roman" w:hAnsi="Times New Roman"/>
          <w:color w:val="000000"/>
          <w:sz w:val="20"/>
        </w:rPr>
        <w:t> </w:t>
      </w:r>
    </w:p>
    <w:bookmarkStart w:id="90" w:name="co_anchor_I8e6a72d0ace211ec8c80dd32e620"/>
    <w:p>
      <w:pPr>
        <w:spacing w:before="0" w:after="0" w:line="275" w:lineRule="atLeast"/>
        <w:jc w:val="both"/>
      </w:pPr>
      <w:hyperlink r:id="r33">
        <w:r>
          <w:rPr>
            <w:rFonts w:ascii="Times New Roman" w:hAnsi="Times New Roman"/>
            <w:color w:val="000000"/>
            <w:sz w:val="66"/>
          </w:rPr>
          <w:drawing>
            <wp:inline>
              <wp:extent cx="2943225" cy="2260320"/>
              <wp:docPr id="1" name="Picture 1" descr="Image 1 within In re Cellular Telephone Partnership Litigation"/>
              <a:graphic>
                <a:graphicData uri="http://schemas.openxmlformats.org/drawingml/2006/picture">
                  <p:pic>
                    <p:nvPicPr>
                      <p:cNvPr id="2" name="Picture 1" descr="Image 1 within In re Cellular Telephone Partnership Litigation"/>
                      <p:cNvPicPr/>
                    </p:nvPicPr>
                    <p:blipFill>
                      <a:blip r:embed="r35"/>
                      <a:srcRect/>
                      <a:stretch>
                        <a:fillRect/>
                      </a:stretch>
                    </p:blipFill>
                    <p:spPr>
                      <a:xfrm>
                        <a:off x="0" y="0"/>
                        <a:ext cx="2943225" cy="2260320"/>
                      </a:xfrm>
                      <a:prstGeom prst="rect"/>
                    </p:spPr>
                  </p:pic>
                </a:graphicData>
              </a:graphic>
            </wp:inline>
          </w:drawing>
        </w:r>
      </w:hyperlink>
      <w:hyperlink r:id="r34">
        <w:r>
          <w:rPr>
            <w:rFonts w:ascii="Times New Roman" w:hAnsi="Times New Roman"/>
            <w:color w:val="000000"/>
            <w:sz w:val="20"/>
          </w:rPr>
          <w:t>​</w:t>
        </w:r>
      </w:hyperlink>
    </w:p>
    <w:bookmarkEnd w:id="90"/>
    <w:p>
      <w:pPr>
        <w:spacing w:before="200" w:after="0" w:line="275" w:lineRule="atLeast"/>
        <w:jc w:val="both"/>
      </w:pPr>
      <w:r>
        <w:rPr>
          <w:rFonts w:ascii="Times New Roman" w:hAnsi="Times New Roman"/>
          <w:color w:val="000000"/>
          <w:sz w:val="20"/>
        </w:rPr>
        <w:t>JX 1902 at 9. AT&amp;T anticipated highly profitable growth in its wireless business, and AT&amp;T sought to secure that value for itself.</w:t>
      </w:r>
    </w:p>
    <w:p>
      <w:pPr>
        <w:spacing w:before="0" w:after="0" w:line="275" w:lineRule="atLeast"/>
        <w:jc w:val="both"/>
      </w:pPr>
      <w:r>
        <w:rPr>
          <w:rFonts w:ascii="Times New Roman" w:hAnsi="Times New Roman"/>
          <w:color w:val="000000"/>
          <w:sz w:val="20"/>
        </w:rPr>
        <w:t>Next, AT&amp;T has argued that the wireless business requires significant investment, including regular upgrades, so the wireless business was not all upside. No one disputes that, and it is not a meaningful response. AT&amp;T saw significant value in the wireless business net of the necessary investment. Moreover, AT&amp;T was already funding the investment because it operated the Partnership and its sister entities as part of its nationwide wireless network. AT&amp;T was thus sharing the fruits of its investment with the minority partners. AT&amp;T wanted to capture 100% of the gains.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Finally, AT&amp;T has argued that it could not have benefitted from the data revolution because most of its wireless customers had purchased “all you can eat” plans that offered unlimited usage. That is another effort at misdirection. At the time of the freeze-outs, AT&amp;T was changing its pricing policies so it could benefit from increased data usage. </w:t>
      </w:r>
      <w:r>
        <w:rPr>
          <w:rFonts w:ascii="Times New Roman" w:hAnsi="Times New Roman"/>
          <w:i/>
          <w:color w:val="000000"/>
          <w:sz w:val="20"/>
        </w:rPr>
        <w:t>See</w:t>
      </w:r>
      <w:r>
        <w:rPr>
          <w:rFonts w:ascii="Times New Roman" w:hAnsi="Times New Roman"/>
          <w:color w:val="000000"/>
          <w:sz w:val="20"/>
        </w:rPr>
        <w:t xml:space="preserve"> JX 801; JX 1057 at ’980–81; JX 1384 at 3–4.</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 timed the Freeze-Out to eliminate the minority partners before the data revolution would increase the value of AT&amp;T's wireless business and the distributions that the minority partners would receive. AT&amp;T chose the Partnership and its sister entities so AT&amp;T could control the transaction timeline. </w:t>
      </w:r>
      <w:r>
        <w:rPr>
          <w:rFonts w:ascii="Times New Roman" w:hAnsi="Times New Roman"/>
          <w:color w:val="000000"/>
          <w:sz w:val="20"/>
        </w:rPr>
        <w:t>The timing and initiation of the Freeze-Out are evidence of unfair dealing.</w:t>
      </w:r>
    </w:p>
    <w:p>
      <w:pPr>
        <w:spacing w:before="0" w:after="0" w:line="275" w:lineRule="atLeast"/>
        <w:jc w:val="both"/>
      </w:pPr>
      <w:r>
        <w:rPr>
          <w:rFonts w:ascii="Times New Roman" w:hAnsi="Times New Roman"/>
          <w:color w:val="000000"/>
          <w:sz w:val="20"/>
        </w:rPr>
        <w:t> </w:t>
      </w:r>
    </w:p>
    <w:bookmarkStart w:id="91" w:name="co_anchor_I8ec4a0c1ace211ec8c80dd32e620"/>
    <w:bookmarkStart w:id="92" w:name="co_anchor_I8ec4a0c1ace211ec8c80dd32e2"/>
    <w:p>
      <w:pPr>
        <w:pBdr>
          <w:left w:val="none" w:space="10"/>
        </w:pBdr>
        <w:spacing w:before="400" w:after="0" w:line="275" w:lineRule="atLeast"/>
        <w:ind w:left="200" w:right="0" w:firstLine="0"/>
      </w:pPr>
      <w:r>
        <w:rPr>
          <w:rFonts w:ascii="Times New Roman" w:hAnsi="Times New Roman"/>
          <w:b/>
          <w:color w:val="000000"/>
          <w:sz w:val="20"/>
        </w:rPr>
        <w:t>2. The Negotiation And Structure Of The Freeze-Out</w:t>
      </w:r>
    </w:p>
    <w:bookmarkEnd w:id="92"/>
    <w:bookmarkEnd w:id="91"/>
    <w:p>
      <w:pPr>
        <w:spacing w:before="0" w:after="0" w:line="275" w:lineRule="atLeast"/>
        <w:jc w:val="both"/>
      </w:pPr>
      <w:r>
        <w:rPr>
          <w:rFonts w:ascii="Times New Roman" w:hAnsi="Times New Roman"/>
          <w:color w:val="000000"/>
          <w:sz w:val="20"/>
        </w:rPr>
        <w:t xml:space="preserve">Fair dealing also examines how the transaction was negotiated and structured. </w:t>
      </w:r>
      <w:hyperlink r:id="r36">
        <w:r>
          <w:rPr>
            <w:rFonts w:ascii="Times New Roman" w:hAnsi="Times New Roman"/>
            <w:i/>
            <w:color w:val="000000"/>
            <w:sz w:val="20"/>
          </w:rPr>
          <w:t>Weinberger</w:t>
        </w:r>
        <w:r>
          <w:rPr>
            <w:rFonts w:ascii="Times New Roman" w:hAnsi="Times New Roman"/>
            <w:color w:val="000000"/>
            <w:sz w:val="20"/>
          </w:rPr>
          <w:t>, 457 A.2d at 711</w:t>
        </w:r>
      </w:hyperlink>
      <w:r>
        <w:rPr>
          <w:rFonts w:ascii="Times New Roman" w:hAnsi="Times New Roman"/>
          <w:color w:val="000000"/>
          <w:sz w:val="20"/>
        </w:rPr>
        <w:t>. In this case, there was no negotiation, and the structure of the Freeze-Out was not consistent with fair dealing.</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No one negotiated the Freeze-Out. The Partnership had a minority representative on the Executive Committee, and the Executive Committee could have empowered the minority representative to negotiate.</w:t>
      </w:r>
      <w:bookmarkStart w:id="93" w:name="co_fnRef_B00142055700832_ID0E3VBI_1"/>
      <w:hyperlink w:anchor="co_footnote_B00142055700832_1">
        <w:r>
          <w:rPr>
            <w:rFonts w:ascii="Times New Roman" w:hAnsi="Times New Roman"/>
            <w:color w:val="000000"/>
            <w:sz w:val="16"/>
            <w:vertAlign w:val="superscript"/>
          </w:rPr>
          <w:t>14</w:t>
        </w:r>
      </w:hyperlink>
      <w:bookmarkEnd w:id="93"/>
      <w:r>
        <w:rPr>
          <w:rFonts w:ascii="Times New Roman" w:hAnsi="Times New Roman"/>
          <w:color w:val="000000"/>
          <w:sz w:val="20"/>
        </w:rPr>
        <w:t xml:space="preserve"> AT&amp;T did not engage with the minority representative. Instead, AT&amp;T kept the minority representatives at the Partnership and its sister entities in the dark by claiming during the same period when AT&amp;T was using confidential information belonging to those entities to plan the freeze-outs that there was no other business for the Executive Committee to discuss. </w:t>
      </w:r>
      <w:r>
        <w:rPr>
          <w:rFonts w:ascii="Times New Roman" w:hAnsi="Times New Roman"/>
          <w:i/>
          <w:color w:val="000000"/>
          <w:sz w:val="20"/>
        </w:rPr>
        <w:t>See, e.g.</w:t>
      </w:r>
      <w:r>
        <w:rPr>
          <w:rFonts w:ascii="Times New Roman" w:hAnsi="Times New Roman"/>
          <w:color w:val="000000"/>
          <w:sz w:val="20"/>
        </w:rPr>
        <w:t xml:space="preserve">, JX 1080. AT&amp;T did not involve the minority representatives in the process at all, then justified its actions on the theory that the representative's involvement was not required. </w:t>
      </w:r>
      <w:r>
        <w:rPr>
          <w:rFonts w:ascii="Times New Roman" w:hAnsi="Times New Roman"/>
          <w:i/>
          <w:color w:val="000000"/>
          <w:sz w:val="20"/>
        </w:rPr>
        <w:t>See, e.g.</w:t>
      </w:r>
      <w:r>
        <w:rPr>
          <w:rFonts w:ascii="Times New Roman" w:hAnsi="Times New Roman"/>
          <w:color w:val="000000"/>
          <w:sz w:val="20"/>
        </w:rPr>
        <w:t>, JX 1623 at ’765.</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94" w:name="co_pp_sp_999_22_1"/>
      <w:r>
        <w:rPr>
          <w:rFonts w:ascii="Times New Roman" w:hAnsi="Times New Roman"/>
          <w:b/>
          <w:color w:val="000000"/>
          <w:sz w:val="20"/>
        </w:rPr>
        <w:t>*22</w:t>
      </w:r>
      <w:bookmarkEnd w:id="94"/>
      <w:r>
        <w:rPr>
          <w:rFonts w:ascii="Times New Roman" w:hAnsi="Times New Roman"/>
          <w:color w:val="000000"/>
          <w:sz w:val="20"/>
        </w:rPr>
        <w:t xml:space="preserve"> AT&amp;T also did not condition the Freeze-Out on a majority-of-the-minority vote. A controller is not required to provide minority investors with a majority-of-the-minority vote, and a controller may be able to show fair dealing without providing such a vote, but the absence of a vote still figures into the analysis.</w:t>
      </w:r>
      <w:bookmarkStart w:id="95" w:name="co_fnRef_B00152055700832_ID0E31BI_1"/>
      <w:hyperlink w:anchor="co_footnote_B00152055700832_1">
        <w:r>
          <w:rPr>
            <w:rFonts w:ascii="Times New Roman" w:hAnsi="Times New Roman"/>
            <w:color w:val="000000"/>
            <w:sz w:val="16"/>
            <w:vertAlign w:val="superscript"/>
          </w:rPr>
          <w:t>15</w:t>
        </w:r>
      </w:hyperlink>
      <w:bookmarkEnd w:id="95"/>
      <w:r>
        <w:rPr>
          <w:rFonts w:ascii="Times New Roman" w:hAnsi="Times New Roman"/>
          <w:color w:val="000000"/>
          <w:sz w:val="20"/>
        </w:rPr>
        <w:t xml:space="preserve"> At best for AT&amp;T, the absence of a majority-of-the-minority vote is not a negative factor suggesting unfairness. The absence of a majority-of-the-minority vote is equally not a positive factor suggesting fairness. With AT&amp;T bearing the burden of proving entire fairness, the absence of a majority-of-the-minority vote does not move the needle in AT&amp;T's favor.</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In addition to failing to take steps to protect the minority, AT&amp;T engaged in tactics designed to induce the minority to sell in transactions that would not be subject to fiduciary review. Before the Freeze-Out, AT&amp;T told the minority partners that either they could accept an offer from AT&amp;T at a 5% premium to the PwC valuation, or they would be frozen out at the value set by PwC. AT&amp;T thus created a coercive, two-tier offer that pressured the minority to accept the front-end price or else be cashed out at a lower price. A coercive structure is evidence of unfair dealing. </w:t>
      </w:r>
      <w:r>
        <w:rPr>
          <w:rFonts w:ascii="Times New Roman" w:hAnsi="Times New Roman"/>
          <w:i/>
          <w:color w:val="000000"/>
          <w:sz w:val="20"/>
        </w:rPr>
        <w:t>See, e.g.</w:t>
      </w:r>
      <w:r>
        <w:rPr>
          <w:rFonts w:ascii="Times New Roman" w:hAnsi="Times New Roman"/>
          <w:color w:val="000000"/>
          <w:sz w:val="20"/>
        </w:rPr>
        <w:t xml:space="preserve">, </w:t>
      </w:r>
      <w:hyperlink r:id="r37">
        <w:r>
          <w:rPr>
            <w:rFonts w:ascii="Times New Roman" w:hAnsi="Times New Roman"/>
            <w:i/>
            <w:color w:val="000000"/>
            <w:sz w:val="20"/>
          </w:rPr>
          <w:t>Kahn v. Lynch Commc'n Sys., Inc.</w:t>
        </w:r>
        <w:r>
          <w:rPr>
            <w:rFonts w:ascii="Times New Roman" w:hAnsi="Times New Roman"/>
            <w:color w:val="000000"/>
            <w:sz w:val="20"/>
          </w:rPr>
          <w:t>, 638 A.2d 1110, 1120–21 (Del. 1994)</w:t>
        </w:r>
      </w:hyperlink>
      <w:r>
        <w:rPr>
          <w:rFonts w:ascii="Times New Roman" w:hAnsi="Times New Roman"/>
          <w:color w:val="000000"/>
          <w:sz w:val="20"/>
        </w:rPr>
        <w:t xml:space="preserve"> (finding controller's threat that rejecting offer would lead to hostile transaction at lower price meant there was no “semblance of arm's length bargaining”).</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Even with its coercive structure, a majority of the minority partners rejected AT&amp;T's offer. As discussed in the Factual Background, a 58.33% majority of the minority partners by number and a 61.11% majority of the minority by interest rejected AT&amp;T's offer, notwithstanding its coercive structure. </w:t>
      </w:r>
      <w:r>
        <w:rPr>
          <w:rFonts w:ascii="Times New Roman" w:hAnsi="Times New Roman"/>
          <w:i/>
          <w:color w:val="000000"/>
          <w:sz w:val="20"/>
        </w:rPr>
        <w:t>See</w:t>
      </w:r>
      <w:r>
        <w:rPr>
          <w:rFonts w:ascii="Times New Roman" w:hAnsi="Times New Roman"/>
          <w:color w:val="000000"/>
          <w:sz w:val="20"/>
        </w:rPr>
        <w:t xml:space="preserve"> JX 2569 at ’038. That is strong evidence that the offer was unfair, even with the 5% premium.</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There also is evidence that AT&amp;T provided false answers and refused to respond to minority partners’ questions during the special meetings at which AT&amp;T voted its controlling interest to approve the Freeze-Outs. At the special meeting of the Bradenton partnership, a minority partner asked if AT&amp;T had other valuations of the partnership. JX 1703 at 2. Wages falsely responded that AT&amp;T did not. </w:t>
      </w:r>
      <w:r>
        <w:rPr>
          <w:rFonts w:ascii="Times New Roman" w:hAnsi="Times New Roman"/>
          <w:i/>
          <w:color w:val="000000"/>
          <w:sz w:val="20"/>
        </w:rPr>
        <w:t>Id.</w:t>
      </w:r>
      <w:r>
        <w:rPr>
          <w:rFonts w:ascii="Times New Roman" w:hAnsi="Times New Roman"/>
          <w:color w:val="000000"/>
          <w:sz w:val="20"/>
        </w:rPr>
        <w:t xml:space="preserve"> At the same meeting, a minority partner asked if PwC had “other on going [sic] business with AT&amp;T.”</w:t>
      </w:r>
      <w:r>
        <w:rPr>
          <w:rFonts w:ascii="Times New Roman" w:hAnsi="Times New Roman"/>
          <w:color w:val="000000"/>
          <w:sz w:val="20"/>
        </w:rPr>
        <w:t xml:space="preserve"> </w:t>
      </w:r>
      <w:r>
        <w:rPr>
          <w:rFonts w:ascii="Times New Roman" w:hAnsi="Times New Roman"/>
          <w:i/>
          <w:color w:val="000000"/>
          <w:sz w:val="20"/>
        </w:rPr>
        <w:t>Id.</w:t>
      </w:r>
      <w:r>
        <w:rPr>
          <w:rFonts w:ascii="Times New Roman" w:hAnsi="Times New Roman"/>
          <w:color w:val="000000"/>
          <w:sz w:val="20"/>
        </w:rPr>
        <w:t xml:space="preserve"> Instead of answering the question, Wages “explained the procedure for selecting PwC.” </w:t>
      </w:r>
      <w:r>
        <w:rPr>
          <w:rFonts w:ascii="Times New Roman" w:hAnsi="Times New Roman"/>
          <w:i/>
          <w:color w:val="000000"/>
          <w:sz w:val="20"/>
        </w:rPr>
        <w:t>Id.</w:t>
      </w:r>
      <w:r>
        <w:rPr>
          <w:rFonts w:ascii="Times New Roman" w:hAnsi="Times New Roman"/>
          <w:color w:val="000000"/>
          <w:sz w:val="20"/>
        </w:rPr>
        <w:t xml:space="preserve"> AT&amp;T never informed the minority partners about its longstanding relationship with Gilcreast, the PwC partner who led the valuation team.</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 argues that it dealt fairly with the Partnership because it engaged in a transaction that was permitted by the Partnership Agreement. That argument ignores the difference between equitable and legal review. Under Delaware law, the actions of a fiduciary are “twice-tested, first for legal authorization, and second for equity.” </w:t>
      </w:r>
      <w:hyperlink r:id="r38">
        <w:r>
          <w:rPr>
            <w:rFonts w:ascii="Times New Roman" w:hAnsi="Times New Roman"/>
            <w:i/>
            <w:color w:val="000000"/>
            <w:sz w:val="20"/>
          </w:rPr>
          <w:t>Bäcker v. Palisades Growth Cap. II, L.P.</w:t>
        </w:r>
        <w:r>
          <w:rPr>
            <w:rFonts w:ascii="Times New Roman" w:hAnsi="Times New Roman"/>
            <w:color w:val="000000"/>
            <w:sz w:val="20"/>
          </w:rPr>
          <w:t>, 246 A.3d 81, 96 (Del. 2021)</w:t>
        </w:r>
      </w:hyperlink>
      <w:r>
        <w:rPr>
          <w:rFonts w:ascii="Times New Roman" w:hAnsi="Times New Roman"/>
          <w:color w:val="000000"/>
          <w:sz w:val="20"/>
        </w:rPr>
        <w:t xml:space="preserve"> (cleaned up). Minority holders “can entrust [their fiduciaries] with broad legal authority precisely because they know that that authority must be exercised consistently with </w:t>
      </w:r>
      <w:r>
        <w:rPr>
          <w:rFonts w:ascii="Times New Roman" w:hAnsi="Times New Roman"/>
          <w:i/>
          <w:color w:val="000000"/>
          <w:sz w:val="20"/>
        </w:rPr>
        <w:t>equitable</w:t>
      </w:r>
      <w:r>
        <w:rPr>
          <w:rFonts w:ascii="Times New Roman" w:hAnsi="Times New Roman"/>
          <w:color w:val="000000"/>
          <w:sz w:val="20"/>
        </w:rPr>
        <w:t xml:space="preserve"> principles of fiduciary duty.” </w:t>
      </w:r>
      <w:hyperlink r:id="r39">
        <w:r>
          <w:rPr>
            <w:rFonts w:ascii="Times New Roman" w:hAnsi="Times New Roman"/>
            <w:i/>
            <w:color w:val="000000"/>
            <w:sz w:val="20"/>
          </w:rPr>
          <w:t>Id.</w:t>
        </w:r>
        <w:r>
          <w:rPr>
            <w:rFonts w:ascii="Times New Roman" w:hAnsi="Times New Roman"/>
            <w:color w:val="000000"/>
            <w:sz w:val="20"/>
          </w:rPr>
          <w:t xml:space="preserve"> at 97</w:t>
        </w:r>
      </w:hyperlink>
      <w:r>
        <w:rPr>
          <w:rFonts w:ascii="Times New Roman" w:hAnsi="Times New Roman"/>
          <w:color w:val="000000"/>
          <w:sz w:val="20"/>
        </w:rPr>
        <w:t xml:space="preserve"> (cleaned up). “[I]nequitable action does not become permissible simply because it is legally possible.” </w:t>
      </w:r>
      <w:hyperlink r:id="r40">
        <w:r>
          <w:rPr>
            <w:rFonts w:ascii="Times New Roman" w:hAnsi="Times New Roman"/>
            <w:i/>
            <w:color w:val="000000"/>
            <w:sz w:val="20"/>
          </w:rPr>
          <w:t>Schnell v. Chris-Craft Indus., Inc.</w:t>
        </w:r>
        <w:r>
          <w:rPr>
            <w:rFonts w:ascii="Times New Roman" w:hAnsi="Times New Roman"/>
            <w:color w:val="000000"/>
            <w:sz w:val="20"/>
          </w:rPr>
          <w:t>, 285 A.2d 437, 439 (Del. 1971)</w:t>
        </w:r>
      </w:hyperlink>
      <w:r>
        <w:rPr>
          <w:rFonts w:ascii="Times New Roman" w:hAnsi="Times New Roman"/>
          <w:color w:val="000000"/>
          <w:sz w:val="20"/>
        </w:rPr>
        <w:t>. Fair dealing does not turn on whether AT&amp;T did the bare minimum that the law or the Partnership Agreement required. The fair dealing inquiry looks for steps designed to ensure fairness to the minority. Here, AT&amp;T did not take any steps to ensure fair dealing.</w:t>
      </w:r>
    </w:p>
    <w:p>
      <w:pPr>
        <w:spacing w:before="0" w:after="0" w:line="275" w:lineRule="atLeast"/>
        <w:jc w:val="both"/>
      </w:pPr>
      <w:r>
        <w:rPr>
          <w:rFonts w:ascii="Times New Roman" w:hAnsi="Times New Roman"/>
          <w:color w:val="000000"/>
          <w:sz w:val="20"/>
        </w:rPr>
        <w:t> </w:t>
      </w:r>
    </w:p>
    <w:bookmarkStart w:id="96" w:name="co_anchor_I8ecb3071ace211ec8c80dd32e620"/>
    <w:bookmarkStart w:id="97" w:name="co_anchor_I8ecb3071ace211ec8c80dd32e2"/>
    <w:p>
      <w:pPr>
        <w:pBdr>
          <w:left w:val="none" w:space="10"/>
        </w:pBdr>
        <w:spacing w:before="400" w:after="0" w:line="275" w:lineRule="atLeast"/>
        <w:ind w:left="200" w:right="0" w:firstLine="0"/>
      </w:pPr>
      <w:r>
        <w:rPr>
          <w:rFonts w:ascii="Times New Roman" w:hAnsi="Times New Roman"/>
          <w:b/>
          <w:color w:val="000000"/>
          <w:sz w:val="20"/>
        </w:rPr>
        <w:t>3. The Use Of A Financial Advisor To Set The Price</w:t>
      </w:r>
    </w:p>
    <w:bookmarkEnd w:id="97"/>
    <w:bookmarkEnd w:id="96"/>
    <w:p>
      <w:pPr>
        <w:spacing w:before="0" w:after="0" w:line="275" w:lineRule="atLeast"/>
        <w:jc w:val="both"/>
      </w:pPr>
      <w:bookmarkStart w:id="98" w:name="co_pp_sp_999_23_1"/>
      <w:r>
        <w:rPr>
          <w:rFonts w:ascii="Times New Roman" w:hAnsi="Times New Roman"/>
          <w:b/>
          <w:color w:val="000000"/>
          <w:sz w:val="20"/>
        </w:rPr>
        <w:t>*23</w:t>
      </w:r>
      <w:bookmarkEnd w:id="98"/>
      <w:r>
        <w:rPr>
          <w:rFonts w:ascii="Times New Roman" w:hAnsi="Times New Roman"/>
          <w:color w:val="000000"/>
          <w:sz w:val="20"/>
        </w:rPr>
        <w:t xml:space="preserve"> The inquiry into fair dealing also examines other factors relating to the setting of the price, such as the independence of any financial advisor involved in the transaction and the quality of its valuation opinions. Cases typically evaluate the independence and analysis of a financial advisor that a special committee has retained to assist in its negotiations with the controller.</w:t>
      </w:r>
      <w:bookmarkStart w:id="99" w:name="co_fnRef_B00162055700832_ID0E1ECI_1"/>
      <w:hyperlink w:anchor="co_footnote_B00162055700832_1">
        <w:r>
          <w:rPr>
            <w:rFonts w:ascii="Times New Roman" w:hAnsi="Times New Roman"/>
            <w:color w:val="000000"/>
            <w:sz w:val="16"/>
            <w:vertAlign w:val="superscript"/>
          </w:rPr>
          <w:t>16</w:t>
        </w:r>
      </w:hyperlink>
      <w:bookmarkEnd w:id="99"/>
      <w:r>
        <w:rPr>
          <w:rFonts w:ascii="Times New Roman" w:hAnsi="Times New Roman"/>
          <w:color w:val="000000"/>
          <w:sz w:val="20"/>
        </w:rPr>
        <w:t xml:space="preserve"> Cases have not given significant weight to the financial advisor that the buyer hires to help it set the price. But because AT&amp;T has relied on its retention of PwC as its principal evidence of fair dealing, this decision must focus on that aspect of the process.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AT&amp;T's retaining of PwC is hardly a significant step. Buyers routinely hire a financial advisor for assistance. It would have been striking if AT&amp;T had not retained a financial advisor to help with the transaction.</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 emphasizes that PwC was an independent firm. But AT&amp;T hired and paid PwC, and PwC knew that it would be creating a valuation for a transaction in which AT&amp;T was the buyer. As this court's experience with appraisal cases demonstrates plainly, valuation professionals reach outcomes that are influenced by the interests of the party that retains them, even when ostensibly acting as disinterested experts.</w:t>
      </w:r>
      <w:bookmarkStart w:id="100" w:name="co_fnRef_B00172055700832_ID0EGICI_1"/>
      <w:hyperlink w:anchor="co_footnote_B00172055700832_1">
        <w:r>
          <w:rPr>
            <w:rFonts w:ascii="Times New Roman" w:hAnsi="Times New Roman"/>
            <w:color w:val="000000"/>
            <w:sz w:val="16"/>
            <w:vertAlign w:val="superscript"/>
          </w:rPr>
          <w:t>17</w:t>
        </w:r>
      </w:hyperlink>
      <w:bookmarkEnd w:id="100"/>
      <w:r>
        <w:rPr>
          <w:rFonts w:ascii="Times New Roman" w:hAnsi="Times New Roman"/>
          <w:color w:val="000000"/>
          <w:sz w:val="20"/>
        </w:rPr>
        <w:t xml:space="preserve"> Scholars have reached the same conclusions.</w:t>
      </w:r>
      <w:bookmarkStart w:id="101" w:name="co_fnRef_B00182055700832_ID0EQICI_1"/>
      <w:hyperlink w:anchor="co_footnote_B00182055700832_1">
        <w:r>
          <w:rPr>
            <w:rFonts w:ascii="Times New Roman" w:hAnsi="Times New Roman"/>
            <w:color w:val="000000"/>
            <w:sz w:val="16"/>
            <w:vertAlign w:val="superscript"/>
          </w:rPr>
          <w:t>18</w:t>
        </w:r>
      </w:hyperlink>
      <w:bookmarkEnd w:id="101"/>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02" w:name="co_pp_sp_999_24_1"/>
      <w:r>
        <w:rPr>
          <w:rFonts w:ascii="Times New Roman" w:hAnsi="Times New Roman"/>
          <w:b/>
          <w:color w:val="000000"/>
          <w:sz w:val="20"/>
        </w:rPr>
        <w:t>*24</w:t>
      </w:r>
      <w:bookmarkEnd w:id="102"/>
      <w:r>
        <w:rPr>
          <w:rFonts w:ascii="Times New Roman" w:hAnsi="Times New Roman"/>
          <w:color w:val="000000"/>
          <w:sz w:val="20"/>
        </w:rPr>
        <w:t xml:space="preserve"> The PwC team had prior relationships with AT&amp;T. Gilcreast led the team, and he previously worked on AT&amp;T's acquisition of Cingular while with Standard and Poor's, then continued to perform accounting and valuation work for AT&amp;T after Duff &amp; Phelps acquired his practice group. Gilcreast had developed business relationships with several AT&amp;T executives through his prior work. After Gilcreast moved to PwC, he was prohibited from working for AT&amp;T by a noncompetition agreement, but AT&amp;T secured a waiver from Duff &amp; Phelps so they could use him. During PwC's engagement, Gilcreast continued to solicit further business from AT&amp;T. </w:t>
      </w:r>
      <w:r>
        <w:rPr>
          <w:rFonts w:ascii="Times New Roman" w:hAnsi="Times New Roman"/>
          <w:i/>
          <w:color w:val="000000"/>
          <w:sz w:val="20"/>
        </w:rPr>
        <w:t>See</w:t>
      </w:r>
      <w:r>
        <w:rPr>
          <w:rFonts w:ascii="Times New Roman" w:hAnsi="Times New Roman"/>
          <w:color w:val="000000"/>
          <w:sz w:val="20"/>
        </w:rPr>
        <w:t xml:space="preserve"> JX 1814. In light of these ties and events, AT&amp;T's hiring of PwC looks less like the engagement of a truly independent outside advisor and more like the continuation of a longstanding business relationship with an individual who knew how to deliver the answer AT&amp;T wanted.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When the analysis moves to what PwC did, the evidence is mixed. To the good, the PwC team developed a generally sound model. Also to the good, AT&amp;T generally gave PwC the information it requested. And PwC did not take all of AT&amp;T's suggestions about how to value the Partnership. For example, Gopalan recommended that PwC set population growth for the Salem Market “equal to 1% for all years.” JX 1075 at 7. PwC performed its own internal analysis and set population growth at 1.5%. JX 1209 at ’052; </w:t>
      </w:r>
      <w:r>
        <w:rPr>
          <w:rFonts w:ascii="Times New Roman" w:hAnsi="Times New Roman"/>
          <w:i/>
          <w:color w:val="000000"/>
          <w:sz w:val="20"/>
        </w:rPr>
        <w:t>accord</w:t>
      </w:r>
      <w:r>
        <w:rPr>
          <w:rFonts w:ascii="Times New Roman" w:hAnsi="Times New Roman"/>
          <w:color w:val="000000"/>
          <w:sz w:val="20"/>
        </w:rPr>
        <w:t xml:space="preserve"> JX 1075 at 7. PwC also declined to accept Teske's suggestion that the cash flow estimates should deduct a royalty equal to 4% of the revenue on the theory that an independent entity would have to pay AT&amp;T for its brand. JX 1209 at ’220.</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To the bad, AT&amp;T withheld important pieces of information from PwC, such as board presentations about the buyouts and information about revenue from Connected Devices. PwC sought copies of board presentations in its initial data request. JX 728 at ’369; JX 760. Teske claimed that he could not ask for the presentations because they were prepared for the board of AT&amp;T, while he worked for Mobility. Teske Tr. 552–53, 630–33. That explanation was not credible. Teske was the designated point of contact for PwC, and PwC's job was to create valuations that Teske and his colleagues would use to seek authorization to spend millions of dollars of AT&amp;T's capital on buying out the minority partners. Teske could have obtained the presentations, just as he obtained the Ten-Year Plan. At a minimum, he could have asked.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logical inference is that Teske did not provide PwC with the presentations because the information they contained would have been problematic for AT&amp;T, such as AT&amp;T's plan to acquire the minority interests “at a discount to future growth.” JX 347 at 9; </w:t>
      </w:r>
      <w:r>
        <w:rPr>
          <w:rFonts w:ascii="Times New Roman" w:hAnsi="Times New Roman"/>
          <w:i/>
          <w:color w:val="000000"/>
          <w:sz w:val="20"/>
        </w:rPr>
        <w:t>see</w:t>
      </w:r>
      <w:r>
        <w:rPr>
          <w:rFonts w:ascii="Times New Roman" w:hAnsi="Times New Roman"/>
          <w:color w:val="000000"/>
          <w:sz w:val="20"/>
        </w:rPr>
        <w:t xml:space="preserve"> JX 310 at 10. AT&amp;T only provided PwC with valuations performed by Duff &amp; Phelps, whose previous valuation work was “in line” with the price AT&amp;T wanted to pay. </w:t>
      </w:r>
      <w:r>
        <w:rPr>
          <w:rFonts w:ascii="Times New Roman" w:hAnsi="Times New Roman"/>
          <w:i/>
          <w:color w:val="000000"/>
          <w:sz w:val="20"/>
        </w:rPr>
        <w:t>See</w:t>
      </w:r>
      <w:r>
        <w:rPr>
          <w:rFonts w:ascii="Times New Roman" w:hAnsi="Times New Roman"/>
          <w:color w:val="000000"/>
          <w:sz w:val="20"/>
        </w:rPr>
        <w:t xml:space="preserve"> JX 347 at 9. AT&amp;T thus steered PwC towards its preferred valuation.</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Despite PwC's requests, AT&amp;T failed to provide any detailed information about its projections for Connected Devices. The 2009 version of the Ten-Year Plan that AT&amp;T sent to PwC contained estimates for subscribers, but it did not break out revenue. </w:t>
      </w:r>
      <w:r>
        <w:rPr>
          <w:rFonts w:ascii="Times New Roman" w:hAnsi="Times New Roman"/>
          <w:i/>
          <w:color w:val="000000"/>
          <w:sz w:val="20"/>
        </w:rPr>
        <w:t>See</w:t>
      </w:r>
      <w:r>
        <w:rPr>
          <w:rFonts w:ascii="Times New Roman" w:hAnsi="Times New Roman"/>
          <w:color w:val="000000"/>
          <w:sz w:val="20"/>
        </w:rPr>
        <w:t xml:space="preserve"> JX 553. On March 22, 2010, PwC asked for “details on the updated 10 yr plan, especially as it relates to connected devices.” JX 850. Gilcreast reiterated the request the next day. JX 867 at ’251. Teske responded that AT&amp;T “[a]greed that it is something to consider, but [AT&amp;T] doesn't want there to be any delay.” </w:t>
      </w:r>
      <w:r>
        <w:rPr>
          <w:rFonts w:ascii="Times New Roman" w:hAnsi="Times New Roman"/>
          <w:i/>
          <w:color w:val="000000"/>
          <w:sz w:val="20"/>
        </w:rPr>
        <w:t>Id.</w:t>
      </w:r>
      <w:r>
        <w:rPr>
          <w:rFonts w:ascii="Times New Roman" w:hAnsi="Times New Roman"/>
          <w:color w:val="000000"/>
          <w:sz w:val="20"/>
        </w:rPr>
        <w:t xml:space="preserve"> He added that “there appears to be ... an overwhelming focus on timeline right now.” </w:t>
      </w:r>
      <w:r>
        <w:rPr>
          <w:rFonts w:ascii="Times New Roman" w:hAnsi="Times New Roman"/>
          <w:i/>
          <w:color w:val="000000"/>
          <w:sz w:val="20"/>
        </w:rPr>
        <w:t>Id.</w:t>
      </w:r>
      <w:r>
        <w:rPr>
          <w:rFonts w:ascii="Times New Roman" w:hAnsi="Times New Roman"/>
          <w:color w:val="000000"/>
          <w:sz w:val="20"/>
        </w:rPr>
        <w:t xml:space="preserve"> In its final valuation report for the Partnership, PwC stated AT&amp;T had failed to provide any “data or basis for including the impact of connected devices in the forecasts.” JX 1209 at ’223–24.</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By not giving PwC detailed information about Connected Devices, AT&amp;T limited PwC's ability to value a business that AT&amp;T regarded as central to Mobility's future. In his deposition, Gilcreast posited that AT&amp;T rebuffed PwC's requests because “the industry as a whole was still trying to get its head around what the potential for [Connected Devices] was.” Gilcreast Dep. 294. But AT&amp;T had the data, and AT&amp;T executives were touting the value of Connected Devices in their public statements. The logical inference is that AT&amp;T withheld the data to get the transactions done at a lower price.</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03" w:name="co_pp_sp_999_25_1"/>
      <w:r>
        <w:rPr>
          <w:rFonts w:ascii="Times New Roman" w:hAnsi="Times New Roman"/>
          <w:b/>
          <w:color w:val="000000"/>
          <w:sz w:val="20"/>
        </w:rPr>
        <w:t>*25</w:t>
      </w:r>
      <w:bookmarkEnd w:id="103"/>
      <w:r>
        <w:rPr>
          <w:rFonts w:ascii="Times New Roman" w:hAnsi="Times New Roman"/>
          <w:color w:val="000000"/>
          <w:sz w:val="20"/>
        </w:rPr>
        <w:t xml:space="preserve"> AT&amp;T also dictated that PwC use a higher tax rate for the Partnership than PwC otherwise would have applied. </w:t>
      </w:r>
      <w:r>
        <w:rPr>
          <w:rFonts w:ascii="Times New Roman" w:hAnsi="Times New Roman"/>
          <w:color w:val="000000"/>
          <w:sz w:val="20"/>
        </w:rPr>
        <w:t xml:space="preserve">PwC suggested that because the partnerships were pass-through entities, it should use the “synthetic” tax rate developed by this court in </w:t>
      </w:r>
      <w:hyperlink r:id="r41">
        <w:r>
          <w:rPr>
            <w:rFonts w:ascii="Times New Roman" w:hAnsi="Times New Roman"/>
            <w:i/>
            <w:color w:val="000000"/>
            <w:sz w:val="20"/>
          </w:rPr>
          <w:t>Delaware Open MRI Radiology Associates, P.A. v. Kessler</w:t>
        </w:r>
        <w:r>
          <w:rPr>
            <w:rFonts w:ascii="Times New Roman" w:hAnsi="Times New Roman"/>
            <w:color w:val="000000"/>
            <w:sz w:val="20"/>
          </w:rPr>
          <w:t>, 898 A.2d 290 (Del. Ch. 2006)</w:t>
        </w:r>
      </w:hyperlink>
      <w:r>
        <w:rPr>
          <w:rFonts w:ascii="Times New Roman" w:hAnsi="Times New Roman"/>
          <w:color w:val="000000"/>
          <w:sz w:val="20"/>
        </w:rPr>
        <w:t xml:space="preserve">. JX 892; </w:t>
      </w:r>
      <w:r>
        <w:rPr>
          <w:rFonts w:ascii="Times New Roman" w:hAnsi="Times New Roman"/>
          <w:i/>
          <w:color w:val="000000"/>
          <w:sz w:val="20"/>
        </w:rPr>
        <w:t>see</w:t>
      </w:r>
      <w:r>
        <w:rPr>
          <w:rFonts w:ascii="Times New Roman" w:hAnsi="Times New Roman"/>
          <w:color w:val="000000"/>
          <w:sz w:val="20"/>
        </w:rPr>
        <w:t xml:space="preserve"> Gilcreast Dep. 242–44. AT&amp;T instructed PwC to use AT&amp;T's higher corporate tax rate of 38.5% without providing any explanation. </w:t>
      </w:r>
      <w:r>
        <w:rPr>
          <w:rFonts w:ascii="Times New Roman" w:hAnsi="Times New Roman"/>
          <w:i/>
          <w:color w:val="000000"/>
          <w:sz w:val="20"/>
        </w:rPr>
        <w:t>See</w:t>
      </w:r>
      <w:r>
        <w:rPr>
          <w:rFonts w:ascii="Times New Roman" w:hAnsi="Times New Roman"/>
          <w:color w:val="000000"/>
          <w:sz w:val="20"/>
        </w:rPr>
        <w:t xml:space="preserve"> Teske Tr. 668–70; Gilcreast Dep. 243–45; JX 893. Using a lower tax rate would have increased PwC's valuation conclusion.</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In addition to these specific items, AT&amp;T's Corporate Development Team met with PwC and reviewed the valuations in detail, resulting in changes to the model. Not surprisingly, PwC ended up valuing the Partnership at “the lower end” of the range that the Corporate Development Team had developed. </w:t>
      </w:r>
      <w:r>
        <w:rPr>
          <w:rFonts w:ascii="Times New Roman" w:hAnsi="Times New Roman"/>
          <w:i/>
          <w:color w:val="000000"/>
          <w:sz w:val="20"/>
        </w:rPr>
        <w:t>See</w:t>
      </w:r>
      <w:r>
        <w:rPr>
          <w:rFonts w:ascii="Times New Roman" w:hAnsi="Times New Roman"/>
          <w:color w:val="000000"/>
          <w:sz w:val="20"/>
        </w:rPr>
        <w:t xml:space="preserve"> JX 1323.</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record regarding PwC's involvement is mixed. On the whole, however, AT&amp;T's interactions with PwC provide additional evidence of an unfair process.</w:t>
      </w:r>
    </w:p>
    <w:p>
      <w:pPr>
        <w:spacing w:before="0" w:after="0" w:line="275" w:lineRule="atLeast"/>
        <w:jc w:val="both"/>
      </w:pPr>
      <w:r>
        <w:rPr>
          <w:rFonts w:ascii="Times New Roman" w:hAnsi="Times New Roman"/>
          <w:color w:val="000000"/>
          <w:sz w:val="20"/>
        </w:rPr>
        <w:t> </w:t>
      </w:r>
    </w:p>
    <w:bookmarkStart w:id="104" w:name="co_anchor_I8ed6c931ace211ec8c80dd32e620"/>
    <w:bookmarkStart w:id="105" w:name="co_anchor_I8ed6c931ace211ec8c80dd32e2"/>
    <w:p>
      <w:pPr>
        <w:pBdr>
          <w:left w:val="none" w:space="10"/>
        </w:pBdr>
        <w:spacing w:before="400" w:after="0" w:line="275" w:lineRule="atLeast"/>
        <w:ind w:left="200" w:right="0" w:firstLine="0"/>
      </w:pPr>
      <w:r>
        <w:rPr>
          <w:rFonts w:ascii="Times New Roman" w:hAnsi="Times New Roman"/>
          <w:b/>
          <w:color w:val="000000"/>
          <w:sz w:val="20"/>
        </w:rPr>
        <w:t xml:space="preserve">4. The </w:t>
      </w:r>
      <w:r>
        <w:rPr>
          <w:rFonts w:ascii="Times New Roman" w:hAnsi="Times New Roman"/>
          <w:b/>
          <w:i/>
          <w:color w:val="000000"/>
          <w:sz w:val="20"/>
        </w:rPr>
        <w:t>J&amp;J Celcom</w:t>
      </w:r>
      <w:r>
        <w:rPr>
          <w:rFonts w:ascii="Times New Roman" w:hAnsi="Times New Roman"/>
          <w:b/>
          <w:color w:val="000000"/>
          <w:sz w:val="20"/>
        </w:rPr>
        <w:t xml:space="preserve"> Case</w:t>
      </w:r>
    </w:p>
    <w:bookmarkEnd w:id="105"/>
    <w:bookmarkEnd w:id="104"/>
    <w:p>
      <w:pPr>
        <w:spacing w:before="0" w:after="0" w:line="275" w:lineRule="atLeast"/>
        <w:jc w:val="both"/>
      </w:pPr>
      <w:r>
        <w:rPr>
          <w:rFonts w:ascii="Times New Roman" w:hAnsi="Times New Roman"/>
          <w:color w:val="000000"/>
          <w:sz w:val="20"/>
        </w:rPr>
        <w:t xml:space="preserve">AT&amp;T finally argues that it followed a fair process because it took steps that mirrored a partnership buyout process from an earlier case in which a federal district court found no violation of the duty of loyalty under Washington law. </w:t>
      </w:r>
      <w:r>
        <w:rPr>
          <w:rFonts w:ascii="Times New Roman" w:hAnsi="Times New Roman"/>
          <w:i/>
          <w:color w:val="000000"/>
          <w:sz w:val="20"/>
        </w:rPr>
        <w:t>See</w:t>
      </w:r>
      <w:r>
        <w:rPr>
          <w:rFonts w:ascii="Times New Roman" w:hAnsi="Times New Roman"/>
          <w:color w:val="000000"/>
          <w:sz w:val="20"/>
        </w:rPr>
        <w:t xml:space="preserve"> </w:t>
      </w:r>
      <w:hyperlink r:id="r42">
        <w:r>
          <w:rPr>
            <w:rFonts w:ascii="Times New Roman" w:hAnsi="Times New Roman"/>
            <w:i/>
            <w:color w:val="000000"/>
            <w:sz w:val="20"/>
          </w:rPr>
          <w:t>J&amp;J Celcom v. AT&amp;T Wireless Servs., Inc.</w:t>
        </w:r>
        <w:r>
          <w:rPr>
            <w:rFonts w:ascii="Times New Roman" w:hAnsi="Times New Roman"/>
            <w:color w:val="000000"/>
            <w:sz w:val="20"/>
          </w:rPr>
          <w:t>, 2005 WL 1126924 (W.D. Wash. May 10, 2005)</w:t>
        </w:r>
      </w:hyperlink>
      <w:r>
        <w:rPr>
          <w:rFonts w:ascii="Times New Roman" w:hAnsi="Times New Roman"/>
          <w:color w:val="000000"/>
          <w:sz w:val="20"/>
        </w:rPr>
        <w:t xml:space="preserve">, </w:t>
      </w:r>
      <w:r>
        <w:rPr>
          <w:rFonts w:ascii="Times New Roman" w:hAnsi="Times New Roman"/>
          <w:i/>
          <w:color w:val="000000"/>
          <w:sz w:val="20"/>
        </w:rPr>
        <w:t>aff'd in part</w:t>
      </w:r>
      <w:r>
        <w:rPr>
          <w:rFonts w:ascii="Times New Roman" w:hAnsi="Times New Roman"/>
          <w:color w:val="000000"/>
          <w:sz w:val="20"/>
        </w:rPr>
        <w:t xml:space="preserve">, </w:t>
      </w:r>
      <w:hyperlink r:id="r43">
        <w:r>
          <w:rPr>
            <w:rFonts w:ascii="Times New Roman" w:hAnsi="Times New Roman"/>
            <w:color w:val="000000"/>
            <w:sz w:val="20"/>
          </w:rPr>
          <w:t>215 F. App'x 616 (9th Cir. 2006)</w:t>
        </w:r>
      </w:hyperlink>
      <w:r>
        <w:rPr>
          <w:rFonts w:ascii="Times New Roman" w:hAnsi="Times New Roman"/>
          <w:color w:val="000000"/>
          <w:sz w:val="20"/>
        </w:rPr>
        <w:t xml:space="preserve">. AT&amp;T's reliance on </w:t>
      </w:r>
      <w:r>
        <w:rPr>
          <w:rFonts w:ascii="Times New Roman" w:hAnsi="Times New Roman"/>
          <w:i/>
          <w:color w:val="000000"/>
          <w:sz w:val="20"/>
        </w:rPr>
        <w:t>J&amp;J Celcom</w:t>
      </w:r>
      <w:r>
        <w:rPr>
          <w:rFonts w:ascii="Times New Roman" w:hAnsi="Times New Roman"/>
          <w:color w:val="000000"/>
          <w:sz w:val="20"/>
        </w:rPr>
        <w:t xml:space="preserve"> does not support the fairness of the process in this case.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First, the court in </w:t>
      </w:r>
      <w:r>
        <w:rPr>
          <w:rFonts w:ascii="Times New Roman" w:hAnsi="Times New Roman"/>
          <w:i/>
          <w:color w:val="000000"/>
          <w:sz w:val="20"/>
        </w:rPr>
        <w:t>J&amp;J Celcom</w:t>
      </w:r>
      <w:r>
        <w:rPr>
          <w:rFonts w:ascii="Times New Roman" w:hAnsi="Times New Roman"/>
          <w:color w:val="000000"/>
          <w:sz w:val="20"/>
        </w:rPr>
        <w:t xml:space="preserve"> applied Washington law. </w:t>
      </w:r>
      <w:r>
        <w:rPr>
          <w:rFonts w:ascii="Times New Roman" w:hAnsi="Times New Roman"/>
          <w:i/>
          <w:color w:val="000000"/>
          <w:sz w:val="20"/>
        </w:rPr>
        <w:t>See J&amp;J Celcom v. AT&amp;T Wireless Servs., Inc.</w:t>
      </w:r>
      <w:r>
        <w:rPr>
          <w:rFonts w:ascii="Times New Roman" w:hAnsi="Times New Roman"/>
          <w:color w:val="000000"/>
          <w:sz w:val="20"/>
        </w:rPr>
        <w:t xml:space="preserve"> (</w:t>
      </w:r>
      <w:hyperlink r:id="r44">
        <w:r>
          <w:rPr>
            <w:rFonts w:ascii="Times New Roman" w:hAnsi="Times New Roman"/>
            <w:i/>
            <w:color w:val="000000"/>
            <w:sz w:val="20"/>
          </w:rPr>
          <w:t>J&amp;J Appeal</w:t>
        </w:r>
        <w:r>
          <w:rPr>
            <w:rFonts w:ascii="Times New Roman" w:hAnsi="Times New Roman"/>
            <w:color w:val="000000"/>
            <w:sz w:val="20"/>
          </w:rPr>
          <w:t>), 215 F. App'x 616 (9th Cir. 2006)</w:t>
        </w:r>
      </w:hyperlink>
      <w:r>
        <w:rPr>
          <w:rFonts w:ascii="Times New Roman" w:hAnsi="Times New Roman"/>
          <w:color w:val="000000"/>
          <w:sz w:val="20"/>
        </w:rPr>
        <w:t xml:space="preserve">. Washington partnership law imposes a duty of loyalty that “is limited in scope.” </w:t>
      </w:r>
      <w:hyperlink r:id="r45">
        <w:r>
          <w:rPr>
            <w:rFonts w:ascii="Times New Roman" w:hAnsi="Times New Roman"/>
            <w:i/>
            <w:color w:val="000000"/>
            <w:sz w:val="20"/>
          </w:rPr>
          <w:t>J&amp;J Celcom</w:t>
        </w:r>
        <w:r>
          <w:rPr>
            <w:rFonts w:ascii="Times New Roman" w:hAnsi="Times New Roman"/>
            <w:color w:val="000000"/>
            <w:sz w:val="20"/>
          </w:rPr>
          <w:t>, 2005 WL 1126924, at *12</w:t>
        </w:r>
      </w:hyperlink>
      <w:r>
        <w:rPr>
          <w:rFonts w:ascii="Times New Roman" w:hAnsi="Times New Roman"/>
          <w:color w:val="000000"/>
          <w:sz w:val="20"/>
        </w:rPr>
        <w:t xml:space="preserve">. Under Washington law, “a partner may engage in conduct that would violate the duty of loyalty if the partner discloses all the material facts and all of the partners or a number or percentage specified in the partnership agreement authorize the conduct.” </w:t>
      </w:r>
      <w:r>
        <w:rPr>
          <w:rFonts w:ascii="Times New Roman" w:hAnsi="Times New Roman"/>
          <w:i/>
          <w:color w:val="000000"/>
          <w:sz w:val="20"/>
        </w:rPr>
        <w:t>Id.</w:t>
      </w:r>
      <w:r>
        <w:rPr>
          <w:rFonts w:ascii="Times New Roman" w:hAnsi="Times New Roman"/>
          <w:color w:val="000000"/>
          <w:sz w:val="20"/>
        </w:rPr>
        <w:t xml:space="preserve"> In that scenario, the partner must only show that all material facts were disclosed and that the price paid “was fair.” </w:t>
      </w:r>
      <w:hyperlink r:id="r46">
        <w:r>
          <w:rPr>
            <w:rFonts w:ascii="Times New Roman" w:hAnsi="Times New Roman"/>
            <w:i/>
            <w:color w:val="000000"/>
            <w:sz w:val="20"/>
          </w:rPr>
          <w:t>Id.</w:t>
        </w:r>
        <w:r>
          <w:rPr>
            <w:rFonts w:ascii="Times New Roman" w:hAnsi="Times New Roman"/>
            <w:color w:val="000000"/>
            <w:sz w:val="20"/>
          </w:rPr>
          <w:t xml:space="preserve"> at *13</w:t>
        </w:r>
      </w:hyperlink>
      <w:r>
        <w:rPr>
          <w:rFonts w:ascii="Times New Roman" w:hAnsi="Times New Roman"/>
          <w:color w:val="000000"/>
          <w:sz w:val="20"/>
        </w:rPr>
        <w:t>. In other words, there is no requirement of fair dealing, only full disclosure and fair price.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By contrast, this case requires the court to apply Delaware law, which requires fair dealing. And unlike Washington's test, Delaware's test is not a bifurcated one. Regardless, this decision has already found that AT&amp;T did not disclose all material facts.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outcome of </w:t>
      </w:r>
      <w:r>
        <w:rPr>
          <w:rFonts w:ascii="Times New Roman" w:hAnsi="Times New Roman"/>
          <w:i/>
          <w:color w:val="000000"/>
          <w:sz w:val="20"/>
        </w:rPr>
        <w:t>J&amp;J Celcom</w:t>
      </w:r>
      <w:r>
        <w:rPr>
          <w:rFonts w:ascii="Times New Roman" w:hAnsi="Times New Roman"/>
          <w:color w:val="000000"/>
          <w:sz w:val="20"/>
        </w:rPr>
        <w:t xml:space="preserve"> also appears to have turned largely on ineffective advocacy by the plaintiffs in that case. Counsel for the plaintiffs “represented that he was unaware of any conflict of law” that would warrant applying the law of a different state, even though three of the partnerships were Delaware entities. </w:t>
      </w:r>
      <w:hyperlink r:id="r47">
        <w:r>
          <w:rPr>
            <w:rFonts w:ascii="Times New Roman" w:hAnsi="Times New Roman"/>
            <w:i/>
            <w:color w:val="000000"/>
            <w:sz w:val="20"/>
          </w:rPr>
          <w:t>J&amp;J Appeal</w:t>
        </w:r>
        <w:r>
          <w:rPr>
            <w:rFonts w:ascii="Times New Roman" w:hAnsi="Times New Roman"/>
            <w:color w:val="000000"/>
            <w:sz w:val="20"/>
          </w:rPr>
          <w:t>, 215 F. App'x at 618, 620</w:t>
        </w:r>
      </w:hyperlink>
      <w:r>
        <w:rPr>
          <w:rFonts w:ascii="Times New Roman" w:hAnsi="Times New Roman"/>
          <w:color w:val="000000"/>
          <w:sz w:val="20"/>
        </w:rPr>
        <w:t xml:space="preserve">. The court also noted that “Plaintiffs’ argument regarding Defendants’ alleged breach of fiduciary duty is difficult to follow; their response is incomprehensible at points and their citation to the record lacks clarity and precision.” </w:t>
      </w:r>
      <w:hyperlink r:id="r48">
        <w:r>
          <w:rPr>
            <w:rFonts w:ascii="Times New Roman" w:hAnsi="Times New Roman"/>
            <w:i/>
            <w:color w:val="000000"/>
            <w:sz w:val="20"/>
          </w:rPr>
          <w:t>J&amp;J Celcom</w:t>
        </w:r>
        <w:r>
          <w:rPr>
            <w:rFonts w:ascii="Times New Roman" w:hAnsi="Times New Roman"/>
            <w:color w:val="000000"/>
            <w:sz w:val="20"/>
          </w:rPr>
          <w:t>, 2005 WL 1126924, at *13</w:t>
        </w:r>
      </w:hyperlink>
      <w:r>
        <w:rPr>
          <w:rFonts w:ascii="Times New Roman" w:hAnsi="Times New Roman"/>
          <w:color w:val="000000"/>
          <w:sz w:val="20"/>
        </w:rPr>
        <w:t xml:space="preserve">. The plaintiffs apparently attacked the fairness of the transaction price by submitting an expert report challenging AT&amp;T's methods for allocating revenue and expense, but the court struck the report “because it was not filed timely.” </w:t>
      </w:r>
      <w:hyperlink r:id="r49">
        <w:r>
          <w:rPr>
            <w:rFonts w:ascii="Times New Roman" w:hAnsi="Times New Roman"/>
            <w:i/>
            <w:color w:val="000000"/>
            <w:sz w:val="20"/>
          </w:rPr>
          <w:t>Id.</w:t>
        </w:r>
        <w:r>
          <w:rPr>
            <w:rFonts w:ascii="Times New Roman" w:hAnsi="Times New Roman"/>
            <w:color w:val="000000"/>
            <w:sz w:val="20"/>
          </w:rPr>
          <w:t xml:space="preserve"> at *14</w:t>
        </w:r>
      </w:hyperlink>
      <w:r>
        <w:rPr>
          <w:rFonts w:ascii="Times New Roman" w:hAnsi="Times New Roman"/>
          <w:color w:val="000000"/>
          <w:sz w:val="20"/>
        </w:rPr>
        <w:t>. The court also found that the plaintiffs had presented “no coherent opinion of what the fair value of the partnerships ... should have been” and “no coherent evidence that the values should have been materially different.”</w:t>
      </w:r>
      <w:r>
        <w:rPr>
          <w:rFonts w:ascii="Times New Roman" w:hAnsi="Times New Roman"/>
          <w:color w:val="000000"/>
          <w:sz w:val="20"/>
        </w:rPr>
        <w:t xml:space="preserve"> </w:t>
      </w:r>
      <w:r>
        <w:rPr>
          <w:rFonts w:ascii="Times New Roman" w:hAnsi="Times New Roman"/>
          <w:i/>
          <w:color w:val="000000"/>
          <w:sz w:val="20"/>
        </w:rPr>
        <w:t>Id.</w:t>
      </w:r>
      <w:r>
        <w:rPr>
          <w:rFonts w:ascii="Times New Roman" w:hAnsi="Times New Roman"/>
          <w:color w:val="000000"/>
          <w:sz w:val="20"/>
        </w:rPr>
        <w:t xml:space="preserve"> Given these serial failures, the court granted AT&amp;T's motion for summary judgment on the plaintiffs’ claim for breach of the duty of loyalty. In this case, the plaintiffs have successfully developed a deep record that reveals numerous ways in which AT&amp;T failed to deal fairly with the minority partners.</w:t>
      </w:r>
      <w:bookmarkStart w:id="106" w:name="co_fnRef_B00192055700832_ID0E4BDI_1"/>
      <w:hyperlink w:anchor="co_footnote_B00192055700832_1">
        <w:r>
          <w:rPr>
            <w:rFonts w:ascii="Times New Roman" w:hAnsi="Times New Roman"/>
            <w:color w:val="000000"/>
            <w:sz w:val="16"/>
            <w:vertAlign w:val="superscript"/>
          </w:rPr>
          <w:t>19</w:t>
        </w:r>
      </w:hyperlink>
      <w:bookmarkEnd w:id="106"/>
    </w:p>
    <w:p>
      <w:pPr>
        <w:spacing w:before="0" w:after="0" w:line="275" w:lineRule="atLeast"/>
        <w:jc w:val="both"/>
      </w:pPr>
      <w:r>
        <w:rPr>
          <w:rFonts w:ascii="Times New Roman" w:hAnsi="Times New Roman"/>
          <w:color w:val="000000"/>
          <w:sz w:val="20"/>
        </w:rPr>
        <w:t> </w:t>
      </w:r>
    </w:p>
    <w:bookmarkStart w:id="107" w:name="co_anchor_I8edb0ef1ace211ec8c80dd32e620"/>
    <w:bookmarkStart w:id="108" w:name="co_anchor_I8edb0ef1ace211ec8c80dd32e2"/>
    <w:p>
      <w:pPr>
        <w:pBdr>
          <w:left w:val="none" w:space="10"/>
        </w:pBdr>
        <w:spacing w:before="400" w:after="0" w:line="275" w:lineRule="atLeast"/>
        <w:ind w:left="200" w:right="0" w:firstLine="0"/>
      </w:pPr>
      <w:r>
        <w:rPr>
          <w:rFonts w:ascii="Times New Roman" w:hAnsi="Times New Roman"/>
          <w:b/>
          <w:color w:val="000000"/>
          <w:sz w:val="20"/>
        </w:rPr>
        <w:t>5. The Finding Regarding Fair Dealing</w:t>
      </w:r>
    </w:p>
    <w:bookmarkEnd w:id="108"/>
    <w:bookmarkEnd w:id="107"/>
    <w:p>
      <w:pPr>
        <w:spacing w:before="0" w:after="0" w:line="275" w:lineRule="atLeast"/>
        <w:jc w:val="both"/>
      </w:pPr>
      <w:bookmarkStart w:id="109" w:name="co_pp_sp_999_26_1"/>
      <w:r>
        <w:rPr>
          <w:rFonts w:ascii="Times New Roman" w:hAnsi="Times New Roman"/>
          <w:b/>
          <w:color w:val="000000"/>
          <w:sz w:val="20"/>
        </w:rPr>
        <w:t>*26</w:t>
      </w:r>
      <w:bookmarkEnd w:id="109"/>
      <w:r>
        <w:rPr>
          <w:rFonts w:ascii="Times New Roman" w:hAnsi="Times New Roman"/>
          <w:color w:val="000000"/>
          <w:sz w:val="20"/>
        </w:rPr>
        <w:t xml:space="preserve"> AT&amp;T failed to prove that the process that led to the Freeze-Out was fair. AT&amp;T timed the Freeze-Out to take advantage of the data revolution with the goal of eliminating its obligation to pay the minority partners their fair share of future distributions. AT&amp;T employed an outside valuation firm with prior connections to AT&amp;T and negatively influenced the valuation outcome. AT&amp;T then constructed a coercive offer and imposed the Freeze-Out unilaterally on the minority partners who did not accept it.</w:t>
      </w:r>
    </w:p>
    <w:p>
      <w:pPr>
        <w:spacing w:before="0" w:after="0" w:line="275" w:lineRule="atLeast"/>
        <w:jc w:val="both"/>
      </w:pPr>
      <w:r>
        <w:rPr>
          <w:rFonts w:ascii="Times New Roman" w:hAnsi="Times New Roman"/>
          <w:color w:val="000000"/>
          <w:sz w:val="20"/>
        </w:rPr>
        <w:t> </w:t>
      </w:r>
    </w:p>
    <w:bookmarkStart w:id="110" w:name="co_anchor_I8edbab31ace211ec8c80dd32e620"/>
    <w:bookmarkStart w:id="111" w:name="co_anchor_I8edbab31ace211ec8c80dd32e2"/>
    <w:p>
      <w:pPr>
        <w:spacing w:before="400" w:after="0" w:line="275" w:lineRule="atLeast"/>
      </w:pPr>
      <w:r>
        <w:rPr>
          <w:rFonts w:ascii="Times New Roman" w:hAnsi="Times New Roman"/>
          <w:b/>
          <w:color w:val="000000"/>
          <w:sz w:val="20"/>
        </w:rPr>
        <w:t>C. Fair Price</w:t>
      </w:r>
    </w:p>
    <w:bookmarkEnd w:id="111"/>
    <w:bookmarkEnd w:id="110"/>
    <w:p>
      <w:pPr>
        <w:spacing w:before="0" w:after="0" w:line="275" w:lineRule="atLeast"/>
        <w:jc w:val="both"/>
      </w:pPr>
      <w:r>
        <w:rPr>
          <w:rFonts w:ascii="Times New Roman" w:hAnsi="Times New Roman"/>
          <w:color w:val="000000"/>
          <w:sz w:val="20"/>
        </w:rPr>
        <w:t>The second dimension of the unitary entire fairness test involves the question of fair price. AT&amp;T set the Freeze-Out price at $219 million, equal to PwC's valuation. To derive that value, PwC prepared a DCF analysis and a comparable companies analysis and gave 50% weight to each approach. AT&amp;T failed to prove that the Freeze-Out price was fair.</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When assessing the aspect of fair price in a parent-subsidiary merger, the proper “test of fairness” is whether “the minority stockholder shall receive the substantial equivalent in value of what he had before.” </w:t>
      </w:r>
      <w:hyperlink r:id="r50">
        <w:r>
          <w:rPr>
            <w:rFonts w:ascii="Times New Roman" w:hAnsi="Times New Roman"/>
            <w:i/>
            <w:color w:val="000000"/>
            <w:sz w:val="20"/>
          </w:rPr>
          <w:t>Sterling v. Mayflower Hotel Corp.</w:t>
        </w:r>
        <w:r>
          <w:rPr>
            <w:rFonts w:ascii="Times New Roman" w:hAnsi="Times New Roman"/>
            <w:color w:val="000000"/>
            <w:sz w:val="20"/>
          </w:rPr>
          <w:t>, 93 A.2d 107, 114 (Del. 1952)</w:t>
        </w:r>
      </w:hyperlink>
      <w:r>
        <w:rPr>
          <w:rFonts w:ascii="Times New Roman" w:hAnsi="Times New Roman"/>
          <w:color w:val="000000"/>
          <w:sz w:val="20"/>
        </w:rPr>
        <w:t xml:space="preserve">; </w:t>
      </w:r>
      <w:r>
        <w:rPr>
          <w:rFonts w:ascii="Times New Roman" w:hAnsi="Times New Roman"/>
          <w:i/>
          <w:color w:val="000000"/>
          <w:sz w:val="20"/>
        </w:rPr>
        <w:t>accord</w:t>
      </w:r>
      <w:r>
        <w:rPr>
          <w:rFonts w:ascii="Times New Roman" w:hAnsi="Times New Roman"/>
          <w:color w:val="000000"/>
          <w:sz w:val="20"/>
        </w:rPr>
        <w:t xml:space="preserve"> </w:t>
      </w:r>
      <w:hyperlink r:id="r51">
        <w:r>
          <w:rPr>
            <w:rFonts w:ascii="Times New Roman" w:hAnsi="Times New Roman"/>
            <w:i/>
            <w:color w:val="000000"/>
            <w:sz w:val="20"/>
          </w:rPr>
          <w:t>Rosenblatt v. Getty Oil Co.</w:t>
        </w:r>
        <w:r>
          <w:rPr>
            <w:rFonts w:ascii="Times New Roman" w:hAnsi="Times New Roman"/>
            <w:color w:val="000000"/>
            <w:sz w:val="20"/>
          </w:rPr>
          <w:t>, 493 A.2d 929, 940 (Del. 1985)</w:t>
        </w:r>
      </w:hyperlink>
      <w:r>
        <w:rPr>
          <w:rFonts w:ascii="Times New Roman" w:hAnsi="Times New Roman"/>
          <w:color w:val="000000"/>
          <w:sz w:val="20"/>
        </w:rPr>
        <w:t xml:space="preserve">. When applying this standard in </w:t>
      </w:r>
      <w:r>
        <w:rPr>
          <w:rFonts w:ascii="Times New Roman" w:hAnsi="Times New Roman"/>
          <w:i/>
          <w:color w:val="000000"/>
          <w:sz w:val="20"/>
        </w:rPr>
        <w:t>Weinberger</w:t>
      </w:r>
      <w:r>
        <w:rPr>
          <w:rFonts w:ascii="Times New Roman" w:hAnsi="Times New Roman"/>
          <w:color w:val="000000"/>
          <w:sz w:val="20"/>
        </w:rPr>
        <w:t xml:space="preserve">, the Delaware Supreme Court distinguished between </w:t>
      </w:r>
      <w:r>
        <w:rPr>
          <w:rFonts w:ascii="Times New Roman" w:hAnsi="Times New Roman"/>
          <w:i/>
          <w:color w:val="000000"/>
          <w:sz w:val="20"/>
        </w:rPr>
        <w:t>the valuation standard</w:t>
      </w:r>
      <w:r>
        <w:rPr>
          <w:rFonts w:ascii="Times New Roman" w:hAnsi="Times New Roman"/>
          <w:color w:val="000000"/>
          <w:sz w:val="20"/>
        </w:rPr>
        <w:t xml:space="preserve"> to be applied in the fair price dimension of the entire fairness inquiry, which is part of the standard of review used to determine whether a fiduciary is liable for breach, and </w:t>
      </w:r>
      <w:r>
        <w:rPr>
          <w:rFonts w:ascii="Times New Roman" w:hAnsi="Times New Roman"/>
          <w:i/>
          <w:color w:val="000000"/>
          <w:sz w:val="20"/>
        </w:rPr>
        <w:t>the potential remedy</w:t>
      </w:r>
      <w:r>
        <w:rPr>
          <w:rFonts w:ascii="Times New Roman" w:hAnsi="Times New Roman"/>
          <w:color w:val="000000"/>
          <w:sz w:val="20"/>
        </w:rPr>
        <w:t xml:space="preserve"> available in the event of breach, where the </w:t>
      </w:r>
      <w:r>
        <w:rPr>
          <w:rFonts w:ascii="Times New Roman" w:hAnsi="Times New Roman"/>
          <w:i/>
          <w:color w:val="000000"/>
          <w:sz w:val="20"/>
        </w:rPr>
        <w:t>cestui que trust</w:t>
      </w:r>
      <w:r>
        <w:rPr>
          <w:rFonts w:ascii="Times New Roman" w:hAnsi="Times New Roman"/>
          <w:color w:val="000000"/>
          <w:sz w:val="20"/>
        </w:rPr>
        <w:t xml:space="preserve"> is not limited to an award of fair value. The Delaware Supreme Court made clear that if the transaction failed to pass muster under the entire fairness test, then the Court of Chancery would be able “to fashion any form of equitable and monetary relief as may be appropriate, including rescissory damages.” </w:t>
      </w:r>
      <w:hyperlink r:id="r52">
        <w:r>
          <w:rPr>
            <w:rFonts w:ascii="Times New Roman" w:hAnsi="Times New Roman"/>
            <w:i/>
            <w:color w:val="000000"/>
            <w:sz w:val="20"/>
          </w:rPr>
          <w:t>Weinberger</w:t>
        </w:r>
        <w:r>
          <w:rPr>
            <w:rFonts w:ascii="Times New Roman" w:hAnsi="Times New Roman"/>
            <w:color w:val="000000"/>
            <w:sz w:val="20"/>
          </w:rPr>
          <w:t>, 457 A.2d at 714</w:t>
        </w:r>
      </w:hyperlink>
      <w:r>
        <w:rPr>
          <w:rFonts w:ascii="Times New Roman" w:hAnsi="Times New Roman"/>
          <w:color w:val="000000"/>
          <w:sz w:val="20"/>
        </w:rPr>
        <w: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To prove the fairness of the Freeze-Out price, AT&amp;T did not rely directly on PwC's valuation. AT&amp;T did not even call Gilcreast at trial. Instead, AT&amp;T relied on expert testimony from Taylor, an expert that AT&amp;T has used repeatedly in cases involving freeze-outs.</w:t>
      </w:r>
      <w:bookmarkStart w:id="112" w:name="co_fnRef_B00202055700832_ID0ETJDI_1"/>
      <w:hyperlink w:anchor="co_footnote_B00202055700832_1">
        <w:r>
          <w:rPr>
            <w:rFonts w:ascii="Times New Roman" w:hAnsi="Times New Roman"/>
            <w:color w:val="000000"/>
            <w:sz w:val="16"/>
            <w:vertAlign w:val="superscript"/>
          </w:rPr>
          <w:t>20</w:t>
        </w:r>
      </w:hyperlink>
      <w:bookmarkEnd w:id="112"/>
      <w:r>
        <w:rPr>
          <w:rFonts w:ascii="Times New Roman" w:hAnsi="Times New Roman"/>
          <w:color w:val="000000"/>
          <w:sz w:val="20"/>
        </w:rPr>
        <w:t xml:space="preserve"> The plaintiffs successfully impeached the credibility of the valuation judgments Taylor made in this case. In addition to the specific issues discussed below, they showed that when presented with similar valuation issues in a prior case, she reached a different conclusion. </w:t>
      </w:r>
      <w:r>
        <w:rPr>
          <w:rFonts w:ascii="Times New Roman" w:hAnsi="Times New Roman"/>
          <w:i/>
          <w:color w:val="000000"/>
          <w:sz w:val="20"/>
        </w:rPr>
        <w:t>See</w:t>
      </w:r>
      <w:r>
        <w:rPr>
          <w:rFonts w:ascii="Times New Roman" w:hAnsi="Times New Roman"/>
          <w:color w:val="000000"/>
          <w:sz w:val="20"/>
        </w:rPr>
        <w:t xml:space="preserve"> JX 3552 at 54–55 (valuing step-up in basis in similar freeze-out; affording no value to step-up in basis in this case). They also showed that in three different cases involving similar wireless company freeze-outs, Taylor has used three different weighting schemes.</w:t>
      </w:r>
      <w:bookmarkStart w:id="113" w:name="co_fnRef_B00212055700832_ID0EHKDI_1"/>
      <w:hyperlink w:anchor="co_footnote_B00212055700832_1">
        <w:r>
          <w:rPr>
            <w:rFonts w:ascii="Times New Roman" w:hAnsi="Times New Roman"/>
            <w:color w:val="000000"/>
            <w:sz w:val="16"/>
            <w:vertAlign w:val="superscript"/>
          </w:rPr>
          <w:t>21</w:t>
        </w:r>
      </w:hyperlink>
      <w:bookmarkEnd w:id="113"/>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14" w:name="co_pp_sp_999_27_1"/>
      <w:r>
        <w:rPr>
          <w:rFonts w:ascii="Times New Roman" w:hAnsi="Times New Roman"/>
          <w:b/>
          <w:color w:val="000000"/>
          <w:sz w:val="20"/>
        </w:rPr>
        <w:t>*27</w:t>
      </w:r>
      <w:bookmarkEnd w:id="114"/>
      <w:r>
        <w:rPr>
          <w:rFonts w:ascii="Times New Roman" w:hAnsi="Times New Roman"/>
          <w:color w:val="000000"/>
          <w:sz w:val="20"/>
        </w:rPr>
        <w:t xml:space="preserve"> Taylor constructed a comparable companies analysis, a comparable transaction analysis, and a DCF analysis. From these analyses, she generated a valuation range for the Partnership of $171.34 million to $224.1 million. For purposes of this case, she gave 50% weight to the DCF analysis and 25% weight to each of the other models. Noting that the Freeze-Out price of $219 million fell towards the high end of her valuation range, Taylor opined that the price </w:t>
      </w:r>
      <w:r>
        <w:rPr>
          <w:rFonts w:ascii="Times New Roman" w:hAnsi="Times New Roman"/>
          <w:color w:val="000000"/>
          <w:sz w:val="20"/>
        </w:rPr>
        <w:t>“represent[ed] at least [the] Fair Value of the Partnership equity interests.” Taylor Report at 8–9.</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AT&amp;T's reliance on its litigation expert failed to overcome the evidence demonstrating that the Freeze-Out price was unfair. First, the price failed to account for the value to which the Partnership was contractually entitled under the Management Agreement, as well as the litigation asset based on AT&amp;T's past breaches of the Management Agreement. Second, contemporaneous documents generated by AT&amp;T indicate that the Partnership was worth considerably more than the Freeze-Out price. Third, AT&amp;T relied on unpersuasive valuation methodologies.</w:t>
      </w:r>
    </w:p>
    <w:p>
      <w:pPr>
        <w:spacing w:before="0" w:after="0" w:line="275" w:lineRule="atLeast"/>
        <w:jc w:val="both"/>
      </w:pPr>
      <w:r>
        <w:rPr>
          <w:rFonts w:ascii="Times New Roman" w:hAnsi="Times New Roman"/>
          <w:color w:val="000000"/>
          <w:sz w:val="20"/>
        </w:rPr>
        <w:t> </w:t>
      </w:r>
    </w:p>
    <w:bookmarkStart w:id="115" w:name="co_anchor_I8edfa2d1ace211ec8c80dd32e620"/>
    <w:bookmarkStart w:id="116" w:name="co_anchor_I8edfa2d1ace211ec8c80dd32e2"/>
    <w:p>
      <w:pPr>
        <w:pBdr>
          <w:left w:val="none" w:space="10"/>
        </w:pBdr>
        <w:spacing w:before="400" w:after="0" w:line="275" w:lineRule="atLeast"/>
        <w:ind w:left="200" w:right="0" w:firstLine="0"/>
      </w:pPr>
      <w:r>
        <w:rPr>
          <w:rFonts w:ascii="Times New Roman" w:hAnsi="Times New Roman"/>
          <w:b/>
          <w:color w:val="000000"/>
          <w:sz w:val="20"/>
        </w:rPr>
        <w:t>1. The Failure To Account For The Management Agreement</w:t>
      </w:r>
    </w:p>
    <w:bookmarkEnd w:id="116"/>
    <w:bookmarkEnd w:id="115"/>
    <w:p>
      <w:pPr>
        <w:spacing w:before="0" w:after="0" w:line="275" w:lineRule="atLeast"/>
        <w:jc w:val="both"/>
      </w:pPr>
      <w:r>
        <w:rPr>
          <w:rFonts w:ascii="Times New Roman" w:hAnsi="Times New Roman"/>
          <w:color w:val="000000"/>
          <w:sz w:val="20"/>
        </w:rPr>
        <w:t>The first reason why AT&amp;T did not prove that the Freeze-Out price was fair is its failure to account for the Management Agreement. That agreement contained the Premium Provision, which obligated AT&amp;T to add a premium of at least 25% when allocating Shared Revenues to the Partnership. The Premium Provision also obligated AT&amp;T to subtract a discount of at least 10% when allocating Sales and Marketing Expenses to the Partnership. AT&amp;T never complied with the Premium Provision.</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AT&amp;T's pervasive breach of the Management Agreement had two consequences for the fairness of the Freeze-Out. First, the financial information PwC used did not incorporate either the 25% premium for Shared Revenues or the 10% discount for Sales and Marketing Expenses. PwC's analyses comported with AT&amp;T's historical practice of ignoring the Management Agreement, including the Premium Provision, but that does not mean it was accurate. The Partnership's operative reality included the right to receive the benefit of the Premium Provision. By failing to account for these contractual rights, PwC's analyses undervalued the Partnership.</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Second, PwC's analyses did not afford any value to the Partnership's claim against AT&amp;T for breach of the Management Agreement. As Chancellor Allen explained, “If the company has substantial and valuable derivative claims, they, like any asset of the company, may be valued in an appraisal.”</w:t>
      </w:r>
      <w:bookmarkStart w:id="117" w:name="co_fnRef_B00222055700832_ID0ERQDI_1"/>
      <w:hyperlink w:anchor="co_footnote_B00222055700832_1">
        <w:r>
          <w:rPr>
            <w:rFonts w:ascii="Times New Roman" w:hAnsi="Times New Roman"/>
            <w:color w:val="000000"/>
            <w:sz w:val="16"/>
            <w:vertAlign w:val="superscript"/>
          </w:rPr>
          <w:t>22</w:t>
        </w:r>
      </w:hyperlink>
      <w:bookmarkEnd w:id="117"/>
      <w:r>
        <w:rPr>
          <w:rFonts w:ascii="Times New Roman" w:hAnsi="Times New Roman"/>
          <w:color w:val="000000"/>
          <w:sz w:val="20"/>
        </w:rPr>
        <w:t xml:space="preserve"> The same is true for purposes of the fair price dimension of the entire fairness test.</w:t>
      </w:r>
      <w:bookmarkStart w:id="118" w:name="co_fnRef_B00232055700832_ID0E2QDI_1"/>
      <w:hyperlink w:anchor="co_footnote_B00232055700832_1">
        <w:r>
          <w:rPr>
            <w:rFonts w:ascii="Times New Roman" w:hAnsi="Times New Roman"/>
            <w:color w:val="000000"/>
            <w:sz w:val="16"/>
            <w:vertAlign w:val="superscript"/>
          </w:rPr>
          <w:t>23</w:t>
        </w:r>
      </w:hyperlink>
      <w:bookmarkEnd w:id="118"/>
      <w:r>
        <w:rPr>
          <w:rFonts w:ascii="Times New Roman" w:hAnsi="Times New Roman"/>
          <w:color w:val="000000"/>
          <w:sz w:val="20"/>
        </w:rPr>
        <w:t xml:space="preserve"> This court has held that AT&amp;T breached the Premium Provision, giving rise to a derivative claim that belonged to the Partnership. </w:t>
      </w:r>
      <w:r>
        <w:rPr>
          <w:rFonts w:ascii="Times New Roman" w:hAnsi="Times New Roman"/>
          <w:i/>
          <w:color w:val="000000"/>
          <w:sz w:val="20"/>
        </w:rPr>
        <w:t>Salem Contract Decision</w:t>
      </w:r>
      <w:r>
        <w:rPr>
          <w:rFonts w:ascii="Times New Roman" w:hAnsi="Times New Roman"/>
          <w:color w:val="000000"/>
          <w:sz w:val="20"/>
        </w:rPr>
        <w:t xml:space="preserve">, </w:t>
      </w:r>
      <w:hyperlink r:id="r53">
        <w:r>
          <w:rPr>
            <w:rFonts w:ascii="Times New Roman" w:hAnsi="Times New Roman"/>
            <w:color w:val="000000"/>
            <w:sz w:val="20"/>
          </w:rPr>
          <w:t>2021 WL 4438046, at *77–80 &amp; n.61</w:t>
        </w:r>
      </w:hyperlink>
      <w:r>
        <w:rPr>
          <w:rFonts w:ascii="Times New Roman" w:hAnsi="Times New Roman"/>
          <w:color w:val="000000"/>
          <w:sz w:val="20"/>
        </w:rPr>
        <w:t>. The Freeze-Out price did not afford any value to that litigation asset.</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19" w:name="co_pp_sp_999_28_1"/>
      <w:r>
        <w:rPr>
          <w:rFonts w:ascii="Times New Roman" w:hAnsi="Times New Roman"/>
          <w:b/>
          <w:color w:val="000000"/>
          <w:sz w:val="20"/>
        </w:rPr>
        <w:t>*28</w:t>
      </w:r>
      <w:bookmarkEnd w:id="119"/>
      <w:r>
        <w:rPr>
          <w:rFonts w:ascii="Times New Roman" w:hAnsi="Times New Roman"/>
          <w:color w:val="000000"/>
          <w:sz w:val="20"/>
        </w:rPr>
        <w:t xml:space="preserve"> Taylor's analyses did not fix these problems. At trial, Taylor gave not-credible testimony to the effect that she believed that AT&amp;T's financial and accounting procedures complied with the Management Agreement. Taylor Tr. 707. That was an improper legal conclusion, and she lacked any foundation for her opinion.</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In post-trial briefing, AT&amp;T cited testimony from Taylor, Barrick, and Musey in which each stated that they had sufficient information to reach their valuation opinions. </w:t>
      </w:r>
      <w:r>
        <w:rPr>
          <w:rFonts w:ascii="Times New Roman" w:hAnsi="Times New Roman"/>
          <w:i/>
          <w:color w:val="000000"/>
          <w:sz w:val="20"/>
        </w:rPr>
        <w:t>See</w:t>
      </w:r>
      <w:r>
        <w:rPr>
          <w:rFonts w:ascii="Times New Roman" w:hAnsi="Times New Roman"/>
          <w:color w:val="000000"/>
          <w:sz w:val="20"/>
        </w:rPr>
        <w:t xml:space="preserve"> Musey Dep. 24–25; Barrick Dep. 51–52. AT&amp;T seems to think that this testimony addressed its failure to comply with the Management Agreement, but that testimony addressed a different issue. The experts were speaking to whether they had sufficient information to prepare valuations, </w:t>
      </w:r>
      <w:r>
        <w:rPr>
          <w:rFonts w:ascii="Times New Roman" w:hAnsi="Times New Roman"/>
          <w:i/>
          <w:color w:val="000000"/>
          <w:sz w:val="20"/>
        </w:rPr>
        <w:t>assuming the numbers were accurate.</w:t>
      </w:r>
      <w:r>
        <w:rPr>
          <w:rFonts w:ascii="Times New Roman" w:hAnsi="Times New Roman"/>
          <w:color w:val="000000"/>
          <w:sz w:val="20"/>
        </w:rPr>
        <w:t xml:space="preserve"> The fact that the parties’ experts performed their roles and valued the entities based on the information they had does not excuse AT&amp;T's pervasive breaches of the Management Agreement.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Premium Provision implies that the value of the Partnership would be at least 25% higher than AT&amp;T's valuation. </w:t>
      </w:r>
      <w:r>
        <w:rPr>
          <w:rFonts w:ascii="Times New Roman" w:hAnsi="Times New Roman"/>
          <w:color w:val="000000"/>
          <w:sz w:val="20"/>
        </w:rPr>
        <w:t>In addition, the Partnership would have a claim for revenue to which it was entitled and expenses for which it was overcharged during prior years. The Freeze-Out price did not account for these sources of value.</w:t>
      </w:r>
    </w:p>
    <w:p>
      <w:pPr>
        <w:spacing w:before="0" w:after="0" w:line="275" w:lineRule="atLeast"/>
        <w:jc w:val="both"/>
      </w:pPr>
      <w:r>
        <w:rPr>
          <w:rFonts w:ascii="Times New Roman" w:hAnsi="Times New Roman"/>
          <w:color w:val="000000"/>
          <w:sz w:val="20"/>
        </w:rPr>
        <w:t> </w:t>
      </w:r>
    </w:p>
    <w:bookmarkStart w:id="120" w:name="co_anchor_I8ee60b71ace211ec8c80dd32e620"/>
    <w:bookmarkStart w:id="121" w:name="co_anchor_I8ee60b71ace211ec8c80dd32e2"/>
    <w:p>
      <w:pPr>
        <w:pBdr>
          <w:left w:val="none" w:space="10"/>
        </w:pBdr>
        <w:spacing w:before="400" w:after="0" w:line="275" w:lineRule="atLeast"/>
        <w:ind w:left="200" w:right="0" w:firstLine="0"/>
      </w:pPr>
      <w:r>
        <w:rPr>
          <w:rFonts w:ascii="Times New Roman" w:hAnsi="Times New Roman"/>
          <w:b/>
          <w:color w:val="000000"/>
          <w:sz w:val="20"/>
        </w:rPr>
        <w:t>2. AT&amp;T's Contemporaneous Beliefs About Value</w:t>
      </w:r>
    </w:p>
    <w:bookmarkEnd w:id="121"/>
    <w:bookmarkEnd w:id="120"/>
    <w:p>
      <w:pPr>
        <w:spacing w:before="0" w:after="0" w:line="275" w:lineRule="atLeast"/>
        <w:jc w:val="both"/>
      </w:pPr>
      <w:r>
        <w:rPr>
          <w:rFonts w:ascii="Times New Roman" w:hAnsi="Times New Roman"/>
          <w:color w:val="000000"/>
          <w:sz w:val="20"/>
        </w:rPr>
        <w:t xml:space="preserve">AT&amp;T's attempts to establish the fairness of the Freeze-Out price likewise founder because contemporaneous documents show that AT&amp;T placed a significantly higher value on the Partnership and its sister entities than it paid. Those internal analyses provide persuasive valuation evidence. </w:t>
      </w:r>
      <w:r>
        <w:rPr>
          <w:rFonts w:ascii="Times New Roman" w:hAnsi="Times New Roman"/>
          <w:i/>
          <w:color w:val="000000"/>
          <w:sz w:val="20"/>
        </w:rPr>
        <w:t>Cf.</w:t>
      </w:r>
      <w:r>
        <w:rPr>
          <w:rFonts w:ascii="Times New Roman" w:hAnsi="Times New Roman"/>
          <w:color w:val="000000"/>
          <w:sz w:val="20"/>
        </w:rPr>
        <w:t xml:space="preserve"> </w:t>
      </w:r>
      <w:hyperlink r:id="r54">
        <w:r>
          <w:rPr>
            <w:rFonts w:ascii="Times New Roman" w:hAnsi="Times New Roman"/>
            <w:i/>
            <w:color w:val="000000"/>
            <w:sz w:val="20"/>
          </w:rPr>
          <w:t>Verition P'rs Master Fund Ltd. v. Aruba Networks, Inc.</w:t>
        </w:r>
        <w:r>
          <w:rPr>
            <w:rFonts w:ascii="Times New Roman" w:hAnsi="Times New Roman"/>
            <w:color w:val="000000"/>
            <w:sz w:val="20"/>
          </w:rPr>
          <w:t>, 210 A.3d 128, 137 (Del. 2019)</w:t>
        </w:r>
      </w:hyperlink>
      <w:r>
        <w:rPr>
          <w:rFonts w:ascii="Times New Roman" w:hAnsi="Times New Roman"/>
          <w:color w:val="000000"/>
          <w:sz w:val="20"/>
        </w:rPr>
        <w:t xml:space="preserve"> (explaining that a buyer who possesses “material nonpublic information about the seller is in a strong position (and is uniquely incentivized) to properly value the seller”).</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In January 2008, AT&amp;T's Corporate Development Team prepared a “Minority Partnership Acquisition Summary” which projected that a “buyout of the 18 non-wireline partnerships ... at $100M” would create “[t]otal savings of $243M in perpetuity.” JX 344 at 7. In other words, AT&amp;T believed that the value of the avoided distributions would be more than double the transaction price. AT&amp;T ultimately paid a higher price of $130 million. </w:t>
      </w:r>
      <w:r>
        <w:rPr>
          <w:rFonts w:ascii="Times New Roman" w:hAnsi="Times New Roman"/>
          <w:i/>
          <w:color w:val="000000"/>
          <w:sz w:val="20"/>
        </w:rPr>
        <w:t>See</w:t>
      </w:r>
      <w:r>
        <w:rPr>
          <w:rFonts w:ascii="Times New Roman" w:hAnsi="Times New Roman"/>
          <w:color w:val="000000"/>
          <w:sz w:val="20"/>
        </w:rPr>
        <w:t xml:space="preserve"> JX 1123 at ’236. Even at that price, AT&amp;T's January 2008 analysis indicated that the partnerships were worth 87% more.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After initially prioritizing other opportunities, such as outright purchases of spectrum, AT&amp;T returned to the buyouts. This time, AT&amp;T brought in outside counsel to shape the record for litigation. With outside counsel involved, AT&amp;T's internal documents did not openly reveal AT&amp;T's valuations. </w:t>
      </w:r>
      <w:r>
        <w:rPr>
          <w:rFonts w:ascii="Times New Roman" w:hAnsi="Times New Roman"/>
          <w:i/>
          <w:color w:val="000000"/>
          <w:sz w:val="20"/>
        </w:rPr>
        <w:t>See, e.g.</w:t>
      </w:r>
      <w:r>
        <w:rPr>
          <w:rFonts w:ascii="Times New Roman" w:hAnsi="Times New Roman"/>
          <w:color w:val="000000"/>
          <w:sz w:val="20"/>
        </w:rPr>
        <w:t xml:space="preserve">, JX 3514 at ’578. But in a supporting spreadsheet for a presentation used to obtain CEO approval for the buyouts, AT&amp;T's Corporate Development team calculated a sanitized valuation of the avoided distributions by capitalizing the distributions it paid minority partners in 2009. The calculation used an annual growth rate of 3%, which was strikingly pessimistic relative to the growth rates in the Corporate Development team's original model. JX 3516, “actualDist” tab; </w:t>
      </w:r>
      <w:r>
        <w:rPr>
          <w:rFonts w:ascii="Times New Roman" w:hAnsi="Times New Roman"/>
          <w:i/>
          <w:color w:val="000000"/>
          <w:sz w:val="20"/>
        </w:rPr>
        <w:t>see</w:t>
      </w:r>
      <w:r>
        <w:rPr>
          <w:rFonts w:ascii="Times New Roman" w:hAnsi="Times New Roman"/>
          <w:color w:val="000000"/>
          <w:sz w:val="20"/>
        </w:rPr>
        <w:t xml:space="preserve"> JX 347 App'x (projecting growth of 8% in 2010, 6.5% in 2011, and 3.5% thereafter). Teske had questioned why that earlier analysis included “a quick decline to 3.5%,” implying that even that growth rate was unreasonably low. JX 345 at ’254.</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22" w:name="co_pp_sp_999_29_1"/>
      <w:r>
        <w:rPr>
          <w:rFonts w:ascii="Times New Roman" w:hAnsi="Times New Roman"/>
          <w:b/>
          <w:color w:val="000000"/>
          <w:sz w:val="20"/>
        </w:rPr>
        <w:t>*29</w:t>
      </w:r>
      <w:bookmarkEnd w:id="122"/>
      <w:r>
        <w:rPr>
          <w:rFonts w:ascii="Times New Roman" w:hAnsi="Times New Roman"/>
          <w:color w:val="000000"/>
          <w:sz w:val="20"/>
        </w:rPr>
        <w:t xml:space="preserve"> Digging into the spreadsheet reveals that AT&amp;T had much higher valuation expectations. In a separate worksheet, the spreadsheet estimated the “cash flow per share impact” of the Freeze-Out by projecting the Partnership's free cash flow from 2010 through 2014. JX 3516, “CFPS” tab. Constructing a simple DCF analysis based on those projections and using the Corporate Development team's discount rate and long-term growth rate supports a value for the Partnership of $334.8 million, 53% more than the Freeze-Out price:</w:t>
      </w:r>
    </w:p>
    <w:p>
      <w:pPr>
        <w:spacing w:before="0" w:after="0" w:line="275" w:lineRule="atLeast"/>
        <w:jc w:val="both"/>
      </w:pPr>
      <w:r>
        <w:rPr>
          <w:rFonts w:ascii="Times New Roman" w:hAnsi="Times New Roman"/>
          <w:color w:val="000000"/>
          <w:sz w:val="20"/>
        </w:rPr>
        <w:t> </w:t>
      </w:r>
    </w:p>
    <w:p>
      <w:pPr>
        <w:sectPr>
          <w:pgSz w:w="12240" w:h="15840"/>
          <w:pgMar w:top="1800" w:bottom="1080" w:left="1080" w:right="1080" w:header="720" w:footer="720" w:gutter="0"/>
          <w:pgNumType w:fmt="decimal"/>
          <w:cols w:num="2" w:space="240"/>
        </w:sectPr>
      </w:pPr>
    </w:p>
    <w:tbl>
      <w:tblPr>
        <w:tblInd w:w="27" w:type="dxa"/>
        <w:tblLayout w:type="fixed"/>
      </w:tblPr>
      <w:tblGrid>
        <w:gridCol w:w="3075"/>
        <w:gridCol w:w="1530"/>
        <w:gridCol w:w="1350"/>
        <w:gridCol w:w="1350"/>
        <w:gridCol w:w="1350"/>
        <w:gridCol w:w="1350"/>
      </w:tblGrid>
      <w:tr>
        <w:tblPrEx/>
        <w:trPr/>
        <w:tc>
          <w:tcPr>
            <w:tcMar>
              <w:left w:w="27" w:type="dxa"/>
              <w:right w:w="27" w:type="dxa"/>
            </w:tcMar>
            <w:vAlign w:val="top"/>
          </w:tcPr>
          <w:p>
            <w:pPr>
              <w:spacing w:before="0" w:after="0" w:line="240" w:lineRule="auto"/>
              <w:rPr>
                <w:rFonts w:ascii="Times New Roman" w:hAnsi="Times New Roman"/>
                <w:color w:val="000000"/>
                <w:sz w:val="18"/>
              </w:rPr>
            </w:pPr>
          </w:p>
        </w:tc>
        <w:tc>
          <w:tcPr>
            <w:tcMar>
              <w:left w:w="27" w:type="dxa"/>
              <w:right w:w="27" w:type="dxa"/>
            </w:tcMar>
            <w:vAlign w:val="top"/>
          </w:tcPr>
          <w:p>
            <w:pPr>
              <w:spacing w:before="0" w:after="0" w:line="235" w:lineRule="atLeast"/>
              <w:jc w:val="center"/>
            </w:pPr>
            <w:r>
              <w:rPr>
                <w:rFonts w:ascii="Times New Roman" w:hAnsi="Times New Roman"/>
                <w:b/>
                <w:color w:val="000000"/>
                <w:sz w:val="18"/>
              </w:rPr>
              <w:t>2011</w:t>
            </w:r>
          </w:p>
          <w:p>
            <w:pPr>
              <w:spacing w:before="0" w:after="0" w:line="235" w:lineRule="atLeast"/>
              <w:jc w:val="center"/>
            </w:pPr>
            <w:r>
              <w:rPr>
                <w:rFonts w:ascii="Times New Roman" w:hAnsi="Times New Roman"/>
                <w:color w:val="000000"/>
                <w:sz w:val="18"/>
              </w:rPr>
              <w:t> </w:t>
            </w:r>
          </w:p>
        </w:tc>
        <w:tc>
          <w:tcPr>
            <w:tcMar>
              <w:left w:w="27" w:type="dxa"/>
              <w:right w:w="27" w:type="dxa"/>
            </w:tcMar>
            <w:vAlign w:val="top"/>
          </w:tcPr>
          <w:p>
            <w:pPr>
              <w:spacing w:before="0" w:after="0" w:line="235" w:lineRule="atLeast"/>
              <w:jc w:val="center"/>
            </w:pPr>
            <w:r>
              <w:rPr>
                <w:rFonts w:ascii="Times New Roman" w:hAnsi="Times New Roman"/>
                <w:b/>
                <w:color w:val="000000"/>
                <w:sz w:val="18"/>
              </w:rPr>
              <w:t>2012</w:t>
            </w:r>
          </w:p>
          <w:p>
            <w:pPr>
              <w:spacing w:before="0" w:after="0" w:line="235" w:lineRule="atLeast"/>
              <w:jc w:val="center"/>
            </w:pPr>
            <w:r>
              <w:rPr>
                <w:rFonts w:ascii="Times New Roman" w:hAnsi="Times New Roman"/>
                <w:color w:val="000000"/>
                <w:sz w:val="18"/>
              </w:rPr>
              <w:t> </w:t>
            </w:r>
          </w:p>
        </w:tc>
        <w:tc>
          <w:tcPr>
            <w:tcMar>
              <w:left w:w="27" w:type="dxa"/>
              <w:right w:w="27" w:type="dxa"/>
            </w:tcMar>
            <w:vAlign w:val="top"/>
          </w:tcPr>
          <w:p>
            <w:pPr>
              <w:spacing w:before="0" w:after="0" w:line="235" w:lineRule="atLeast"/>
              <w:jc w:val="center"/>
            </w:pPr>
            <w:r>
              <w:rPr>
                <w:rFonts w:ascii="Times New Roman" w:hAnsi="Times New Roman"/>
                <w:b/>
                <w:color w:val="000000"/>
                <w:sz w:val="18"/>
              </w:rPr>
              <w:t>2013</w:t>
            </w:r>
          </w:p>
          <w:p>
            <w:pPr>
              <w:spacing w:before="0" w:after="0" w:line="235" w:lineRule="atLeast"/>
              <w:jc w:val="center"/>
            </w:pPr>
            <w:r>
              <w:rPr>
                <w:rFonts w:ascii="Times New Roman" w:hAnsi="Times New Roman"/>
                <w:color w:val="000000"/>
                <w:sz w:val="18"/>
              </w:rPr>
              <w:t> </w:t>
            </w:r>
          </w:p>
        </w:tc>
        <w:tc>
          <w:tcPr>
            <w:tcMar>
              <w:left w:w="27" w:type="dxa"/>
              <w:right w:w="27" w:type="dxa"/>
            </w:tcMar>
            <w:vAlign w:val="top"/>
          </w:tcPr>
          <w:p>
            <w:pPr>
              <w:spacing w:before="0" w:after="0" w:line="235" w:lineRule="atLeast"/>
              <w:jc w:val="center"/>
            </w:pPr>
            <w:r>
              <w:rPr>
                <w:rFonts w:ascii="Times New Roman" w:hAnsi="Times New Roman"/>
                <w:b/>
                <w:color w:val="000000"/>
                <w:sz w:val="18"/>
              </w:rPr>
              <w:t>2014</w:t>
            </w:r>
          </w:p>
          <w:p>
            <w:pPr>
              <w:spacing w:before="0" w:after="0" w:line="235" w:lineRule="atLeast"/>
              <w:jc w:val="center"/>
            </w:pPr>
            <w:r>
              <w:rPr>
                <w:rFonts w:ascii="Times New Roman" w:hAnsi="Times New Roman"/>
                <w:color w:val="000000"/>
                <w:sz w:val="18"/>
              </w:rPr>
              <w:t> </w:t>
            </w:r>
          </w:p>
        </w:tc>
        <w:tc>
          <w:tcPr>
            <w:tcMar>
              <w:left w:w="27" w:type="dxa"/>
              <w:right w:w="27" w:type="dxa"/>
            </w:tcMar>
            <w:vAlign w:val="top"/>
          </w:tcPr>
          <w:p>
            <w:pPr>
              <w:spacing w:before="0" w:after="0" w:line="235" w:lineRule="atLeast"/>
              <w:jc w:val="center"/>
            </w:pPr>
            <w:r>
              <w:rPr>
                <w:rFonts w:ascii="Times New Roman" w:hAnsi="Times New Roman"/>
                <w:b/>
                <w:color w:val="000000"/>
                <w:sz w:val="18"/>
              </w:rPr>
              <w:t>Terminal</w:t>
            </w:r>
          </w:p>
          <w:p>
            <w:pPr>
              <w:spacing w:before="0" w:after="0" w:line="235" w:lineRule="atLeast"/>
              <w:jc w:val="center"/>
            </w:pPr>
            <w:r>
              <w:rPr>
                <w:rFonts w:ascii="Times New Roman" w:hAnsi="Times New Roman"/>
                <w:color w:val="000000"/>
                <w:sz w:val="18"/>
              </w:rPr>
              <w:t> </w:t>
            </w:r>
          </w:p>
        </w:tc>
      </w:tr>
      <w:tr>
        <w:tblPrEx/>
        <w:trPr/>
        <w:tc>
          <w:tcPr>
            <w:tcMar>
              <w:left w:w="27" w:type="dxa"/>
              <w:right w:w="27" w:type="dxa"/>
            </w:tcMar>
            <w:vAlign w:val="top"/>
          </w:tcPr>
          <w:p>
            <w:pPr>
              <w:spacing w:before="0" w:after="0" w:line="235" w:lineRule="atLeast"/>
            </w:pPr>
            <w:r>
              <w:rPr>
                <w:rFonts w:ascii="Times New Roman" w:hAnsi="Times New Roman"/>
                <w:color w:val="000000"/>
                <w:sz w:val="18"/>
              </w:rPr>
              <w:t>CF</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35" w:lineRule="atLeast"/>
            </w:pPr>
            <w:r>
              <w:rPr>
                <w:rFonts w:ascii="Times New Roman" w:hAnsi="Times New Roman"/>
                <w:color w:val="000000"/>
                <w:sz w:val="18"/>
              </w:rPr>
              <w:t>$ 23,742</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35" w:lineRule="atLeast"/>
            </w:pPr>
            <w:r>
              <w:rPr>
                <w:rFonts w:ascii="Times New Roman" w:hAnsi="Times New Roman"/>
                <w:color w:val="000000"/>
                <w:sz w:val="18"/>
              </w:rPr>
              <w:t>$ 23,688</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35" w:lineRule="atLeast"/>
            </w:pPr>
            <w:r>
              <w:rPr>
                <w:rFonts w:ascii="Times New Roman" w:hAnsi="Times New Roman"/>
                <w:color w:val="000000"/>
                <w:sz w:val="18"/>
              </w:rPr>
              <w:t>$ 23,817</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35" w:lineRule="atLeast"/>
            </w:pPr>
            <w:r>
              <w:rPr>
                <w:rFonts w:ascii="Times New Roman" w:hAnsi="Times New Roman"/>
                <w:color w:val="000000"/>
                <w:sz w:val="18"/>
              </w:rPr>
              <w:t>$ 28,080</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35" w:lineRule="atLeast"/>
            </w:pPr>
            <w:r>
              <w:rPr>
                <w:rFonts w:ascii="Times New Roman" w:hAnsi="Times New Roman"/>
                <w:color w:val="000000"/>
                <w:sz w:val="18"/>
              </w:rPr>
              <w:t>$ 28,923</w:t>
            </w:r>
          </w:p>
          <w:p>
            <w:pPr>
              <w:spacing w:before="0" w:after="0" w:line="235" w:lineRule="atLeast"/>
            </w:pPr>
            <w:r>
              <w:rPr>
                <w:rFonts w:ascii="Times New Roman" w:hAnsi="Times New Roman"/>
                <w:color w:val="000000"/>
                <w:sz w:val="18"/>
              </w:rPr>
              <w:t> </w:t>
            </w:r>
          </w:p>
        </w:tc>
      </w:tr>
      <w:tr>
        <w:tblPrEx/>
        <w:trPr/>
        <w:tc>
          <w:tcPr>
            <w:tcMar>
              <w:left w:w="27" w:type="dxa"/>
              <w:right w:w="27" w:type="dxa"/>
            </w:tcMar>
            <w:vAlign w:val="top"/>
          </w:tcPr>
          <w:p>
            <w:pPr>
              <w:spacing w:before="0" w:after="0" w:line="235" w:lineRule="atLeast"/>
            </w:pPr>
            <w:r>
              <w:rPr>
                <w:rFonts w:ascii="Times New Roman" w:hAnsi="Times New Roman"/>
                <w:color w:val="000000"/>
                <w:sz w:val="18"/>
              </w:rPr>
              <w:t>PV</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35" w:lineRule="atLeast"/>
            </w:pPr>
            <w:r>
              <w:rPr>
                <w:rFonts w:ascii="Times New Roman" w:hAnsi="Times New Roman"/>
                <w:color w:val="000000"/>
                <w:sz w:val="18"/>
              </w:rPr>
              <w:t>$ 21,584</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35" w:lineRule="atLeast"/>
            </w:pPr>
            <w:r>
              <w:rPr>
                <w:rFonts w:ascii="Times New Roman" w:hAnsi="Times New Roman"/>
                <w:color w:val="000000"/>
                <w:sz w:val="18"/>
              </w:rPr>
              <w:t>$ 19,577</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35" w:lineRule="atLeast"/>
            </w:pPr>
            <w:r>
              <w:rPr>
                <w:rFonts w:ascii="Times New Roman" w:hAnsi="Times New Roman"/>
                <w:color w:val="000000"/>
                <w:sz w:val="18"/>
              </w:rPr>
              <w:t>$ 17,894</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35" w:lineRule="atLeast"/>
            </w:pPr>
            <w:r>
              <w:rPr>
                <w:rFonts w:ascii="Times New Roman" w:hAnsi="Times New Roman"/>
                <w:color w:val="000000"/>
                <w:sz w:val="18"/>
              </w:rPr>
              <w:t>$ 19,179</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40" w:lineRule="auto"/>
              <w:rPr>
                <w:rFonts w:ascii="Times New Roman" w:hAnsi="Times New Roman"/>
                <w:color w:val="000000"/>
                <w:sz w:val="18"/>
              </w:rPr>
            </w:pPr>
          </w:p>
        </w:tc>
      </w:tr>
      <w:tr>
        <w:tblPrEx/>
        <w:trPr/>
        <w:tc>
          <w:tcPr>
            <w:tcMar>
              <w:left w:w="27" w:type="dxa"/>
              <w:right w:w="27" w:type="dxa"/>
            </w:tcMar>
            <w:vAlign w:val="top"/>
          </w:tcPr>
          <w:p>
            <w:pPr>
              <w:spacing w:before="0" w:after="0" w:line="235" w:lineRule="atLeast"/>
            </w:pPr>
            <w:r>
              <w:rPr>
                <w:rFonts w:ascii="Times New Roman" w:hAnsi="Times New Roman"/>
                <w:color w:val="000000"/>
                <w:sz w:val="18"/>
              </w:rPr>
              <w:t>WACC</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35" w:lineRule="atLeast"/>
            </w:pPr>
            <w:r>
              <w:rPr>
                <w:rFonts w:ascii="Times New Roman" w:hAnsi="Times New Roman"/>
                <w:color w:val="000000"/>
                <w:sz w:val="18"/>
              </w:rPr>
              <w:t>10%</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40" w:lineRule="auto"/>
              <w:rPr>
                <w:rFonts w:ascii="Times New Roman" w:hAnsi="Times New Roman"/>
                <w:color w:val="000000"/>
                <w:sz w:val="18"/>
              </w:rPr>
            </w:pPr>
          </w:p>
        </w:tc>
        <w:tc>
          <w:tcPr>
            <w:tcMar>
              <w:left w:w="27" w:type="dxa"/>
              <w:right w:w="27" w:type="dxa"/>
            </w:tcMar>
            <w:vAlign w:val="top"/>
          </w:tcPr>
          <w:p>
            <w:pPr>
              <w:spacing w:before="0" w:after="0" w:line="240" w:lineRule="auto"/>
              <w:rPr>
                <w:rFonts w:ascii="Times New Roman" w:hAnsi="Times New Roman"/>
                <w:color w:val="000000"/>
                <w:sz w:val="18"/>
              </w:rPr>
            </w:pPr>
          </w:p>
        </w:tc>
        <w:tc>
          <w:tcPr>
            <w:tcMar>
              <w:left w:w="27" w:type="dxa"/>
              <w:right w:w="27" w:type="dxa"/>
            </w:tcMar>
            <w:vAlign w:val="top"/>
          </w:tcPr>
          <w:p>
            <w:pPr>
              <w:spacing w:before="0" w:after="0" w:line="240" w:lineRule="auto"/>
              <w:rPr>
                <w:rFonts w:ascii="Times New Roman" w:hAnsi="Times New Roman"/>
                <w:color w:val="000000"/>
                <w:sz w:val="18"/>
              </w:rPr>
            </w:pPr>
          </w:p>
        </w:tc>
        <w:tc>
          <w:tcPr>
            <w:tcMar>
              <w:left w:w="27" w:type="dxa"/>
              <w:right w:w="27" w:type="dxa"/>
            </w:tcMar>
            <w:vAlign w:val="top"/>
          </w:tcPr>
          <w:p>
            <w:pPr>
              <w:spacing w:before="0" w:after="0" w:line="240" w:lineRule="auto"/>
              <w:rPr>
                <w:rFonts w:ascii="Times New Roman" w:hAnsi="Times New Roman"/>
                <w:color w:val="000000"/>
                <w:sz w:val="18"/>
              </w:rPr>
            </w:pPr>
          </w:p>
        </w:tc>
      </w:tr>
      <w:tr>
        <w:tblPrEx/>
        <w:trPr/>
        <w:tc>
          <w:tcPr>
            <w:tcMar>
              <w:left w:w="27" w:type="dxa"/>
              <w:right w:w="27" w:type="dxa"/>
            </w:tcMar>
            <w:vAlign w:val="top"/>
          </w:tcPr>
          <w:p>
            <w:pPr>
              <w:spacing w:before="0" w:after="0" w:line="235" w:lineRule="atLeast"/>
            </w:pPr>
            <w:r>
              <w:rPr>
                <w:rFonts w:ascii="Times New Roman" w:hAnsi="Times New Roman"/>
                <w:color w:val="000000"/>
                <w:sz w:val="18"/>
              </w:rPr>
              <w:t>G</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35" w:lineRule="atLeast"/>
            </w:pPr>
            <w:r>
              <w:rPr>
                <w:rFonts w:ascii="Times New Roman" w:hAnsi="Times New Roman"/>
                <w:color w:val="000000"/>
                <w:sz w:val="18"/>
              </w:rPr>
              <w:t>3%</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40" w:lineRule="auto"/>
              <w:rPr>
                <w:rFonts w:ascii="Times New Roman" w:hAnsi="Times New Roman"/>
                <w:color w:val="000000"/>
                <w:sz w:val="18"/>
              </w:rPr>
            </w:pPr>
          </w:p>
        </w:tc>
        <w:tc>
          <w:tcPr>
            <w:tcMar>
              <w:left w:w="27" w:type="dxa"/>
              <w:right w:w="27" w:type="dxa"/>
            </w:tcMar>
            <w:vAlign w:val="top"/>
          </w:tcPr>
          <w:p>
            <w:pPr>
              <w:spacing w:before="0" w:after="0" w:line="240" w:lineRule="auto"/>
              <w:rPr>
                <w:rFonts w:ascii="Times New Roman" w:hAnsi="Times New Roman"/>
                <w:color w:val="000000"/>
                <w:sz w:val="18"/>
              </w:rPr>
            </w:pPr>
          </w:p>
        </w:tc>
        <w:tc>
          <w:tcPr>
            <w:tcMar>
              <w:left w:w="27" w:type="dxa"/>
              <w:right w:w="27" w:type="dxa"/>
            </w:tcMar>
            <w:vAlign w:val="top"/>
          </w:tcPr>
          <w:p>
            <w:pPr>
              <w:spacing w:before="0" w:after="0" w:line="240" w:lineRule="auto"/>
              <w:rPr>
                <w:rFonts w:ascii="Times New Roman" w:hAnsi="Times New Roman"/>
                <w:color w:val="000000"/>
                <w:sz w:val="18"/>
              </w:rPr>
            </w:pPr>
          </w:p>
        </w:tc>
        <w:tc>
          <w:tcPr>
            <w:tcMar>
              <w:left w:w="27" w:type="dxa"/>
              <w:right w:w="27" w:type="dxa"/>
            </w:tcMar>
            <w:vAlign w:val="top"/>
          </w:tcPr>
          <w:p>
            <w:pPr>
              <w:spacing w:before="0" w:after="0" w:line="240" w:lineRule="auto"/>
              <w:rPr>
                <w:rFonts w:ascii="Times New Roman" w:hAnsi="Times New Roman"/>
                <w:color w:val="000000"/>
                <w:sz w:val="18"/>
              </w:rPr>
            </w:pPr>
          </w:p>
        </w:tc>
      </w:tr>
      <w:tr>
        <w:tblPrEx/>
        <w:trPr/>
        <w:tc>
          <w:tcPr>
            <w:tcMar>
              <w:left w:w="27" w:type="dxa"/>
              <w:right w:w="27" w:type="dxa"/>
            </w:tcMar>
            <w:vAlign w:val="top"/>
          </w:tcPr>
          <w:p>
            <w:pPr>
              <w:spacing w:before="0" w:after="0" w:line="235" w:lineRule="atLeast"/>
            </w:pPr>
            <w:r>
              <w:rPr>
                <w:rFonts w:ascii="Times New Roman" w:hAnsi="Times New Roman"/>
                <w:color w:val="000000"/>
                <w:sz w:val="18"/>
              </w:rPr>
              <w:t>Terminal CF</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35" w:lineRule="atLeast"/>
            </w:pPr>
            <w:r>
              <w:rPr>
                <w:rFonts w:ascii="Times New Roman" w:hAnsi="Times New Roman"/>
                <w:color w:val="000000"/>
                <w:sz w:val="18"/>
              </w:rPr>
              <w:t>$ 413,179</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40" w:lineRule="auto"/>
              <w:rPr>
                <w:rFonts w:ascii="Times New Roman" w:hAnsi="Times New Roman"/>
                <w:color w:val="000000"/>
                <w:sz w:val="18"/>
              </w:rPr>
            </w:pPr>
          </w:p>
        </w:tc>
        <w:tc>
          <w:tcPr>
            <w:tcMar>
              <w:left w:w="27" w:type="dxa"/>
              <w:right w:w="27" w:type="dxa"/>
            </w:tcMar>
            <w:vAlign w:val="top"/>
          </w:tcPr>
          <w:p>
            <w:pPr>
              <w:spacing w:before="0" w:after="0" w:line="240" w:lineRule="auto"/>
              <w:rPr>
                <w:rFonts w:ascii="Times New Roman" w:hAnsi="Times New Roman"/>
                <w:color w:val="000000"/>
                <w:sz w:val="18"/>
              </w:rPr>
            </w:pPr>
          </w:p>
        </w:tc>
        <w:tc>
          <w:tcPr>
            <w:tcMar>
              <w:left w:w="27" w:type="dxa"/>
              <w:right w:w="27" w:type="dxa"/>
            </w:tcMar>
            <w:vAlign w:val="top"/>
          </w:tcPr>
          <w:p>
            <w:pPr>
              <w:spacing w:before="0" w:after="0" w:line="240" w:lineRule="auto"/>
              <w:rPr>
                <w:rFonts w:ascii="Times New Roman" w:hAnsi="Times New Roman"/>
                <w:color w:val="000000"/>
                <w:sz w:val="18"/>
              </w:rPr>
            </w:pPr>
          </w:p>
        </w:tc>
        <w:tc>
          <w:tcPr>
            <w:tcMar>
              <w:left w:w="27" w:type="dxa"/>
              <w:right w:w="27" w:type="dxa"/>
            </w:tcMar>
            <w:vAlign w:val="top"/>
          </w:tcPr>
          <w:p>
            <w:pPr>
              <w:spacing w:before="0" w:after="0" w:line="240" w:lineRule="auto"/>
              <w:rPr>
                <w:rFonts w:ascii="Times New Roman" w:hAnsi="Times New Roman"/>
                <w:color w:val="000000"/>
                <w:sz w:val="18"/>
              </w:rPr>
            </w:pPr>
          </w:p>
        </w:tc>
      </w:tr>
      <w:tr>
        <w:tblPrEx/>
        <w:trPr/>
        <w:tc>
          <w:tcPr>
            <w:tcMar>
              <w:left w:w="27" w:type="dxa"/>
              <w:right w:w="27" w:type="dxa"/>
            </w:tcMar>
            <w:vAlign w:val="top"/>
          </w:tcPr>
          <w:p>
            <w:pPr>
              <w:spacing w:before="0" w:after="0" w:line="235" w:lineRule="atLeast"/>
            </w:pPr>
            <w:r>
              <w:rPr>
                <w:rFonts w:ascii="Times New Roman" w:hAnsi="Times New Roman"/>
                <w:color w:val="000000"/>
                <w:sz w:val="18"/>
              </w:rPr>
              <w:t>PV Terminal CF</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35" w:lineRule="atLeast"/>
            </w:pPr>
            <w:r>
              <w:rPr>
                <w:rFonts w:ascii="Times New Roman" w:hAnsi="Times New Roman"/>
                <w:color w:val="000000"/>
                <w:sz w:val="18"/>
              </w:rPr>
              <w:t>$ 256,551</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40" w:lineRule="auto"/>
              <w:rPr>
                <w:rFonts w:ascii="Times New Roman" w:hAnsi="Times New Roman"/>
                <w:color w:val="000000"/>
                <w:sz w:val="18"/>
              </w:rPr>
            </w:pPr>
          </w:p>
        </w:tc>
        <w:tc>
          <w:tcPr>
            <w:tcMar>
              <w:left w:w="27" w:type="dxa"/>
              <w:right w:w="27" w:type="dxa"/>
            </w:tcMar>
            <w:vAlign w:val="top"/>
          </w:tcPr>
          <w:p>
            <w:pPr>
              <w:spacing w:before="0" w:after="0" w:line="240" w:lineRule="auto"/>
              <w:rPr>
                <w:rFonts w:ascii="Times New Roman" w:hAnsi="Times New Roman"/>
                <w:color w:val="000000"/>
                <w:sz w:val="18"/>
              </w:rPr>
            </w:pPr>
          </w:p>
        </w:tc>
        <w:tc>
          <w:tcPr>
            <w:tcMar>
              <w:left w:w="27" w:type="dxa"/>
              <w:right w:w="27" w:type="dxa"/>
            </w:tcMar>
            <w:vAlign w:val="top"/>
          </w:tcPr>
          <w:p>
            <w:pPr>
              <w:spacing w:before="0" w:after="0" w:line="240" w:lineRule="auto"/>
              <w:rPr>
                <w:rFonts w:ascii="Times New Roman" w:hAnsi="Times New Roman"/>
                <w:color w:val="000000"/>
                <w:sz w:val="18"/>
              </w:rPr>
            </w:pPr>
          </w:p>
        </w:tc>
        <w:tc>
          <w:tcPr>
            <w:tcMar>
              <w:left w:w="27" w:type="dxa"/>
              <w:right w:w="27" w:type="dxa"/>
            </w:tcMar>
            <w:vAlign w:val="top"/>
          </w:tcPr>
          <w:p>
            <w:pPr>
              <w:spacing w:before="0" w:after="0" w:line="240" w:lineRule="auto"/>
              <w:rPr>
                <w:rFonts w:ascii="Times New Roman" w:hAnsi="Times New Roman"/>
                <w:color w:val="000000"/>
                <w:sz w:val="18"/>
              </w:rPr>
            </w:pPr>
          </w:p>
        </w:tc>
      </w:tr>
      <w:tr>
        <w:tblPrEx/>
        <w:trPr/>
        <w:tc>
          <w:tcPr>
            <w:tcMar>
              <w:left w:w="27" w:type="dxa"/>
              <w:right w:w="27" w:type="dxa"/>
            </w:tcMar>
            <w:vAlign w:val="top"/>
          </w:tcPr>
          <w:p>
            <w:pPr>
              <w:spacing w:before="0" w:after="0" w:line="235" w:lineRule="atLeast"/>
            </w:pPr>
            <w:r>
              <w:rPr>
                <w:rFonts w:ascii="Times New Roman" w:hAnsi="Times New Roman"/>
                <w:color w:val="000000"/>
                <w:sz w:val="18"/>
              </w:rPr>
              <w:t>PV Discrete Period</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35" w:lineRule="atLeast"/>
            </w:pPr>
            <w:r>
              <w:rPr>
                <w:rFonts w:ascii="Times New Roman" w:hAnsi="Times New Roman"/>
                <w:color w:val="000000"/>
                <w:sz w:val="18"/>
              </w:rPr>
              <w:t>$ 78,234</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40" w:lineRule="auto"/>
              <w:rPr>
                <w:rFonts w:ascii="Times New Roman" w:hAnsi="Times New Roman"/>
                <w:color w:val="000000"/>
                <w:sz w:val="18"/>
              </w:rPr>
            </w:pPr>
          </w:p>
        </w:tc>
        <w:tc>
          <w:tcPr>
            <w:tcMar>
              <w:left w:w="27" w:type="dxa"/>
              <w:right w:w="27" w:type="dxa"/>
            </w:tcMar>
            <w:vAlign w:val="top"/>
          </w:tcPr>
          <w:p>
            <w:pPr>
              <w:spacing w:before="0" w:after="0" w:line="240" w:lineRule="auto"/>
              <w:rPr>
                <w:rFonts w:ascii="Times New Roman" w:hAnsi="Times New Roman"/>
                <w:color w:val="000000"/>
                <w:sz w:val="18"/>
              </w:rPr>
            </w:pPr>
          </w:p>
        </w:tc>
        <w:tc>
          <w:tcPr>
            <w:tcMar>
              <w:left w:w="27" w:type="dxa"/>
              <w:right w:w="27" w:type="dxa"/>
            </w:tcMar>
            <w:vAlign w:val="top"/>
          </w:tcPr>
          <w:p>
            <w:pPr>
              <w:spacing w:before="0" w:after="0" w:line="240" w:lineRule="auto"/>
              <w:rPr>
                <w:rFonts w:ascii="Times New Roman" w:hAnsi="Times New Roman"/>
                <w:color w:val="000000"/>
                <w:sz w:val="18"/>
              </w:rPr>
            </w:pPr>
          </w:p>
        </w:tc>
        <w:tc>
          <w:tcPr>
            <w:tcMar>
              <w:left w:w="27" w:type="dxa"/>
              <w:right w:w="27" w:type="dxa"/>
            </w:tcMar>
            <w:vAlign w:val="top"/>
          </w:tcPr>
          <w:p>
            <w:pPr>
              <w:spacing w:before="0" w:after="0" w:line="240" w:lineRule="auto"/>
              <w:rPr>
                <w:rFonts w:ascii="Times New Roman" w:hAnsi="Times New Roman"/>
                <w:color w:val="000000"/>
                <w:sz w:val="18"/>
              </w:rPr>
            </w:pPr>
          </w:p>
        </w:tc>
      </w:tr>
      <w:tr>
        <w:tblPrEx/>
        <w:trPr/>
        <w:tc>
          <w:tcPr>
            <w:tcMar>
              <w:left w:w="27" w:type="dxa"/>
              <w:right w:w="27" w:type="dxa"/>
            </w:tcMar>
            <w:vAlign w:val="top"/>
          </w:tcPr>
          <w:p>
            <w:pPr>
              <w:spacing w:before="0" w:after="0" w:line="235" w:lineRule="atLeast"/>
            </w:pPr>
            <w:r>
              <w:rPr>
                <w:rFonts w:ascii="Times New Roman" w:hAnsi="Times New Roman"/>
                <w:color w:val="000000"/>
                <w:sz w:val="18"/>
              </w:rPr>
              <w:t>Concluded Value</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35" w:lineRule="atLeast"/>
            </w:pPr>
            <w:r>
              <w:rPr>
                <w:rFonts w:ascii="Times New Roman" w:hAnsi="Times New Roman"/>
                <w:b/>
                <w:color w:val="000000"/>
                <w:sz w:val="18"/>
              </w:rPr>
              <w:t>$ 334,785</w:t>
            </w:r>
          </w:p>
          <w:p>
            <w:pPr>
              <w:spacing w:before="0" w:after="0" w:line="235" w:lineRule="atLeast"/>
            </w:pPr>
            <w:r>
              <w:rPr>
                <w:rFonts w:ascii="Times New Roman" w:hAnsi="Times New Roman"/>
                <w:color w:val="000000"/>
                <w:sz w:val="18"/>
              </w:rPr>
              <w:t> </w:t>
            </w:r>
          </w:p>
        </w:tc>
        <w:tc>
          <w:tcPr>
            <w:tcMar>
              <w:left w:w="27" w:type="dxa"/>
              <w:right w:w="27" w:type="dxa"/>
            </w:tcMar>
            <w:vAlign w:val="top"/>
          </w:tcPr>
          <w:p>
            <w:pPr>
              <w:spacing w:before="0" w:after="0" w:line="240" w:lineRule="auto"/>
              <w:rPr>
                <w:rFonts w:ascii="Times New Roman" w:hAnsi="Times New Roman"/>
                <w:color w:val="000000"/>
                <w:sz w:val="18"/>
              </w:rPr>
            </w:pPr>
          </w:p>
        </w:tc>
        <w:tc>
          <w:tcPr>
            <w:tcMar>
              <w:left w:w="27" w:type="dxa"/>
              <w:right w:w="27" w:type="dxa"/>
            </w:tcMar>
            <w:vAlign w:val="top"/>
          </w:tcPr>
          <w:p>
            <w:pPr>
              <w:spacing w:before="0" w:after="0" w:line="240" w:lineRule="auto"/>
              <w:rPr>
                <w:rFonts w:ascii="Times New Roman" w:hAnsi="Times New Roman"/>
                <w:color w:val="000000"/>
                <w:sz w:val="18"/>
              </w:rPr>
            </w:pPr>
          </w:p>
        </w:tc>
        <w:tc>
          <w:tcPr>
            <w:tcMar>
              <w:left w:w="27" w:type="dxa"/>
              <w:right w:w="27" w:type="dxa"/>
            </w:tcMar>
            <w:vAlign w:val="top"/>
          </w:tcPr>
          <w:p>
            <w:pPr>
              <w:spacing w:before="0" w:after="0" w:line="240" w:lineRule="auto"/>
              <w:rPr>
                <w:rFonts w:ascii="Times New Roman" w:hAnsi="Times New Roman"/>
                <w:color w:val="000000"/>
                <w:sz w:val="18"/>
              </w:rPr>
            </w:pPr>
          </w:p>
        </w:tc>
        <w:tc>
          <w:tcPr>
            <w:tcMar>
              <w:left w:w="27" w:type="dxa"/>
              <w:right w:w="27" w:type="dxa"/>
            </w:tcMar>
            <w:vAlign w:val="top"/>
          </w:tcPr>
          <w:p>
            <w:pPr>
              <w:spacing w:before="0" w:after="0" w:line="240" w:lineRule="auto"/>
              <w:rPr>
                <w:rFonts w:ascii="Times New Roman" w:hAnsi="Times New Roman"/>
                <w:color w:val="000000"/>
                <w:sz w:val="18"/>
              </w:rPr>
            </w:pPr>
          </w:p>
        </w:tc>
      </w:tr>
    </w:tbl>
    <w:p>
      <w:pPr>
        <w:sectPr>
          <w:pgSz w:w="12240" w:h="15840"/>
          <w:pgMar w:top="1800" w:bottom="1080" w:left="1080" w:right="1080" w:header="720" w:footer="720" w:gutter="0"/>
          <w:pgNumType w:fmt="decimal"/>
        </w:sectPr>
      </w:pPr>
    </w:p>
    <w:p>
      <w:pPr>
        <w:spacing w:before="0" w:after="0" w:line="275" w:lineRule="atLeast"/>
        <w:jc w:val="both"/>
      </w:pPr>
      <w:r>
        <w:rPr>
          <w:rFonts w:ascii="Times New Roman" w:hAnsi="Times New Roman"/>
          <w:color w:val="000000"/>
          <w:sz w:val="20"/>
        </w:rPr>
        <w:t>AT&amp;T's internal documents, used by AT&amp;T when making actual decisions regarding the Partnership, provide strong evidence that the price was unfair.</w:t>
      </w:r>
    </w:p>
    <w:p>
      <w:pPr>
        <w:spacing w:before="0" w:after="0" w:line="275" w:lineRule="atLeast"/>
        <w:jc w:val="both"/>
      </w:pPr>
      <w:r>
        <w:rPr>
          <w:rFonts w:ascii="Times New Roman" w:hAnsi="Times New Roman"/>
          <w:color w:val="000000"/>
          <w:sz w:val="20"/>
        </w:rPr>
        <w:t> </w:t>
      </w:r>
    </w:p>
    <w:bookmarkStart w:id="124" w:name="co_anchor_I8eeebe01ace211ec8c80dd32e620"/>
    <w:bookmarkStart w:id="125" w:name="co_anchor_I8eeebe01ace211ec8c80dd32e2"/>
    <w:p>
      <w:pPr>
        <w:pBdr>
          <w:left w:val="none" w:space="10"/>
        </w:pBdr>
        <w:spacing w:before="400" w:after="0" w:line="275" w:lineRule="atLeast"/>
        <w:ind w:left="200" w:right="0" w:firstLine="0"/>
      </w:pPr>
      <w:r>
        <w:rPr>
          <w:rFonts w:ascii="Times New Roman" w:hAnsi="Times New Roman"/>
          <w:b/>
          <w:color w:val="000000"/>
          <w:sz w:val="20"/>
        </w:rPr>
        <w:t>3. Problems With AT&amp;T's Analyses</w:t>
      </w:r>
    </w:p>
    <w:bookmarkEnd w:id="125"/>
    <w:bookmarkEnd w:id="124"/>
    <w:p>
      <w:pPr>
        <w:spacing w:before="0" w:after="0" w:line="275" w:lineRule="atLeast"/>
        <w:jc w:val="both"/>
      </w:pPr>
      <w:r>
        <w:rPr>
          <w:rFonts w:ascii="Times New Roman" w:hAnsi="Times New Roman"/>
          <w:color w:val="000000"/>
          <w:sz w:val="20"/>
        </w:rPr>
        <w:t xml:space="preserve">Finally, AT&amp;T relied on unsound valuations. As noted, AT&amp;T did not present Gilcreast or rely on PwC's valuation work at trial. Instead, AT&amp;T sought to prove the fairness of the Freeze-Out price by having Taylor create different valuation analyses and vouch for PwC's conclusion. </w:t>
      </w:r>
      <w:r>
        <w:rPr>
          <w:rFonts w:ascii="Times New Roman" w:hAnsi="Times New Roman"/>
          <w:color w:val="000000"/>
          <w:sz w:val="20"/>
        </w:rPr>
        <w:t>That tactic implies that PwC's work could not stand on its own, undermining the credibility of the basis for the Freeze-Out price.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As noted, PwC prepared a comparable companies analysis and a DCF analysis and gave 50% weight to each. Taylor prepared a comparable companies analysis, a comparable transactions analysis, and a DCF analysis, then gave 50% weight to the DCF analysis and 25% to each of the other analyses. She derived a range of value that bracketed PwC's valuation conclusion, then pronounced PwC's valuation fair. No one disputes that the comparable companies, comparable transactions, and DCF methodologies are viable valuation techniques. The problem is that AT&amp;T failed to prove that those methodologies as applied in this case provided reliable evidence of the fair value of the Partnership. Setting aside the failure of PwC—and subsequently Taylor—to take into account the Management Agreement and the Premium Provision, AT&amp;T still failed to prove that their valuations were sufficiently reliable on the facts of this case.</w:t>
      </w:r>
    </w:p>
    <w:p>
      <w:pPr>
        <w:spacing w:before="0" w:after="0" w:line="275" w:lineRule="atLeast"/>
        <w:jc w:val="both"/>
      </w:pPr>
      <w:r>
        <w:rPr>
          <w:rFonts w:ascii="Times New Roman" w:hAnsi="Times New Roman"/>
          <w:color w:val="000000"/>
          <w:sz w:val="20"/>
        </w:rPr>
        <w:t> </w:t>
      </w:r>
    </w:p>
    <w:bookmarkStart w:id="126" w:name="co_anchor_I8eefcf71ace211ec8c80dd32e620"/>
    <w:p>
      <w:pPr>
        <w:spacing w:before="400" w:after="0" w:line="275" w:lineRule="atLeast"/>
        <w:jc w:val="center"/>
      </w:pPr>
      <w:r>
        <w:rPr>
          <w:rFonts w:ascii="Times New Roman" w:hAnsi="Times New Roman"/>
          <w:b/>
          <w:color w:val="000000"/>
          <w:sz w:val="20"/>
        </w:rPr>
        <w:t>a. The Comparable Companies Model</w:t>
      </w:r>
    </w:p>
    <w:bookmarkEnd w:id="126"/>
    <w:p>
      <w:pPr>
        <w:spacing w:before="200" w:after="0" w:line="275" w:lineRule="atLeast"/>
        <w:jc w:val="both"/>
      </w:pPr>
      <w:r>
        <w:rPr>
          <w:rFonts w:ascii="Times New Roman" w:hAnsi="Times New Roman"/>
          <w:color w:val="000000"/>
          <w:sz w:val="20"/>
        </w:rPr>
        <w:t>PwC and Taylor each valued the Partnership using a comparable companies methodology. As the proponent of using a comparable company method, AT&amp;T bore the burden of proving the reliability of that model as applied in this case.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comparable companies methodology “endeavors to draw inferences about a company's future expected cash flows from the market's expectations about comparable companies.” </w:t>
      </w:r>
      <w:hyperlink r:id="r55">
        <w:r>
          <w:rPr>
            <w:rFonts w:ascii="Times New Roman" w:hAnsi="Times New Roman"/>
            <w:i/>
            <w:color w:val="000000"/>
            <w:sz w:val="20"/>
          </w:rPr>
          <w:t>Merion Cap., L.P. v. 3M Cogent, Inc.</w:t>
        </w:r>
        <w:r>
          <w:rPr>
            <w:rFonts w:ascii="Times New Roman" w:hAnsi="Times New Roman"/>
            <w:color w:val="000000"/>
            <w:sz w:val="20"/>
          </w:rPr>
          <w:t>, 2013 WL 3793896, at *5 (Del. Ch. July 8, 2013)</w:t>
        </w:r>
      </w:hyperlink>
      <w:r>
        <w:rPr>
          <w:rFonts w:ascii="Times New Roman" w:hAnsi="Times New Roman"/>
          <w:color w:val="000000"/>
          <w:sz w:val="20"/>
        </w:rPr>
        <w:t xml:space="preserve">. “The idea is that if the market expects comparable companies to grow at a certain rate, then one can infer the growth of the subject company by applying a multiple drawn from the comparables to a relevant metric, such as EBITDA or revenues.” </w:t>
      </w:r>
      <w:hyperlink r:id="r56">
        <w:r>
          <w:rPr>
            <w:rFonts w:ascii="Times New Roman" w:hAnsi="Times New Roman"/>
            <w:i/>
            <w:color w:val="000000"/>
            <w:sz w:val="20"/>
          </w:rPr>
          <w:t>In re Appraisal of Orchard Enters., Inc.</w:t>
        </w:r>
        <w:r>
          <w:rPr>
            <w:rFonts w:ascii="Times New Roman" w:hAnsi="Times New Roman"/>
            <w:color w:val="000000"/>
            <w:sz w:val="20"/>
          </w:rPr>
          <w:t>, 2012 WL 2923305, at *9 (Del. Ch. July 18, 2012)</w:t>
        </w:r>
      </w:hyperlink>
      <w:r>
        <w:rPr>
          <w:rFonts w:ascii="Times New Roman" w:hAnsi="Times New Roman"/>
          <w:color w:val="000000"/>
          <w:sz w:val="20"/>
        </w:rPr>
        <w: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comparable companies method involves</w:t>
      </w:r>
    </w:p>
    <w:p>
      <w:pPr>
        <w:spacing w:before="200" w:after="0" w:line="275" w:lineRule="atLeast"/>
        <w:ind w:left="400" w:right="0" w:hanging="200"/>
        <w:jc w:val="both"/>
      </w:pPr>
      <w:r>
        <w:rPr>
          <w:rFonts w:ascii="Times New Roman" w:hAnsi="Times New Roman"/>
          <w:color w:val="000000"/>
          <w:sz w:val="20"/>
        </w:rPr>
        <w:t>(1) finding comparable, publicly traded companies;</w:t>
      </w:r>
    </w:p>
    <w:p>
      <w:pPr>
        <w:spacing w:before="200" w:after="0" w:line="275" w:lineRule="atLeast"/>
        <w:ind w:left="400" w:right="0" w:hanging="200"/>
        <w:jc w:val="both"/>
      </w:pPr>
      <w:r>
        <w:rPr>
          <w:rFonts w:ascii="Times New Roman" w:hAnsi="Times New Roman"/>
          <w:color w:val="000000"/>
          <w:sz w:val="20"/>
        </w:rPr>
        <w:t>(2) deriving valuation ratios based on the trading prices of the shares of the comparable companies and some recognized financial attribute, such as revenue, EBIT, or EBITDA;</w:t>
      </w:r>
    </w:p>
    <w:p>
      <w:pPr>
        <w:spacing w:before="200" w:after="0" w:line="275" w:lineRule="atLeast"/>
        <w:ind w:left="400" w:right="0" w:hanging="200"/>
        <w:jc w:val="both"/>
      </w:pPr>
      <w:r>
        <w:rPr>
          <w:rFonts w:ascii="Times New Roman" w:hAnsi="Times New Roman"/>
          <w:color w:val="000000"/>
          <w:sz w:val="20"/>
        </w:rPr>
        <w:t>(3) correcting the ratios to account for differences in capital structure or other factors; and</w:t>
      </w:r>
    </w:p>
    <w:p>
      <w:pPr>
        <w:spacing w:before="200" w:after="0" w:line="275" w:lineRule="atLeast"/>
        <w:ind w:left="400" w:right="0" w:hanging="200"/>
        <w:jc w:val="both"/>
      </w:pPr>
      <w:r>
        <w:rPr>
          <w:rFonts w:ascii="Times New Roman" w:hAnsi="Times New Roman"/>
          <w:color w:val="000000"/>
          <w:sz w:val="20"/>
        </w:rPr>
        <w:t>(4) applying a multiple derived from the valuation ratios to the financial attribute of the subject company.</w:t>
      </w:r>
    </w:p>
    <w:p>
      <w:pPr>
        <w:spacing w:before="200" w:after="0" w:line="275" w:lineRule="atLeast"/>
        <w:jc w:val="both"/>
      </w:pPr>
      <w:bookmarkStart w:id="127" w:name="co_pp_sp_999_30_1"/>
      <w:r>
        <w:rPr>
          <w:rFonts w:ascii="Times New Roman" w:hAnsi="Times New Roman"/>
          <w:b/>
          <w:color w:val="000000"/>
          <w:sz w:val="20"/>
        </w:rPr>
        <w:t>*30</w:t>
      </w:r>
      <w:bookmarkEnd w:id="127"/>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hyperlink r:id="r57">
        <w:r>
          <w:rPr>
            <w:rFonts w:ascii="Times New Roman" w:hAnsi="Times New Roman"/>
            <w:i/>
            <w:color w:val="000000"/>
            <w:sz w:val="20"/>
          </w:rPr>
          <w:t>Merion</w:t>
        </w:r>
        <w:r>
          <w:rPr>
            <w:rFonts w:ascii="Times New Roman" w:hAnsi="Times New Roman"/>
            <w:color w:val="000000"/>
            <w:sz w:val="20"/>
          </w:rPr>
          <w:t>, 2013 WL 3793896, at *6</w:t>
        </w:r>
      </w:hyperlink>
      <w:r>
        <w:rPr>
          <w:rFonts w:ascii="Times New Roman" w:hAnsi="Times New Roman"/>
          <w:color w:val="000000"/>
          <w:sz w:val="20"/>
        </w:rPr>
        <w:t xml:space="preserve">. The reliability of the comparable companies method thus depends in the first instance on having companies that are sufficiently comparable that their valuation ratios provide insight into the value of the subject company. </w:t>
      </w:r>
      <w:r>
        <w:rPr>
          <w:rFonts w:ascii="Times New Roman" w:hAnsi="Times New Roman"/>
          <w:i/>
          <w:color w:val="000000"/>
          <w:sz w:val="20"/>
        </w:rPr>
        <w:t>See</w:t>
      </w:r>
      <w:r>
        <w:rPr>
          <w:rFonts w:ascii="Times New Roman" w:hAnsi="Times New Roman"/>
          <w:color w:val="000000"/>
          <w:sz w:val="20"/>
        </w:rPr>
        <w:t xml:space="preserve"> </w:t>
      </w:r>
      <w:hyperlink r:id="r58">
        <w:r>
          <w:rPr>
            <w:rFonts w:ascii="Times New Roman" w:hAnsi="Times New Roman"/>
            <w:i/>
            <w:color w:val="000000"/>
            <w:sz w:val="20"/>
          </w:rPr>
          <w:t>Orchard</w:t>
        </w:r>
        <w:r>
          <w:rPr>
            <w:rFonts w:ascii="Times New Roman" w:hAnsi="Times New Roman"/>
            <w:color w:val="000000"/>
            <w:sz w:val="20"/>
          </w:rPr>
          <w:t>, 2012 WL 2923305, at *9</w:t>
        </w:r>
      </w:hyperlink>
      <w:r>
        <w:rPr>
          <w:rFonts w:ascii="Times New Roman" w:hAnsi="Times New Roman"/>
          <w:color w:val="000000"/>
          <w:sz w:val="20"/>
        </w:rPr>
        <w: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Taylor and PwC started with the same set of eight comparable companies. PwC used all eight. Taylor excluded Sprint Nextel Corp. and Leap Wireless International Inc. because they had low or negative EBITA that produced outlier results. </w:t>
      </w:r>
      <w:r>
        <w:rPr>
          <w:rFonts w:ascii="Times New Roman" w:hAnsi="Times New Roman"/>
          <w:i/>
          <w:color w:val="000000"/>
          <w:sz w:val="20"/>
        </w:rPr>
        <w:t>See</w:t>
      </w:r>
      <w:r>
        <w:rPr>
          <w:rFonts w:ascii="Times New Roman" w:hAnsi="Times New Roman"/>
          <w:color w:val="000000"/>
          <w:sz w:val="20"/>
        </w:rPr>
        <w:t xml:space="preserve"> Taylor Report at 105, 110; JX 1209 at ’083. By excluding two companies from the list that PwC used, Taylor undercut the reliability of PwC's valuation.</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Taylor ended up using the following six companies:</w:t>
      </w:r>
    </w:p>
    <w:p>
      <w:pPr>
        <w:spacing w:before="200" w:after="0" w:line="275" w:lineRule="atLeast"/>
        <w:ind w:left="200" w:right="0" w:hanging="200"/>
        <w:jc w:val="both"/>
      </w:pPr>
      <w:r>
        <w:rPr>
          <w:rFonts w:ascii="Times New Roman" w:hAnsi="Times New Roman"/>
          <w:color w:val="000000"/>
          <w:sz w:val="20"/>
        </w:rPr>
        <w:t>• AT&amp;T</w:t>
      </w:r>
    </w:p>
    <w:p>
      <w:pPr>
        <w:spacing w:before="200" w:after="0" w:line="275" w:lineRule="atLeast"/>
        <w:ind w:left="200" w:right="0" w:hanging="200"/>
        <w:jc w:val="both"/>
      </w:pPr>
      <w:r>
        <w:rPr>
          <w:rFonts w:ascii="Times New Roman" w:hAnsi="Times New Roman"/>
          <w:color w:val="000000"/>
          <w:sz w:val="20"/>
        </w:rPr>
        <w:t>• Verizon</w:t>
      </w:r>
    </w:p>
    <w:p>
      <w:pPr>
        <w:spacing w:before="200" w:after="0" w:line="275" w:lineRule="atLeast"/>
        <w:ind w:left="200" w:right="0" w:hanging="200"/>
        <w:jc w:val="both"/>
      </w:pPr>
      <w:r>
        <w:rPr>
          <w:rFonts w:ascii="Times New Roman" w:hAnsi="Times New Roman"/>
          <w:color w:val="000000"/>
          <w:sz w:val="20"/>
        </w:rPr>
        <w:t>• Shenandoah Telecommunications Co.</w:t>
      </w:r>
    </w:p>
    <w:p>
      <w:pPr>
        <w:spacing w:before="200" w:after="0" w:line="275" w:lineRule="atLeast"/>
        <w:ind w:left="200" w:right="0" w:hanging="200"/>
        <w:jc w:val="both"/>
      </w:pPr>
      <w:r>
        <w:rPr>
          <w:rFonts w:ascii="Times New Roman" w:hAnsi="Times New Roman"/>
          <w:color w:val="000000"/>
          <w:sz w:val="20"/>
        </w:rPr>
        <w:t>• NTELOS Holdings Corp.</w:t>
      </w:r>
    </w:p>
    <w:p>
      <w:pPr>
        <w:spacing w:before="200" w:after="0" w:line="275" w:lineRule="atLeast"/>
        <w:ind w:left="200" w:right="0" w:hanging="200"/>
        <w:jc w:val="both"/>
      </w:pPr>
      <w:r>
        <w:rPr>
          <w:rFonts w:ascii="Times New Roman" w:hAnsi="Times New Roman"/>
          <w:color w:val="000000"/>
          <w:sz w:val="20"/>
        </w:rPr>
        <w:t>• MetroPCS Communications Inc.</w:t>
      </w:r>
    </w:p>
    <w:p>
      <w:pPr>
        <w:spacing w:before="200" w:after="0" w:line="275" w:lineRule="atLeast"/>
        <w:ind w:left="200" w:right="0" w:hanging="200"/>
        <w:jc w:val="both"/>
      </w:pPr>
      <w:r>
        <w:rPr>
          <w:rFonts w:ascii="Times New Roman" w:hAnsi="Times New Roman"/>
          <w:color w:val="000000"/>
          <w:sz w:val="20"/>
        </w:rPr>
        <w:t>• United States Cellular Corp.</w:t>
      </w:r>
    </w:p>
    <w:p>
      <w:pPr>
        <w:spacing w:before="200" w:after="0" w:line="275" w:lineRule="atLeast"/>
        <w:jc w:val="both"/>
      </w:pPr>
      <w:r>
        <w:rPr>
          <w:rFonts w:ascii="Times New Roman" w:hAnsi="Times New Roman"/>
          <w:color w:val="000000"/>
          <w:sz w:val="20"/>
        </w:rPr>
        <w:t>AT&amp;T failed to prove that the comparable companies that Taylor selected were sufficiently comparable to generate a reliable indicator.</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Determining whether a company is sufficiently comparable requires considering firm-specific characteristics such as the size of the subject company, its line of business, and its stage in its life cycle. </w:t>
      </w:r>
      <w:r>
        <w:rPr>
          <w:rFonts w:ascii="Times New Roman" w:hAnsi="Times New Roman"/>
          <w:color w:val="000000"/>
          <w:sz w:val="20"/>
        </w:rPr>
        <w:t xml:space="preserve">Shannon P. Pratt, </w:t>
      </w:r>
      <w:r>
        <w:rPr>
          <w:rFonts w:ascii="Times New Roman" w:hAnsi="Times New Roman"/>
          <w:i/>
          <w:color w:val="000000"/>
          <w:sz w:val="20"/>
        </w:rPr>
        <w:t>Valuing a Business: The Analysis and Appraisal of Closely Held Companies</w:t>
      </w:r>
      <w:r>
        <w:rPr>
          <w:rFonts w:ascii="Times New Roman" w:hAnsi="Times New Roman"/>
          <w:color w:val="000000"/>
          <w:sz w:val="20"/>
        </w:rPr>
        <w:t xml:space="preserve"> 276–77 (5th ed. 2008). If the firm-specific characteristics diverge from those of the subject company, then the valuator must discard the comparable or make adjustments to account for the divergence.</w:t>
      </w:r>
      <w:bookmarkStart w:id="128" w:name="co_fnRef_B00242055700832_ID0EYYAK_1"/>
      <w:hyperlink w:anchor="co_footnote_B00242055700832_1">
        <w:r>
          <w:rPr>
            <w:rFonts w:ascii="Times New Roman" w:hAnsi="Times New Roman"/>
            <w:color w:val="000000"/>
            <w:sz w:val="16"/>
            <w:vertAlign w:val="superscript"/>
          </w:rPr>
          <w:t>24</w:t>
        </w:r>
      </w:hyperlink>
      <w:bookmarkEnd w:id="128"/>
      <w:r>
        <w:rPr>
          <w:rFonts w:ascii="Times New Roman" w:hAnsi="Times New Roman"/>
          <w:color w:val="000000"/>
          <w:sz w:val="20"/>
        </w:rPr>
        <w:t xml:space="preserve"> “At some point, the differences become so large that the use of the comparable company method becomes meaningless for valuation purposes.” </w:t>
      </w:r>
      <w:hyperlink r:id="r59">
        <w:r>
          <w:rPr>
            <w:rFonts w:ascii="Times New Roman" w:hAnsi="Times New Roman"/>
            <w:i/>
            <w:color w:val="000000"/>
            <w:sz w:val="20"/>
          </w:rPr>
          <w:t>In re Radiology Assocs., Inc. Litig.</w:t>
        </w:r>
        <w:r>
          <w:rPr>
            <w:rFonts w:ascii="Times New Roman" w:hAnsi="Times New Roman"/>
            <w:color w:val="000000"/>
            <w:sz w:val="20"/>
          </w:rPr>
          <w:t>, 611 A.2d 485, 490 (Del. Ch. 1990)</w:t>
        </w:r>
      </w:hyperlink>
      <w:r>
        <w:rPr>
          <w:rFonts w:ascii="Times New Roman" w:hAnsi="Times New Roman"/>
          <w:color w:val="000000"/>
          <w:sz w:val="20"/>
        </w:rPr>
        <w:t xml:space="preserve">. When there are significant differences “as to product mix, revenues, profit margins, revenue and earnings growth rates, assets and geographic markets,” then those differences can “combine to make any comparison with [the subject company] meaningless.” </w:t>
      </w:r>
      <w:r>
        <w:rPr>
          <w:rFonts w:ascii="Times New Roman" w:hAnsi="Times New Roman"/>
          <w:i/>
          <w:color w:val="000000"/>
          <w:sz w:val="20"/>
        </w:rPr>
        <w:t>Id.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 faced an uphill battle in arguing for the use of a comparable companies analysis in this case. The partnerships were unique because their primary asset was their spectrum licenses, which were the “crown jewel” of AT&amp;T's wireless business. Barrick Tr. 1326; </w:t>
      </w:r>
      <w:r>
        <w:rPr>
          <w:rFonts w:ascii="Times New Roman" w:hAnsi="Times New Roman"/>
          <w:i/>
          <w:color w:val="000000"/>
          <w:sz w:val="20"/>
        </w:rPr>
        <w:t>see</w:t>
      </w:r>
      <w:r>
        <w:rPr>
          <w:rFonts w:ascii="Times New Roman" w:hAnsi="Times New Roman"/>
          <w:color w:val="000000"/>
          <w:sz w:val="20"/>
        </w:rPr>
        <w:t xml:space="preserve"> JX 3551 at 3 (AT&amp;T “considers its spectrum holdings to be strategic in nature”). Because each partnership was a single patch in the quilt of AT&amp;T's nationwide wireless network, it is difficult to find public companies with comparable assets, operations, and business models. The partnerships also were unique because they were organized as pass-through entities for tax purposes and remitted the overwhelming majority of their earnings as distributions to the partners. For similar reasons, this court has rejected the use of the comparable companies method in prior cases involving similar entities. </w:t>
      </w:r>
      <w:r>
        <w:rPr>
          <w:rFonts w:ascii="Times New Roman" w:hAnsi="Times New Roman"/>
          <w:i/>
          <w:color w:val="000000"/>
          <w:sz w:val="20"/>
        </w:rPr>
        <w:t>See</w:t>
      </w:r>
      <w:r>
        <w:rPr>
          <w:rFonts w:ascii="Times New Roman" w:hAnsi="Times New Roman"/>
          <w:color w:val="000000"/>
          <w:sz w:val="20"/>
        </w:rPr>
        <w:t xml:space="preserve"> </w:t>
      </w:r>
      <w:hyperlink r:id="r60">
        <w:r>
          <w:rPr>
            <w:rFonts w:ascii="Times New Roman" w:hAnsi="Times New Roman"/>
            <w:i/>
            <w:color w:val="000000"/>
            <w:sz w:val="20"/>
          </w:rPr>
          <w:t>B&amp;L Cellular</w:t>
        </w:r>
        <w:r>
          <w:rPr>
            <w:rFonts w:ascii="Times New Roman" w:hAnsi="Times New Roman"/>
            <w:color w:val="000000"/>
            <w:sz w:val="20"/>
          </w:rPr>
          <w:t>, 2014 WL 6882207, at *3–4</w:t>
        </w:r>
      </w:hyperlink>
      <w:r>
        <w:rPr>
          <w:rFonts w:ascii="Times New Roman" w:hAnsi="Times New Roman"/>
          <w:color w:val="000000"/>
          <w:sz w:val="20"/>
        </w:rPr>
        <w:t xml:space="preserve">; </w:t>
      </w:r>
      <w:r>
        <w:rPr>
          <w:rFonts w:ascii="Times New Roman" w:hAnsi="Times New Roman"/>
          <w:i/>
          <w:color w:val="000000"/>
          <w:sz w:val="20"/>
        </w:rPr>
        <w:t>AMWOH</w:t>
      </w:r>
      <w:r>
        <w:rPr>
          <w:rFonts w:ascii="Times New Roman" w:hAnsi="Times New Roman"/>
          <w:color w:val="000000"/>
          <w:sz w:val="20"/>
        </w:rPr>
        <w:t xml:space="preserve">, </w:t>
      </w:r>
      <w:hyperlink r:id="r61">
        <w:r>
          <w:rPr>
            <w:rFonts w:ascii="Times New Roman" w:hAnsi="Times New Roman"/>
            <w:color w:val="000000"/>
            <w:sz w:val="20"/>
          </w:rPr>
          <w:t>2013 WL 3865099, at *2–3</w:t>
        </w:r>
      </w:hyperlink>
      <w:r>
        <w:rPr>
          <w:rFonts w:ascii="Times New Roman" w:hAnsi="Times New Roman"/>
          <w:color w:val="000000"/>
          <w:sz w:val="20"/>
        </w:rPr>
        <w:t>.</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29" w:name="co_pp_sp_999_31_1"/>
      <w:r>
        <w:rPr>
          <w:rFonts w:ascii="Times New Roman" w:hAnsi="Times New Roman"/>
          <w:b/>
          <w:color w:val="000000"/>
          <w:sz w:val="20"/>
        </w:rPr>
        <w:t>*31</w:t>
      </w:r>
      <w:bookmarkEnd w:id="129"/>
      <w:r>
        <w:rPr>
          <w:rFonts w:ascii="Times New Roman" w:hAnsi="Times New Roman"/>
          <w:color w:val="000000"/>
          <w:sz w:val="20"/>
        </w:rPr>
        <w:t xml:space="preserve"> The first four companies Taylor selected were integrated telecommunications companies. Those companies were much larger than the Partnership and engaged in lines of business the Partnership did not pursue. The remaining two companies—MetroPCS and United States Cellular—were “pure-play” wireless companies, but they were much larger than the Partnership.</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 failed to prove that the integrated telecommunications companies were comparable to the Partnership. Taylor's use of AT&amp;T as a purportedly comparable company is the most straightforward example of an inappropriate comparison. The companies obviously differed in size, with AT&amp;T dwarfing the Partnership. The nature of the companies’ respective businesses also differed. The Partnership was a market-level entity owned by Mobility, an operating company. AT&amp;T was a holding company that owned multiple operating companies, including Mobility. Contractually, Mobility and the Partnership were supposed to operate in the same lines of business, but AT&amp;T did not permit the Partnership to engage in the full spectrum of business in which Mobility engaged. </w:t>
      </w:r>
      <w:r>
        <w:rPr>
          <w:rFonts w:ascii="Times New Roman" w:hAnsi="Times New Roman"/>
          <w:i/>
          <w:color w:val="000000"/>
          <w:sz w:val="20"/>
        </w:rPr>
        <w:t>See Salem Contract Decision</w:t>
      </w:r>
      <w:r>
        <w:rPr>
          <w:rFonts w:ascii="Times New Roman" w:hAnsi="Times New Roman"/>
          <w:color w:val="000000"/>
          <w:sz w:val="20"/>
        </w:rPr>
        <w:t xml:space="preserve">, </w:t>
      </w:r>
      <w:hyperlink r:id="r62">
        <w:r>
          <w:rPr>
            <w:rFonts w:ascii="Times New Roman" w:hAnsi="Times New Roman"/>
            <w:color w:val="000000"/>
            <w:sz w:val="20"/>
          </w:rPr>
          <w:t>2021 WL 4438046, at *19–22, *51</w:t>
        </w:r>
      </w:hyperlink>
      <w:r>
        <w:rPr>
          <w:rFonts w:ascii="Times New Roman" w:hAnsi="Times New Roman"/>
          <w:color w:val="000000"/>
          <w:sz w:val="20"/>
        </w:rPr>
        <w:t>. Instead, AT&amp;T enforced an unwritten rule that limited the Partnership's business to “things ... we do with our phones.” Wages Tr. 395. At the time of the Freeze-Out, AT&amp;T's various business units were in different stages of their respective life cycles. The Partnership was part of Mobility and poised for significant growth. AT&amp;T's other businesses were mature or declining. Finally, as noted, the Partnership represented a concentrated investment in a particular chunk of spectrum, a “[s]carce, [c]ontrolled [a]sset,”</w:t>
      </w:r>
      <w:bookmarkStart w:id="130" w:name="co_fnRef_B00252055700832_ID0E1CBK_1"/>
      <w:hyperlink w:anchor="co_footnote_B00252055700832_1">
        <w:r>
          <w:rPr>
            <w:rFonts w:ascii="Times New Roman" w:hAnsi="Times New Roman"/>
            <w:color w:val="000000"/>
            <w:sz w:val="16"/>
            <w:vertAlign w:val="superscript"/>
          </w:rPr>
          <w:t>25</w:t>
        </w:r>
      </w:hyperlink>
      <w:bookmarkEnd w:id="130"/>
      <w:r>
        <w:rPr>
          <w:rFonts w:ascii="Times New Roman" w:hAnsi="Times New Roman"/>
          <w:color w:val="000000"/>
          <w:sz w:val="20"/>
        </w:rPr>
        <w:t xml:space="preserve"> making the Partnership comparatively more valuable than the diversified portfolio that AT&amp;T held. Barrick </w:t>
      </w:r>
      <w:r>
        <w:rPr>
          <w:rFonts w:ascii="Times New Roman" w:hAnsi="Times New Roman"/>
          <w:color w:val="000000"/>
          <w:sz w:val="20"/>
        </w:rPr>
        <w:t>Tr. 1326.</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 also failed to prove that the other integrated telecommunications companies were comparable to the Partnership. Like AT&amp;T, Verizon, Shenandoah, and NTELOS were considerably larger than the Partnership. </w:t>
      </w:r>
      <w:r>
        <w:rPr>
          <w:rFonts w:ascii="Times New Roman" w:hAnsi="Times New Roman"/>
          <w:i/>
          <w:color w:val="000000"/>
          <w:sz w:val="20"/>
        </w:rPr>
        <w:t>Compare</w:t>
      </w:r>
      <w:r>
        <w:rPr>
          <w:rFonts w:ascii="Times New Roman" w:hAnsi="Times New Roman"/>
          <w:color w:val="000000"/>
          <w:sz w:val="20"/>
        </w:rPr>
        <w:t xml:space="preserve"> JX 3530, “Salem Revenue Build” tab, </w:t>
      </w:r>
      <w:r>
        <w:rPr>
          <w:rFonts w:ascii="Times New Roman" w:hAnsi="Times New Roman"/>
          <w:i/>
          <w:color w:val="000000"/>
          <w:sz w:val="20"/>
        </w:rPr>
        <w:t>with</w:t>
      </w:r>
      <w:r>
        <w:rPr>
          <w:rFonts w:ascii="Times New Roman" w:hAnsi="Times New Roman"/>
          <w:color w:val="000000"/>
          <w:sz w:val="20"/>
        </w:rPr>
        <w:t xml:space="preserve"> Taylor Report Ex. 35. Like AT&amp;T, the other integrated telecommunications companies engaged in other lines of business that were in different stages of their life cycles.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 also failed to prove that the two pure-play wireless companies were comparable to the Partnership. Both were orders of magnitude larger than the Partnership. While the Partnership had approximately 100,000 subscribers, MetroPCS and United States Cellular had 6.6 million and 6 million subscribers, respectively. Taylor Report at 103–04. While the Partnership generated total revenue in 2009 of $70.6 million, MetroPCS and United States Cellular generated total revenue of $3.5 billion and $4.2 billion, respectively. Taylor Report at 106, Ex. 35. MetroPCS also operated under a different business model by offering only prepaid, flat-rate contracts. </w:t>
      </w:r>
      <w:r>
        <w:rPr>
          <w:rFonts w:ascii="Times New Roman" w:hAnsi="Times New Roman"/>
          <w:i/>
          <w:color w:val="000000"/>
          <w:sz w:val="20"/>
        </w:rPr>
        <w:t>See</w:t>
      </w:r>
      <w:r>
        <w:rPr>
          <w:rFonts w:ascii="Times New Roman" w:hAnsi="Times New Roman"/>
          <w:color w:val="000000"/>
          <w:sz w:val="20"/>
        </w:rPr>
        <w:t xml:space="preserve"> Taylor Report at 103. Further, MetroPCS operated only in “select major metropolitan areas,” all of which were much larger than the Salem Market. </w:t>
      </w:r>
      <w:r>
        <w:rPr>
          <w:rFonts w:ascii="Times New Roman" w:hAnsi="Times New Roman"/>
          <w:i/>
          <w:color w:val="000000"/>
          <w:sz w:val="20"/>
        </w:rPr>
        <w:t>Id.</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31" w:name="co_pp_sp_999_32_1"/>
      <w:r>
        <w:rPr>
          <w:rFonts w:ascii="Times New Roman" w:hAnsi="Times New Roman"/>
          <w:b/>
          <w:color w:val="000000"/>
          <w:sz w:val="20"/>
        </w:rPr>
        <w:t>*32</w:t>
      </w:r>
      <w:bookmarkEnd w:id="131"/>
      <w:r>
        <w:rPr>
          <w:rFonts w:ascii="Times New Roman" w:hAnsi="Times New Roman"/>
          <w:color w:val="000000"/>
          <w:sz w:val="20"/>
        </w:rPr>
        <w:t xml:space="preserve"> Among the companies Taylor selected, United States Cellular was the closest comparable. Although much bigger, it was a pure-play wireless company and used a similar business model. But having one comparable company does not save Taylor's analysis, because relying exclusively on United States Cellular produces an outlier result. </w:t>
      </w:r>
      <w:r>
        <w:rPr>
          <w:rFonts w:ascii="Times New Roman" w:hAnsi="Times New Roman"/>
          <w:i/>
          <w:color w:val="000000"/>
          <w:sz w:val="20"/>
        </w:rPr>
        <w:t>See AMWOH</w:t>
      </w:r>
      <w:r>
        <w:rPr>
          <w:rFonts w:ascii="Times New Roman" w:hAnsi="Times New Roman"/>
          <w:color w:val="000000"/>
          <w:sz w:val="20"/>
        </w:rPr>
        <w:t xml:space="preserve">, </w:t>
      </w:r>
      <w:hyperlink r:id="r63">
        <w:r>
          <w:rPr>
            <w:rFonts w:ascii="Times New Roman" w:hAnsi="Times New Roman"/>
            <w:color w:val="000000"/>
            <w:sz w:val="20"/>
          </w:rPr>
          <w:t>2013 WL 3865099, at *2</w:t>
        </w:r>
      </w:hyperlink>
      <w:r>
        <w:rPr>
          <w:rFonts w:ascii="Times New Roman" w:hAnsi="Times New Roman"/>
          <w:color w:val="000000"/>
          <w:sz w:val="20"/>
        </w:rPr>
        <w:t>. In this case, Taylor acknowledged that there were “valid arguments for excluding” United States Cellular due to its “marginal profitability.” Taylor Report at 111.</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 failed to carry its burden of proving that the companies in Taylor's model were comparable to the Partnership. PwC used those same companies, plus two that Taylor discarded. AT&amp;T thus failed to prove that either PwC or Taylor's comparable companies analysis provided reliable evidence of fair price.</w:t>
      </w:r>
    </w:p>
    <w:p>
      <w:pPr>
        <w:spacing w:before="0" w:after="0" w:line="275" w:lineRule="atLeast"/>
        <w:jc w:val="both"/>
      </w:pPr>
      <w:r>
        <w:rPr>
          <w:rFonts w:ascii="Times New Roman" w:hAnsi="Times New Roman"/>
          <w:color w:val="000000"/>
          <w:sz w:val="20"/>
        </w:rPr>
        <w:t> </w:t>
      </w:r>
    </w:p>
    <w:bookmarkStart w:id="132" w:name="co_anchor_I8efceed1ace211ec8c80dd32e620"/>
    <w:p>
      <w:pPr>
        <w:spacing w:before="400" w:after="0" w:line="275" w:lineRule="atLeast"/>
        <w:jc w:val="center"/>
      </w:pPr>
      <w:r>
        <w:rPr>
          <w:rFonts w:ascii="Times New Roman" w:hAnsi="Times New Roman"/>
          <w:b/>
          <w:color w:val="000000"/>
          <w:sz w:val="20"/>
        </w:rPr>
        <w:t>b. The Comparable Transactions Model</w:t>
      </w:r>
    </w:p>
    <w:bookmarkEnd w:id="132"/>
    <w:p>
      <w:pPr>
        <w:spacing w:before="200" w:after="0" w:line="275" w:lineRule="atLeast"/>
        <w:jc w:val="both"/>
      </w:pPr>
      <w:r>
        <w:rPr>
          <w:rFonts w:ascii="Times New Roman" w:hAnsi="Times New Roman"/>
          <w:color w:val="000000"/>
          <w:sz w:val="20"/>
        </w:rPr>
        <w:t>Taylor also valued the Partnership using a comparable transactions model. PwC did not use a comparable transactions model, which calls into question Taylor's use of the method. As the proponent of using a comparable transactions method to justify the fairness of the Freeze-Out, AT&amp;T bore the burden of proving the model's reliability and persuasiveness. In this case, the evidence demonstrates that Taylor's comparable transactions model did not produce reliable valuation evidence.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comparable transactions method involves identifying transactions involving similar companies, using financial metrics to derive ratios that quantify the value placed on the companies, and then applying the resulting ratios to the company at issue. </w:t>
      </w:r>
      <w:r>
        <w:rPr>
          <w:rFonts w:ascii="Times New Roman" w:hAnsi="Times New Roman"/>
          <w:i/>
          <w:color w:val="000000"/>
          <w:sz w:val="20"/>
        </w:rPr>
        <w:t>See</w:t>
      </w:r>
      <w:r>
        <w:rPr>
          <w:rFonts w:ascii="Times New Roman" w:hAnsi="Times New Roman"/>
          <w:color w:val="000000"/>
          <w:sz w:val="20"/>
        </w:rPr>
        <w:t xml:space="preserve"> </w:t>
      </w:r>
      <w:hyperlink r:id="r64">
        <w:r>
          <w:rPr>
            <w:rFonts w:ascii="Times New Roman" w:hAnsi="Times New Roman"/>
            <w:i/>
            <w:color w:val="000000"/>
            <w:sz w:val="20"/>
          </w:rPr>
          <w:t>Highfields Cap., Ltd. v. AXA Fin., Inc.</w:t>
        </w:r>
        <w:r>
          <w:rPr>
            <w:rFonts w:ascii="Times New Roman" w:hAnsi="Times New Roman"/>
            <w:color w:val="000000"/>
            <w:sz w:val="20"/>
          </w:rPr>
          <w:t>, 939 A.2d 34, 54 (Del. Ch. 2007)</w:t>
        </w:r>
      </w:hyperlink>
      <w:r>
        <w:rPr>
          <w:rFonts w:ascii="Times New Roman" w:hAnsi="Times New Roman"/>
          <w:color w:val="000000"/>
          <w:sz w:val="20"/>
        </w:rPr>
        <w:t>. The comparable transactions method thus operates similarly to the comparable companies method, but it uses transaction prices rather than trading prices to derive valuation ratios.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As with the comparable companies methodology, the reliability of a comparable transactions methodology depends on the degree of similarity between the company in the transaction being used for comparison and the company being valued. </w:t>
      </w:r>
      <w:r>
        <w:rPr>
          <w:rFonts w:ascii="Times New Roman" w:hAnsi="Times New Roman"/>
          <w:i/>
          <w:color w:val="000000"/>
          <w:sz w:val="20"/>
        </w:rPr>
        <w:t>See</w:t>
      </w:r>
      <w:r>
        <w:rPr>
          <w:rFonts w:ascii="Times New Roman" w:hAnsi="Times New Roman"/>
          <w:color w:val="000000"/>
          <w:sz w:val="20"/>
        </w:rPr>
        <w:t xml:space="preserve"> </w:t>
      </w:r>
      <w:hyperlink r:id="r65">
        <w:r>
          <w:rPr>
            <w:rFonts w:ascii="Times New Roman" w:hAnsi="Times New Roman"/>
            <w:i/>
            <w:color w:val="000000"/>
            <w:sz w:val="20"/>
          </w:rPr>
          <w:t>LongPath Cap., LLC v. Ramtron Int'l Corp.</w:t>
        </w:r>
        <w:r>
          <w:rPr>
            <w:rFonts w:ascii="Times New Roman" w:hAnsi="Times New Roman"/>
            <w:color w:val="000000"/>
            <w:sz w:val="20"/>
          </w:rPr>
          <w:t>, 2015 WL 4540443, at *18 (Del. Ch. June 30, 2015)</w:t>
        </w:r>
      </w:hyperlink>
      <w:r>
        <w:rPr>
          <w:rFonts w:ascii="Times New Roman" w:hAnsi="Times New Roman"/>
          <w:color w:val="000000"/>
          <w:sz w:val="20"/>
        </w:rPr>
        <w:t xml:space="preserve">. The reliability of the method also depends on the nature of the transaction being used for comparison and its ability to provide clear valuation metrics. </w:t>
      </w:r>
      <w:r>
        <w:rPr>
          <w:rFonts w:ascii="Times New Roman" w:hAnsi="Times New Roman"/>
          <w:i/>
          <w:color w:val="000000"/>
          <w:sz w:val="20"/>
        </w:rPr>
        <w:t>See id.</w:t>
      </w:r>
      <w:r>
        <w:rPr>
          <w:rFonts w:ascii="Times New Roman" w:hAnsi="Times New Roman"/>
          <w:color w:val="000000"/>
          <w:sz w:val="20"/>
        </w:rPr>
        <w:t xml:space="preserve">; </w:t>
      </w:r>
      <w:r>
        <w:rPr>
          <w:rFonts w:ascii="Times New Roman" w:hAnsi="Times New Roman"/>
          <w:i/>
          <w:color w:val="000000"/>
          <w:sz w:val="20"/>
        </w:rPr>
        <w:t>Cede &amp; Co. v. JRC Acq. Corp.</w:t>
      </w:r>
      <w:r>
        <w:rPr>
          <w:rFonts w:ascii="Times New Roman" w:hAnsi="Times New Roman"/>
          <w:color w:val="000000"/>
          <w:sz w:val="20"/>
        </w:rPr>
        <w:t xml:space="preserve">, </w:t>
      </w:r>
      <w:hyperlink r:id="r66">
        <w:r>
          <w:rPr>
            <w:rFonts w:ascii="Times New Roman" w:hAnsi="Times New Roman"/>
            <w:color w:val="000000"/>
            <w:sz w:val="20"/>
          </w:rPr>
          <w:t>2004 WL 286963, at *3–4 (Del. Ch. Feb. 10, 2004)</w:t>
        </w:r>
      </w:hyperlink>
      <w:r>
        <w:rPr>
          <w:rFonts w:ascii="Times New Roman" w:hAnsi="Times New Roman"/>
          <w:color w:val="000000"/>
          <w:sz w:val="20"/>
        </w:rPr>
        <w: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As with the comparable companies method, AT&amp;T faced an uphill battle in arguing for the use of a comparable transactions analysis in this case. The partnerships’ spectrum licenses were unique. AT&amp;T did not have any “significant past practice of voluntarily selling licenses.” JX 3551 at 3. It was therefore unlikely that other transactions would be sufficiently similar to the Freeze-Out.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Taylor relied on four transactions. Two involved public company targets: Sprint Nextel Corp.’s acquisition of iPCS, Inc., in October 2009, and AT&amp;T's acquisition of Centennial Communications Corp. in November 2008. Taylor Report at 116–17. The other two involved private company targets: Verizon's acquisition of Alltel Corp. in June 2008, and AT&amp;T's effort to purchase T-Mobile in March 2011. Taylor Report at 117–18. The last of the four did not close. AT&amp;T abandoned its pursuit of T-Mobile after the FCC and the Department of Justice opposed the transaction on antitrust grounds. </w:t>
      </w:r>
      <w:r>
        <w:rPr>
          <w:rFonts w:ascii="Times New Roman" w:hAnsi="Times New Roman"/>
          <w:i/>
          <w:color w:val="000000"/>
          <w:sz w:val="20"/>
        </w:rPr>
        <w:t>See</w:t>
      </w:r>
      <w:r>
        <w:rPr>
          <w:rFonts w:ascii="Times New Roman" w:hAnsi="Times New Roman"/>
          <w:color w:val="000000"/>
          <w:sz w:val="20"/>
        </w:rPr>
        <w:t xml:space="preserve"> JX 2087 at 4–5.</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 failed to prove that the transactions Taylor selected were sufficiently comparable to the Freeze-Out. None of the transactions resembled a sale of a discrete, market-level entity whose primary asset was spectrum. All four involved much larger companies, and all but the Sprint Nextel-iPCS acquisition involved purchase prices that were orders of magnitude greater. The AT&amp;T-T-Mobile transaction was valued at $39 billion. Taylor Report Ex. 43. The Verizon-Alltel transaction was valued at $28.5 billion. </w:t>
      </w:r>
      <w:r>
        <w:rPr>
          <w:rFonts w:ascii="Times New Roman" w:hAnsi="Times New Roman"/>
          <w:i/>
          <w:color w:val="000000"/>
          <w:sz w:val="20"/>
        </w:rPr>
        <w:t>Id.</w:t>
      </w:r>
      <w:r>
        <w:rPr>
          <w:rFonts w:ascii="Times New Roman" w:hAnsi="Times New Roman"/>
          <w:color w:val="000000"/>
          <w:sz w:val="20"/>
        </w:rPr>
        <w:t xml:space="preserve"> The AT&amp;T-Centennial transaction was valued at $2.8 billion. </w:t>
      </w:r>
      <w:r>
        <w:rPr>
          <w:rFonts w:ascii="Times New Roman" w:hAnsi="Times New Roman"/>
          <w:i/>
          <w:color w:val="000000"/>
          <w:sz w:val="20"/>
        </w:rPr>
        <w:t>Id.</w:t>
      </w:r>
      <w:r>
        <w:rPr>
          <w:rFonts w:ascii="Times New Roman" w:hAnsi="Times New Roman"/>
          <w:color w:val="000000"/>
          <w:sz w:val="20"/>
        </w:rPr>
        <w:t xml:space="preserve"> The Sprint Next-iPCS transaction was valued at $833 million. </w:t>
      </w:r>
      <w:r>
        <w:rPr>
          <w:rFonts w:ascii="Times New Roman" w:hAnsi="Times New Roman"/>
          <w:i/>
          <w:color w:val="000000"/>
          <w:sz w:val="20"/>
        </w:rPr>
        <w:t>Id.</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33" w:name="co_pp_sp_999_33_1"/>
      <w:r>
        <w:rPr>
          <w:rFonts w:ascii="Times New Roman" w:hAnsi="Times New Roman"/>
          <w:b/>
          <w:color w:val="000000"/>
          <w:sz w:val="20"/>
        </w:rPr>
        <w:t>*33</w:t>
      </w:r>
      <w:bookmarkEnd w:id="133"/>
      <w:r>
        <w:rPr>
          <w:rFonts w:ascii="Times New Roman" w:hAnsi="Times New Roman"/>
          <w:color w:val="000000"/>
          <w:sz w:val="20"/>
        </w:rPr>
        <w:t xml:space="preserve"> For the public company transactions, Taylor rendered her analysis suspect by failing to use the actual transaction price. Instead, she calculated the market value of 100% of the target's equity based on its stock price immediately before the announcement date. She then added a control premium of 15% and subtracted the company's net debt. </w:t>
      </w:r>
      <w:r>
        <w:rPr>
          <w:rFonts w:ascii="Times New Roman" w:hAnsi="Times New Roman"/>
          <w:i/>
          <w:color w:val="000000"/>
          <w:sz w:val="20"/>
        </w:rPr>
        <w:t>Id.</w:t>
      </w:r>
      <w:r>
        <w:rPr>
          <w:rFonts w:ascii="Times New Roman" w:hAnsi="Times New Roman"/>
          <w:color w:val="000000"/>
          <w:sz w:val="20"/>
        </w:rPr>
        <w:t xml:space="preserve"> at 119. Taylor claimed that she made these adjustments to remove the effects of merger synergies. </w:t>
      </w:r>
      <w:r>
        <w:rPr>
          <w:rFonts w:ascii="Times New Roman" w:hAnsi="Times New Roman"/>
          <w:i/>
          <w:color w:val="000000"/>
          <w:sz w:val="20"/>
        </w:rPr>
        <w:t>Id.</w:t>
      </w:r>
      <w:r>
        <w:rPr>
          <w:rFonts w:ascii="Times New Roman" w:hAnsi="Times New Roman"/>
          <w:color w:val="000000"/>
          <w:sz w:val="20"/>
        </w:rPr>
        <w:t xml:space="preserve"> at 115–16, 119. Taylor did not provide a persuasive explanation for her methodology, and AT&amp;T did not demonstrate that Taylor's adjusted-transaction-price approach was generally accepted in the financial community.</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 likewise failed to justify Taylor's use of a 15% across-the-board control premium. Taylor simply claimed that she had been using that figure for years. </w:t>
      </w:r>
      <w:r>
        <w:rPr>
          <w:rFonts w:ascii="Times New Roman" w:hAnsi="Times New Roman"/>
          <w:i/>
          <w:color w:val="000000"/>
          <w:sz w:val="20"/>
        </w:rPr>
        <w:t>See</w:t>
      </w:r>
      <w:r>
        <w:rPr>
          <w:rFonts w:ascii="Times New Roman" w:hAnsi="Times New Roman"/>
          <w:color w:val="000000"/>
          <w:sz w:val="20"/>
        </w:rPr>
        <w:t xml:space="preserve"> Taylor Tr. 977. Her blanket use of a 15% control premium distorted her analysis of the AT&amp;T-Centennial transaction, making it unusable in a comparable transactions analysis. AT&amp;T paid a 121.4% premium to acquire Centennial. Taylor Report at 119. By assuming that all of the premium beyond her blanket 15% control premium derived from synergies, Taylor artificially depressed the resulting EBITA multiple, resulting in a lower concluded valuation for the Partnership.</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Sprint Nextel-iPCS acquisition was not comparable for the additional reason that the buyer was “motivated by the desire to resolve a longstanding litigation, which would have otherwise forced Sprint Nextel to make certain divestitures.” Taylor Report at 116 n.229. Taylor rejected another comparable transaction because the forced nature of the sale meant that it “occurred at suppressed EBITDA multiples, which make it incompatible for use in [her] valuation.” Taylor Report at 118. The same rationale undercuts the comparability of the Sprint Nextel-iPCS acquisition.</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For the private company transactions, Taylor took a different approach. To estimate an EBITA multiple, she netted out synergistic value by taking the target's last-twelve-months EBITA “inclusive of the announced synergies” and dividing it by the target's last-twelve-months EBITA without synergies. </w:t>
      </w:r>
      <w:r>
        <w:rPr>
          <w:rFonts w:ascii="Times New Roman" w:hAnsi="Times New Roman"/>
          <w:i/>
          <w:color w:val="000000"/>
          <w:sz w:val="20"/>
        </w:rPr>
        <w:t>Id.</w:t>
      </w:r>
      <w:r>
        <w:rPr>
          <w:rFonts w:ascii="Times New Roman" w:hAnsi="Times New Roman"/>
          <w:color w:val="000000"/>
          <w:sz w:val="20"/>
        </w:rPr>
        <w:t xml:space="preserve"> at 119. Then she divided the transaction price by the ratio of EBITA including synergies to EBITA excluding synergies. Finally, she calculated “adjusted Revenue and EBITA multiples by dividing the adjusted transaction Enterprise Value by the reported revenue and EBITA.” </w:t>
      </w:r>
      <w:r>
        <w:rPr>
          <w:rFonts w:ascii="Times New Roman" w:hAnsi="Times New Roman"/>
          <w:i/>
          <w:color w:val="000000"/>
          <w:sz w:val="20"/>
        </w:rPr>
        <w:t>Id.</w:t>
      </w:r>
      <w:r>
        <w:rPr>
          <w:rFonts w:ascii="Times New Roman" w:hAnsi="Times New Roman"/>
          <w:color w:val="000000"/>
          <w:sz w:val="20"/>
        </w:rPr>
        <w:t xml:space="preserve"> at 120. By combining historical data with purely speculative “announced synergies,” Taylor made the private companies seem more profitable than they actually were, resulting in lower EBITA multiples and depressing the concluded value of her comparable transactions analysis. For example, by simply assuming that the Alltel transaction would generate $1 billion in annual synergies, Taylor depicted Alltel as 60% more profitable than it actually was. </w:t>
      </w:r>
      <w:r>
        <w:rPr>
          <w:rFonts w:ascii="Times New Roman" w:hAnsi="Times New Roman"/>
          <w:i/>
          <w:color w:val="000000"/>
          <w:sz w:val="20"/>
        </w:rPr>
        <w:t>Id.</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Taylor Tr. 983–84. That calculation reduced the derived EBITA multiple from 15.9x to 10.2x, depressing the concluded value of Taylor's comparable companies analysis. Taylor Tr. 984.</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For the T-Mobile transaction, Taylor made additional adjustments that rested on a mistaken reading of internal AT&amp;T documents and rendered her analysis unusable. To calculate an EBITA multiple for T-Mobile, Taylor added $1.8 billion in “Announced Synergies” to T-Mobile's Last Twelve Months EBITA. Taylor Report at 120, Ex. 46; Taylor Tr. 984. That calculation reduced the derived EBITA multiple from 17.1x to 9.6x, depressing the concluded value. </w:t>
      </w:r>
      <w:r>
        <w:rPr>
          <w:rFonts w:ascii="Times New Roman" w:hAnsi="Times New Roman"/>
          <w:i/>
          <w:color w:val="000000"/>
          <w:sz w:val="20"/>
        </w:rPr>
        <w:t>See</w:t>
      </w:r>
      <w:r>
        <w:rPr>
          <w:rFonts w:ascii="Times New Roman" w:hAnsi="Times New Roman"/>
          <w:color w:val="000000"/>
          <w:sz w:val="20"/>
        </w:rPr>
        <w:t xml:space="preserve"> Taylor Report at 120. The plaintiffs proved that the synergy value Taylor added actually consisted of “[a]voided spectrum acquisitions” that AT&amp;T would achieve in 2012 by acquiring T-Mobile's spectrum in the transaction. JX 1893 at 6. In reality, AT&amp;T already was planning to spend $1.8 billion to purchase additional spectrum in 2010.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i/>
          <w:color w:val="000000"/>
          <w:sz w:val="20"/>
        </w:rPr>
        <w:t>id.</w:t>
      </w:r>
      <w:r>
        <w:rPr>
          <w:rFonts w:ascii="Times New Roman" w:hAnsi="Times New Roman"/>
          <w:color w:val="000000"/>
          <w:sz w:val="20"/>
        </w:rPr>
        <w:t xml:space="preserve"> at 7; Taylor Tr. 988. Without the value of the avoided spectrum acquisitions, the T-Mobile transaction would have had a </w:t>
      </w:r>
      <w:r>
        <w:rPr>
          <w:rFonts w:ascii="Times New Roman" w:hAnsi="Times New Roman"/>
          <w:i/>
          <w:color w:val="000000"/>
          <w:sz w:val="20"/>
        </w:rPr>
        <w:t>negative</w:t>
      </w:r>
      <w:r>
        <w:rPr>
          <w:rFonts w:ascii="Times New Roman" w:hAnsi="Times New Roman"/>
          <w:color w:val="000000"/>
          <w:sz w:val="20"/>
        </w:rPr>
        <w:t xml:space="preserve"> $1.8 billion EBITA impact in 2012. </w:t>
      </w:r>
      <w:r>
        <w:rPr>
          <w:rFonts w:ascii="Times New Roman" w:hAnsi="Times New Roman"/>
          <w:i/>
          <w:color w:val="000000"/>
          <w:sz w:val="20"/>
        </w:rPr>
        <w:t>See</w:t>
      </w:r>
      <w:r>
        <w:rPr>
          <w:rFonts w:ascii="Times New Roman" w:hAnsi="Times New Roman"/>
          <w:color w:val="000000"/>
          <w:sz w:val="20"/>
        </w:rPr>
        <w:t xml:space="preserve"> Taylor Report at 120, Ex. 46 ($1.8B – $3.6B = $-1.8B). Taylor's erroneous synergies adjustment misleadingly depicted T-Mobile as being 80% more profitable than it actually was. Taylor Tr. 984. Put differently, without Taylor's erroneous synergies adjustment, her analysis of the T-Mobile transaction translates to an 81.7x adjusted EBITA multiple, nearly eight times higher than any of the adjusted EBITA multiples she calculated. </w:t>
      </w:r>
      <w:r>
        <w:rPr>
          <w:rFonts w:ascii="Times New Roman" w:hAnsi="Times New Roman"/>
          <w:i/>
          <w:color w:val="000000"/>
          <w:sz w:val="20"/>
        </w:rPr>
        <w:t>See</w:t>
      </w:r>
      <w:r>
        <w:rPr>
          <w:rFonts w:ascii="Times New Roman" w:hAnsi="Times New Roman"/>
          <w:color w:val="000000"/>
          <w:sz w:val="20"/>
        </w:rPr>
        <w:t xml:space="preserve"> Taylor Report at 119–20, Exs. 45–46 (($21.793B * 1.8x) / ($2.28B – $1.8B) = 81.72x). The absurdity of the multiple that results from correcting Taylor's erroneous synergy adjustment warrants discarding her analysis of the T-Mobile transaction.</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34" w:name="co_pp_sp_999_34_1"/>
      <w:r>
        <w:rPr>
          <w:rFonts w:ascii="Times New Roman" w:hAnsi="Times New Roman"/>
          <w:b/>
          <w:color w:val="000000"/>
          <w:sz w:val="20"/>
        </w:rPr>
        <w:t>*34</w:t>
      </w:r>
      <w:bookmarkEnd w:id="134"/>
      <w:r>
        <w:rPr>
          <w:rFonts w:ascii="Times New Roman" w:hAnsi="Times New Roman"/>
          <w:color w:val="000000"/>
          <w:sz w:val="20"/>
        </w:rPr>
        <w:t xml:space="preserve"> The four transactions also are not comparable to the Freeze-Out because all but one occurred during or immediately after the Great Recession of 2008. In an earlier case involving similar freeze-outs by AT&amp;T, this court noted that PwC did not use a comparable transactions analysis and that “[t]he timing of each of Taylor's selected comparable transactions renders the method unreliable in this case, consistent with PwC's view.” </w:t>
      </w:r>
      <w:r>
        <w:rPr>
          <w:rFonts w:ascii="Times New Roman" w:hAnsi="Times New Roman"/>
          <w:i/>
          <w:color w:val="000000"/>
          <w:sz w:val="20"/>
        </w:rPr>
        <w:t>AMWOH</w:t>
      </w:r>
      <w:r>
        <w:rPr>
          <w:rFonts w:ascii="Times New Roman" w:hAnsi="Times New Roman"/>
          <w:color w:val="000000"/>
          <w:sz w:val="20"/>
        </w:rPr>
        <w:t xml:space="preserve">, </w:t>
      </w:r>
      <w:hyperlink r:id="r67">
        <w:r>
          <w:rPr>
            <w:rFonts w:ascii="Times New Roman" w:hAnsi="Times New Roman"/>
            <w:color w:val="000000"/>
            <w:sz w:val="20"/>
          </w:rPr>
          <w:t>2013 WL 3865099, at *3</w:t>
        </w:r>
      </w:hyperlink>
      <w:r>
        <w:rPr>
          <w:rFonts w:ascii="Times New Roman" w:hAnsi="Times New Roman"/>
          <w:color w:val="000000"/>
          <w:sz w:val="20"/>
        </w:rPr>
        <w:t xml:space="preserve">. The only “transaction” that did not occur during this period was AT&amp;T's failed bid for T-Mobile. This decision already has rejected Taylor's reliance on the T-Mobile “transaction” due to her inaccurate EBITA calculations. </w:t>
      </w:r>
      <w:r>
        <w:rPr>
          <w:rFonts w:ascii="Times New Roman" w:hAnsi="Times New Roman"/>
          <w:color w:val="000000"/>
          <w:sz w:val="20"/>
        </w:rPr>
        <w:t>It bears adding that the “transaction” (i) did not close and (ii) arose after the Freeze-Out.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Taylor's own expert report in </w:t>
      </w:r>
      <w:r>
        <w:rPr>
          <w:rFonts w:ascii="Times New Roman" w:hAnsi="Times New Roman"/>
          <w:i/>
          <w:color w:val="000000"/>
          <w:sz w:val="20"/>
        </w:rPr>
        <w:t>B&amp;L Cellular</w:t>
      </w:r>
      <w:r>
        <w:rPr>
          <w:rFonts w:ascii="Times New Roman" w:hAnsi="Times New Roman"/>
          <w:color w:val="000000"/>
          <w:sz w:val="20"/>
        </w:rPr>
        <w:t xml:space="preserve"> provides additional persuasive reasons to discard her comparable transactions analysis. There, she opined that “minimal weight should put [sic] on the transactions approach considering the lack of transactions that occurred in the recent period and the material adjustments required to strip out the significant strategic premium [sic] that were included in these deals.” JX 3552 at 54. That reasoning applies in this case.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 failed to carry its burden of proving that the transactions in Taylor's model were comparable to the Freeze-Out. This decision therefore declines to adopt Taylor's comparable transactions analysis as reliable evidence of fairness.</w:t>
      </w:r>
    </w:p>
    <w:p>
      <w:pPr>
        <w:spacing w:before="0" w:after="0" w:line="275" w:lineRule="atLeast"/>
        <w:jc w:val="both"/>
      </w:pPr>
      <w:r>
        <w:rPr>
          <w:rFonts w:ascii="Times New Roman" w:hAnsi="Times New Roman"/>
          <w:color w:val="000000"/>
          <w:sz w:val="20"/>
        </w:rPr>
        <w:t> </w:t>
      </w:r>
    </w:p>
    <w:bookmarkStart w:id="135" w:name="co_anchor_I8f057a51ace211ec8c80dd32e620"/>
    <w:bookmarkStart w:id="136" w:name="co_anchor_I8f057a51ace211ec8c80dd32e2"/>
    <w:p>
      <w:pPr>
        <w:pBdr>
          <w:left w:val="none" w:space="10"/>
        </w:pBdr>
        <w:spacing w:before="400" w:after="0" w:line="275" w:lineRule="atLeast"/>
        <w:ind w:left="200" w:right="0" w:firstLine="0"/>
      </w:pPr>
      <w:r>
        <w:rPr>
          <w:rFonts w:ascii="Times New Roman" w:hAnsi="Times New Roman"/>
          <w:b/>
          <w:color w:val="000000"/>
          <w:sz w:val="20"/>
        </w:rPr>
        <w:t>4. The DCF Model</w:t>
      </w:r>
    </w:p>
    <w:bookmarkEnd w:id="136"/>
    <w:bookmarkEnd w:id="135"/>
    <w:p>
      <w:pPr>
        <w:spacing w:before="0" w:after="0" w:line="275" w:lineRule="atLeast"/>
        <w:jc w:val="both"/>
      </w:pPr>
      <w:r>
        <w:rPr>
          <w:rFonts w:ascii="Times New Roman" w:hAnsi="Times New Roman"/>
          <w:color w:val="000000"/>
          <w:sz w:val="20"/>
        </w:rPr>
        <w:t>AT&amp;T finally sought to prove the fairness of the Freeze-Out price by relying on Taylor's DCF model, which produced a valuation range of $193 to $279.27 million. AT&amp;T failed to prove that Taylor's DCF valuation model established that the Freeze-Out price was fair.</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DCF methodology is a “standard” technique that “gives life to the finance principle that firms should be valued based on the expected value of their future cash flows, discounted to present value in a manner that accounts for risk.” </w:t>
      </w:r>
      <w:hyperlink r:id="r68">
        <w:r>
          <w:rPr>
            <w:rFonts w:ascii="Times New Roman" w:hAnsi="Times New Roman"/>
            <w:i/>
            <w:color w:val="000000"/>
            <w:sz w:val="20"/>
          </w:rPr>
          <w:t>Andaloro v. PFPC Worldwide, Inc.</w:t>
        </w:r>
        <w:r>
          <w:rPr>
            <w:rFonts w:ascii="Times New Roman" w:hAnsi="Times New Roman"/>
            <w:color w:val="000000"/>
            <w:sz w:val="20"/>
          </w:rPr>
          <w:t>, 2005 WL 2045640, at *9 (Del. Ch. Aug. 19, 2005)</w:t>
        </w:r>
      </w:hyperlink>
      <w:r>
        <w:rPr>
          <w:rFonts w:ascii="Times New Roman" w:hAnsi="Times New Roman"/>
          <w:color w:val="000000"/>
          <w:sz w:val="20"/>
        </w:rPr>
        <w:t>.</w:t>
      </w:r>
    </w:p>
    <w:p>
      <w:pPr>
        <w:spacing w:before="200" w:after="0" w:line="275" w:lineRule="atLeast"/>
        <w:ind w:left="480" w:right="480" w:firstLine="0"/>
        <w:jc w:val="both"/>
      </w:pPr>
      <w:r>
        <w:rPr>
          <w:rFonts w:ascii="Times New Roman" w:hAnsi="Times New Roman"/>
          <w:color w:val="000000"/>
          <w:sz w:val="20"/>
        </w:rPr>
        <w:t>The DCF model entails three basic components: an estimation of net cash flows that the firm will generate and when, over some period; a terminal or residual value equal to the future value, as of the end of the projection period, of the firm's cash flows beyond the projection period; and finally a cost of capital with which to discount to a present value both the projected net cash flows and the estimated terminal or residual value.</w:t>
      </w:r>
    </w:p>
    <w:p>
      <w:pPr>
        <w:spacing w:before="200" w:after="0" w:line="275" w:lineRule="atLeast"/>
        <w:jc w:val="both"/>
      </w:pPr>
      <w:hyperlink r:id="r69">
        <w:r>
          <w:rPr>
            <w:rFonts w:ascii="Times New Roman" w:hAnsi="Times New Roman"/>
            <w:i/>
            <w:color w:val="000000"/>
            <w:sz w:val="20"/>
          </w:rPr>
          <w:t>Radiology Assocs.</w:t>
        </w:r>
        <w:r>
          <w:rPr>
            <w:rFonts w:ascii="Times New Roman" w:hAnsi="Times New Roman"/>
            <w:color w:val="000000"/>
            <w:sz w:val="20"/>
          </w:rPr>
          <w:t>, 611 A.2d at 490</w:t>
        </w:r>
      </w:hyperlink>
      <w:r>
        <w:rPr>
          <w:rFonts w:ascii="Times New Roman" w:hAnsi="Times New Roman"/>
          <w:color w:val="000000"/>
          <w:sz w:val="20"/>
        </w:rPr>
        <w:t xml:space="preserve"> (internal quotation marks omitted). A DCF model incorporates numerous assumptions about the future performance of the subject company. Those assumptions “may always be challenged in any particular case.” </w:t>
      </w:r>
      <w:hyperlink r:id="r70">
        <w:r>
          <w:rPr>
            <w:rFonts w:ascii="Times New Roman" w:hAnsi="Times New Roman"/>
            <w:i/>
            <w:color w:val="000000"/>
            <w:sz w:val="20"/>
          </w:rPr>
          <w:t>Pinson v. Campbell-Taggart, Inc.</w:t>
        </w:r>
        <w:r>
          <w:rPr>
            <w:rFonts w:ascii="Times New Roman" w:hAnsi="Times New Roman"/>
            <w:color w:val="000000"/>
            <w:sz w:val="20"/>
          </w:rPr>
          <w:t>, 1989 WL 17438, at *8 n.11 (Del. Ch. Feb. 28, 1989)</w:t>
        </w:r>
      </w:hyperlink>
      <w:r>
        <w:rPr>
          <w:rFonts w:ascii="Times New Roman" w:hAnsi="Times New Roman"/>
          <w:color w:val="000000"/>
          <w:sz w:val="20"/>
        </w:rPr>
        <w:t>. AT&amp;T bore the burden of proving that Taylor's assumptions were reasonable such that her DCF model provided reliable evidence of the value of the Partnership as of the Freeze-Out.</w:t>
      </w:r>
    </w:p>
    <w:p>
      <w:pPr>
        <w:spacing w:before="0" w:after="0" w:line="275" w:lineRule="atLeast"/>
        <w:jc w:val="both"/>
      </w:pPr>
      <w:r>
        <w:rPr>
          <w:rFonts w:ascii="Times New Roman" w:hAnsi="Times New Roman"/>
          <w:color w:val="000000"/>
          <w:sz w:val="20"/>
        </w:rPr>
        <w:t> </w:t>
      </w:r>
    </w:p>
    <w:bookmarkStart w:id="137" w:name="co_anchor_I8f06d9e1ace211ec8c80dd32e620"/>
    <w:p>
      <w:pPr>
        <w:spacing w:before="400" w:after="0" w:line="275" w:lineRule="atLeast"/>
        <w:jc w:val="center"/>
      </w:pPr>
      <w:r>
        <w:rPr>
          <w:rFonts w:ascii="Times New Roman" w:hAnsi="Times New Roman"/>
          <w:b/>
          <w:color w:val="000000"/>
          <w:sz w:val="20"/>
        </w:rPr>
        <w:t>a. Problems With The Flowshare Model</w:t>
      </w:r>
    </w:p>
    <w:bookmarkEnd w:id="137"/>
    <w:p>
      <w:pPr>
        <w:spacing w:before="200" w:after="0" w:line="275" w:lineRule="atLeast"/>
        <w:jc w:val="both"/>
      </w:pPr>
      <w:r>
        <w:rPr>
          <w:rFonts w:ascii="Times New Roman" w:hAnsi="Times New Roman"/>
          <w:color w:val="000000"/>
          <w:sz w:val="20"/>
        </w:rPr>
        <w:t xml:space="preserve">Taylor forecasted cash flows for a discrete projection period of 9.25 years using a “flowshare model” prepared by PwC. </w:t>
      </w:r>
      <w:r>
        <w:rPr>
          <w:rFonts w:ascii="Times New Roman" w:hAnsi="Times New Roman"/>
          <w:i/>
          <w:color w:val="000000"/>
          <w:sz w:val="20"/>
        </w:rPr>
        <w:t>See</w:t>
      </w:r>
      <w:r>
        <w:rPr>
          <w:rFonts w:ascii="Times New Roman" w:hAnsi="Times New Roman"/>
          <w:color w:val="000000"/>
          <w:sz w:val="20"/>
        </w:rPr>
        <w:t xml:space="preserve"> Taylor Tr. 739–40 A flowshare model is a standard methodology used in the wireless industry to forecast market share. Taylor Tr. 738; </w:t>
      </w:r>
      <w:r>
        <w:rPr>
          <w:rFonts w:ascii="Times New Roman" w:hAnsi="Times New Roman"/>
          <w:i/>
          <w:color w:val="000000"/>
          <w:sz w:val="20"/>
        </w:rPr>
        <w:t>see</w:t>
      </w:r>
      <w:r>
        <w:rPr>
          <w:rFonts w:ascii="Times New Roman" w:hAnsi="Times New Roman"/>
          <w:color w:val="000000"/>
          <w:sz w:val="20"/>
        </w:rPr>
        <w:t xml:space="preserve"> Musey Report at 38. Taylor tweaked the flowshare model slightly to reflect the fact that PwC used a valuation date of March 31, 2010, over six months before the Freeze-Out, while Taylor used a valuation date of October 12, 2010, when the Freeze-Out actually occurred. </w:t>
      </w:r>
      <w:r>
        <w:rPr>
          <w:rFonts w:ascii="Times New Roman" w:hAnsi="Times New Roman"/>
          <w:i/>
          <w:color w:val="000000"/>
          <w:sz w:val="20"/>
        </w:rPr>
        <w:t>See</w:t>
      </w:r>
      <w:r>
        <w:rPr>
          <w:rFonts w:ascii="Times New Roman" w:hAnsi="Times New Roman"/>
          <w:color w:val="000000"/>
          <w:sz w:val="20"/>
        </w:rPr>
        <w:t xml:space="preserve"> JX 1209 at ’018; Taylor Report at 29–31.</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 flowshare model estimates the number of subscribers that a wireless firm will have during a given period. To accomplish this, the model starts with the number of existing subscribers at the beginning of the period. The model then forecasts the number of potential subscribers that competing businesses in that market can capture during the period based on the size of the market population. Some of the potential subscribers are new wireless subscribers; others are existing subscribers who may be induced to switch providers. Using these inputs, the model estimates the expected number of new subscribers, or “gross adds,” that the firm captures. </w:t>
      </w:r>
      <w:r>
        <w:rPr>
          <w:rFonts w:ascii="Times New Roman" w:hAnsi="Times New Roman"/>
          <w:color w:val="000000"/>
          <w:sz w:val="20"/>
        </w:rPr>
        <w:t xml:space="preserve">The model also estimates the number of subscribers that the firm loses—a concept called “churn.” For each subsequent period, the flowshare model performs the same calculations using the figures from the prior period as a starting point. </w:t>
      </w:r>
      <w:r>
        <w:rPr>
          <w:rFonts w:ascii="Times New Roman" w:hAnsi="Times New Roman"/>
          <w:i/>
          <w:color w:val="000000"/>
          <w:sz w:val="20"/>
        </w:rPr>
        <w:t>See</w:t>
      </w:r>
      <w:r>
        <w:rPr>
          <w:rFonts w:ascii="Times New Roman" w:hAnsi="Times New Roman"/>
          <w:color w:val="000000"/>
          <w:sz w:val="20"/>
        </w:rPr>
        <w:t xml:space="preserve"> Taylor Tr. 738–40; Musey Report at 39. Because it builds on itself, a flowshare calculation can “roll ... forward” indefinitely. Taylor Tr. 739. To convert the model's outputs into a revenue projection, the flowshare model multiplies the number of each type of subscriber by the ARPU for that type of subscriber.</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38" w:name="co_pp_sp_999_35_1"/>
      <w:r>
        <w:rPr>
          <w:rFonts w:ascii="Times New Roman" w:hAnsi="Times New Roman"/>
          <w:b/>
          <w:color w:val="000000"/>
          <w:sz w:val="20"/>
        </w:rPr>
        <w:t>*35</w:t>
      </w:r>
      <w:bookmarkEnd w:id="138"/>
      <w:r>
        <w:rPr>
          <w:rFonts w:ascii="Times New Roman" w:hAnsi="Times New Roman"/>
          <w:color w:val="000000"/>
          <w:sz w:val="20"/>
        </w:rPr>
        <w:t xml:space="preserve"> Two of the starting inputs in the Taylor/PwC flowshare model were unreliable: (i) the number of existing subscribers at the beginning of the initial period, and (ii) the population of the Salem Market at the beginning of the initial period. The starting figures are critical, because each layer of estimation in a flowshare model “is dependent on the accuracy of the estimates preceding it.” Musey Report at 41. In other words, errors in the starting figures compound throughout the model.</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 failed to prove that the flowshare model used a reliable estimate of the number of subscribers at the beginning of the initial period. Taylor and PwC used AT&amp;T's subscriber count for the Partnership, which was equal to the number of AT&amp;T subscribers who had NPA-NXX numbers associated with the Partnership's area. </w:t>
      </w:r>
      <w:r>
        <w:rPr>
          <w:rFonts w:ascii="Times New Roman" w:hAnsi="Times New Roman"/>
          <w:i/>
          <w:color w:val="000000"/>
          <w:sz w:val="20"/>
        </w:rPr>
        <w:t>See</w:t>
      </w:r>
      <w:r>
        <w:rPr>
          <w:rFonts w:ascii="Times New Roman" w:hAnsi="Times New Roman"/>
          <w:color w:val="000000"/>
          <w:sz w:val="20"/>
        </w:rPr>
        <w:t xml:space="preserve"> Taylor Report at 67–68. In the </w:t>
      </w:r>
      <w:r>
        <w:rPr>
          <w:rFonts w:ascii="Times New Roman" w:hAnsi="Times New Roman"/>
          <w:i/>
          <w:color w:val="000000"/>
          <w:sz w:val="20"/>
        </w:rPr>
        <w:t>Salem Contract Decision</w:t>
      </w:r>
      <w:r>
        <w:rPr>
          <w:rFonts w:ascii="Times New Roman" w:hAnsi="Times New Roman"/>
          <w:color w:val="000000"/>
          <w:sz w:val="20"/>
        </w:rPr>
        <w:t xml:space="preserve">, this court found that by the time of the Freeze-Out, NPA-NXX no longer served as a reliable proxy for a subscriber's primary place of use. </w:t>
      </w:r>
      <w:hyperlink r:id="r71">
        <w:r>
          <w:rPr>
            <w:rFonts w:ascii="Times New Roman" w:hAnsi="Times New Roman"/>
            <w:color w:val="000000"/>
            <w:sz w:val="20"/>
          </w:rPr>
          <w:t>2021 WL 4438046, at *10</w:t>
        </w:r>
      </w:hyperlink>
      <w:r>
        <w:rPr>
          <w:rFonts w:ascii="Times New Roman" w:hAnsi="Times New Roman"/>
          <w:color w:val="000000"/>
          <w:sz w:val="20"/>
        </w:rPr>
        <w:t xml:space="preserve">. In this litigation, AT&amp;T could not answer basic questions about the number of AT&amp;T subscribers who resided in the Partnership's service area but used a non-Partnership NPA-NXX number. </w:t>
      </w:r>
      <w:r>
        <w:rPr>
          <w:rFonts w:ascii="Times New Roman" w:hAnsi="Times New Roman"/>
          <w:i/>
          <w:color w:val="000000"/>
          <w:sz w:val="20"/>
        </w:rPr>
        <w:t>Id.</w:t>
      </w:r>
      <w:r>
        <w:rPr>
          <w:rFonts w:ascii="Times New Roman" w:hAnsi="Times New Roman"/>
          <w:color w:val="000000"/>
          <w:sz w:val="20"/>
        </w:rPr>
        <w:t xml:space="preserve"> AT&amp;T could not say whether the subscriber counts were off by 25%, 50%, or even 75%. </w:t>
      </w:r>
      <w:hyperlink r:id="r72">
        <w:r>
          <w:rPr>
            <w:rFonts w:ascii="Times New Roman" w:hAnsi="Times New Roman"/>
            <w:i/>
            <w:color w:val="000000"/>
            <w:sz w:val="20"/>
          </w:rPr>
          <w:t>Id.</w:t>
        </w:r>
        <w:r>
          <w:rPr>
            <w:rFonts w:ascii="Times New Roman" w:hAnsi="Times New Roman"/>
            <w:color w:val="000000"/>
            <w:sz w:val="20"/>
          </w:rPr>
          <w:t xml:space="preserve"> at *79</w:t>
        </w:r>
      </w:hyperlink>
      <w:r>
        <w:rPr>
          <w:rFonts w:ascii="Times New Roman" w:hAnsi="Times New Roman"/>
          <w:color w:val="000000"/>
          <w:sz w:val="20"/>
        </w:rPr>
        <w:t xml:space="preserve">. Assuming the subscriber count was 75% lower than it should have been, then a traffic-based allocation would have resulted in four times as much revenue going to the Partnership. </w:t>
      </w:r>
      <w:r>
        <w:rPr>
          <w:rFonts w:ascii="Times New Roman" w:hAnsi="Times New Roman"/>
          <w:i/>
          <w:color w:val="000000"/>
          <w:sz w:val="20"/>
        </w:rPr>
        <w:t>Id.</w:t>
      </w:r>
      <w:r>
        <w:rPr>
          <w:rFonts w:ascii="Times New Roman" w:hAnsi="Times New Roman"/>
          <w:color w:val="000000"/>
          <w:sz w:val="20"/>
        </w:rPr>
        <w:t xml:space="preserve"> Taylor acknowledged the lack of reliability in the NPA-NXX counts by conceding that “[t]he financial impact of using NPA-NXX to attribute subscribers to a Partnership cannot be readily determined.” Taylor Report at 68. The lack of reliability in the NPA-NXX system renders the flowshare model unreliable.</w:t>
      </w:r>
      <w:bookmarkStart w:id="139" w:name="co_fnRef_B00262055700832_ID0EKGCK_1"/>
      <w:hyperlink w:anchor="co_footnote_B00262055700832_1">
        <w:r>
          <w:rPr>
            <w:rFonts w:ascii="Times New Roman" w:hAnsi="Times New Roman"/>
            <w:color w:val="000000"/>
            <w:sz w:val="16"/>
            <w:vertAlign w:val="superscript"/>
          </w:rPr>
          <w:t>26</w:t>
        </w:r>
      </w:hyperlink>
      <w:bookmarkEnd w:id="139"/>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40" w:name="co_pp_sp_999_36_1"/>
      <w:r>
        <w:rPr>
          <w:rFonts w:ascii="Times New Roman" w:hAnsi="Times New Roman"/>
          <w:b/>
          <w:color w:val="000000"/>
          <w:sz w:val="20"/>
        </w:rPr>
        <w:t>*36</w:t>
      </w:r>
      <w:bookmarkEnd w:id="140"/>
      <w:r>
        <w:rPr>
          <w:rFonts w:ascii="Times New Roman" w:hAnsi="Times New Roman"/>
          <w:color w:val="000000"/>
          <w:sz w:val="20"/>
        </w:rPr>
        <w:t xml:space="preserve"> AT&amp;T also failed to prove that the flowshare model started with a reliable estimate of the population of the Salem Market. Taylor adopted PwC's figure of 387,965 people. Taylor then grew the population of the Salem Market using PwC's annual population growth rate of 1.5%. JX 3530, “Salem Subs Build” tab.</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PwC obtained its population estimate from AT&amp;T management. </w:t>
      </w:r>
      <w:r>
        <w:rPr>
          <w:rFonts w:ascii="Times New Roman" w:hAnsi="Times New Roman"/>
          <w:i/>
          <w:color w:val="000000"/>
          <w:sz w:val="20"/>
        </w:rPr>
        <w:t>See</w:t>
      </w:r>
      <w:r>
        <w:rPr>
          <w:rFonts w:ascii="Times New Roman" w:hAnsi="Times New Roman"/>
          <w:color w:val="000000"/>
          <w:sz w:val="20"/>
        </w:rPr>
        <w:t xml:space="preserve"> JX 1209 at ’031. PwC had data from the United States Census Bureau (the “Census Bureau”) indicating that the population of the Salem Market was 396,103 people, not 387,965. </w:t>
      </w:r>
      <w:r>
        <w:rPr>
          <w:rFonts w:ascii="Times New Roman" w:hAnsi="Times New Roman"/>
          <w:i/>
          <w:color w:val="000000"/>
          <w:sz w:val="20"/>
        </w:rPr>
        <w:t>See id.</w:t>
      </w:r>
      <w:r>
        <w:rPr>
          <w:rFonts w:ascii="Times New Roman" w:hAnsi="Times New Roman"/>
          <w:color w:val="000000"/>
          <w:sz w:val="20"/>
        </w:rPr>
        <w:t xml:space="preserve"> at ’206. PwC consulted with AT&amp;T about the divergence, and AT&amp;T claimed that the Census Bureau's measuring area did “not precisely match [the Partnership's] coverage area.” </w:t>
      </w:r>
      <w:r>
        <w:rPr>
          <w:rFonts w:ascii="Times New Roman" w:hAnsi="Times New Roman"/>
          <w:i/>
          <w:color w:val="000000"/>
          <w:sz w:val="20"/>
        </w:rPr>
        <w:t>Id.</w:t>
      </w:r>
      <w:r>
        <w:rPr>
          <w:rFonts w:ascii="Times New Roman" w:hAnsi="Times New Roman"/>
          <w:color w:val="000000"/>
          <w:sz w:val="20"/>
        </w:rPr>
        <w:t xml:space="preserve"> at ’031 &amp; n.1. PwC turned to Census Bureau survey data from 2006 to 2008 to corroborate AT&amp;T's estimate, which PwC ultimately used. </w:t>
      </w:r>
      <w:r>
        <w:rPr>
          <w:rFonts w:ascii="Times New Roman" w:hAnsi="Times New Roman"/>
          <w:i/>
          <w:color w:val="000000"/>
          <w:sz w:val="20"/>
        </w:rPr>
        <w:t>See id.</w:t>
      </w:r>
      <w:r>
        <w:rPr>
          <w:rFonts w:ascii="Times New Roman" w:hAnsi="Times New Roman"/>
          <w:color w:val="000000"/>
          <w:sz w:val="20"/>
        </w:rPr>
        <w:t xml:space="preserve"> at ’112.</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evidence shows that AT&amp;T provided PwC with data for the wrong area. The Partnership was licensed to provide wireless services in the Salem, Oregon metropolitan statistical area, consisting of Marion County and Polk County. </w:t>
      </w:r>
      <w:r>
        <w:rPr>
          <w:rFonts w:ascii="Times New Roman" w:hAnsi="Times New Roman"/>
          <w:i/>
          <w:color w:val="000000"/>
          <w:sz w:val="20"/>
        </w:rPr>
        <w:t>See</w:t>
      </w:r>
      <w:r>
        <w:rPr>
          <w:rFonts w:ascii="Times New Roman" w:hAnsi="Times New Roman"/>
          <w:color w:val="000000"/>
          <w:sz w:val="20"/>
        </w:rPr>
        <w:t xml:space="preserve"> PA at ’415; MNSA at ’748–49; Common Carrier Public Mobile Services Information, Rep. No. CL-92-40</w:t>
      </w:r>
      <w:r>
        <w:rPr>
          <w:rFonts w:ascii="Times New Roman" w:hAnsi="Times New Roman"/>
          <w:color w:val="000000"/>
          <w:sz w:val="20"/>
        </w:rPr>
        <w:t xml:space="preserve">, 7 FCC Rcd. 742, 752 (Jan. 24, 1992). AT&amp;T provided PwC with the population of a different FCC designation—the Cellular Geographical Service Area (“CGSA”). Musey Report at 49. By 2009, the CGSA was outdated. </w:t>
      </w:r>
      <w:r>
        <w:rPr>
          <w:rFonts w:ascii="Times New Roman" w:hAnsi="Times New Roman"/>
          <w:i/>
          <w:color w:val="000000"/>
          <w:sz w:val="20"/>
        </w:rPr>
        <w:t>See id.</w:t>
      </w:r>
      <w:r>
        <w:rPr>
          <w:rFonts w:ascii="Times New Roman" w:hAnsi="Times New Roman"/>
          <w:color w:val="000000"/>
          <w:sz w:val="20"/>
        </w:rPr>
        <w:t xml:space="preserve"> at 50. The proper metric was the Salem metropolitan statistical area. </w:t>
      </w:r>
      <w:r>
        <w:rPr>
          <w:rFonts w:ascii="Times New Roman" w:hAnsi="Times New Roman"/>
          <w:i/>
          <w:color w:val="000000"/>
          <w:sz w:val="20"/>
        </w:rPr>
        <w:t>See id.</w:t>
      </w:r>
      <w:r>
        <w:rPr>
          <w:rFonts w:ascii="Times New Roman" w:hAnsi="Times New Roman"/>
          <w:color w:val="000000"/>
          <w:sz w:val="20"/>
        </w:rPr>
        <w:t xml:space="preserve"> Taylor thus started with an erroneous population estimate, and that error persisted and compounded throughout her calculations.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 also failed to prove that Taylor used a reliable churn estimate. Taylor adopted PwC's figure. PwC lacked confidence in its estimate, noting in its report that “[l]imitations on available data (specifically, market churn by type for wireless providers in the region) did not permit, in our view, a reliable analysis at this level.” JX 1209 at ’052. PwC claimed that it used data from the Partnership about its historical levels of churn combined with data from AT&amp;T about historical levels of churn for AT&amp;T and its competitors in the Portland-Salem market area. </w:t>
      </w:r>
      <w:r>
        <w:rPr>
          <w:rFonts w:ascii="Times New Roman" w:hAnsi="Times New Roman"/>
          <w:i/>
          <w:color w:val="000000"/>
          <w:sz w:val="20"/>
        </w:rPr>
        <w:t>See id.</w:t>
      </w:r>
      <w:r>
        <w:rPr>
          <w:rFonts w:ascii="Times New Roman" w:hAnsi="Times New Roman"/>
          <w:color w:val="000000"/>
          <w:sz w:val="20"/>
        </w:rPr>
        <w:t xml:space="preserve"> at ’028, ’052–53; Gilcreast Dep. 169. PwC also took into account national churn estimates for AT&amp;T's competitors. JX 1209 at ’052. Based on its analysis, PwC used a monthly churn rate for the Partnership of 1.79%, significantly higher than both AT&amp;T's national average of 1.48% and AT&amp;T's churn rate of 0.98% in the Portland-Salem market area. </w:t>
      </w:r>
      <w:r>
        <w:rPr>
          <w:rFonts w:ascii="Times New Roman" w:hAnsi="Times New Roman"/>
          <w:i/>
          <w:color w:val="000000"/>
          <w:sz w:val="20"/>
        </w:rPr>
        <w:t>See id.</w:t>
      </w:r>
      <w:r>
        <w:rPr>
          <w:rFonts w:ascii="Times New Roman" w:hAnsi="Times New Roman"/>
          <w:color w:val="000000"/>
          <w:sz w:val="20"/>
        </w:rPr>
        <w:t xml:space="preserve"> at ’033–34, ’052–53; JX 1215, “Inputs” tab, Cell G105. PwC suggested that it projected future churn rates based on AT&amp;T's national churn rates, with the only logical source being the Ten-Year Plan. </w:t>
      </w:r>
      <w:r>
        <w:rPr>
          <w:rFonts w:ascii="Times New Roman" w:hAnsi="Times New Roman"/>
          <w:i/>
          <w:color w:val="000000"/>
          <w:sz w:val="20"/>
        </w:rPr>
        <w:t>See</w:t>
      </w:r>
      <w:r>
        <w:rPr>
          <w:rFonts w:ascii="Times New Roman" w:hAnsi="Times New Roman"/>
          <w:color w:val="000000"/>
          <w:sz w:val="20"/>
        </w:rPr>
        <w:t xml:space="preserve"> JX 1209 at ’053. </w:t>
      </w:r>
      <w:r>
        <w:rPr>
          <w:rFonts w:ascii="Times New Roman" w:hAnsi="Times New Roman"/>
          <w:i/>
          <w:color w:val="000000"/>
          <w:sz w:val="20"/>
        </w:rPr>
        <w:t>Compare</w:t>
      </w:r>
      <w:r>
        <w:rPr>
          <w:rFonts w:ascii="Times New Roman" w:hAnsi="Times New Roman"/>
          <w:color w:val="000000"/>
          <w:sz w:val="20"/>
        </w:rPr>
        <w:t xml:space="preserve"> JX 725, “Subscriber Funnel” tab, Row 126 (Ten-Year Plan), </w:t>
      </w:r>
      <w:r>
        <w:rPr>
          <w:rFonts w:ascii="Times New Roman" w:hAnsi="Times New Roman"/>
          <w:i/>
          <w:color w:val="000000"/>
          <w:sz w:val="20"/>
        </w:rPr>
        <w:t>with</w:t>
      </w:r>
      <w:r>
        <w:rPr>
          <w:rFonts w:ascii="Times New Roman" w:hAnsi="Times New Roman"/>
          <w:color w:val="000000"/>
          <w:sz w:val="20"/>
        </w:rPr>
        <w:t xml:space="preserve"> JX 1215, “Inputs” tab, Row 101 (identical numbers in PwC model). But the forecasted churn rates for the Partnership do not correspond to the forecasted churn rates in the Ten-Year Plan. The Ten-Year Plan projected that national churn would decrease from 1.39% to 1.26%, for a compound annual growth rate (“CAGR”) of -1.09%. During the same period, PwC forecasted that the Partnership's churn would decrease much more slowly—from 1.79% to 1.7%, for a CAGR of only -0.57%. The Partnership inputs do not result from a formula; they appear to have been hard coded. </w:t>
      </w:r>
      <w:r>
        <w:rPr>
          <w:rFonts w:ascii="Times New Roman" w:hAnsi="Times New Roman"/>
          <w:i/>
          <w:color w:val="000000"/>
          <w:sz w:val="20"/>
        </w:rPr>
        <w:t>See</w:t>
      </w:r>
      <w:r>
        <w:rPr>
          <w:rFonts w:ascii="Times New Roman" w:hAnsi="Times New Roman"/>
          <w:color w:val="000000"/>
          <w:sz w:val="20"/>
        </w:rPr>
        <w:t xml:space="preserve"> JX 1215, “Inputs” tab, row 107. No one provided a convincing explanation for the Partnership's significantly higher churn rates.</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41" w:name="co_pp_sp_999_37_1"/>
      <w:r>
        <w:rPr>
          <w:rFonts w:ascii="Times New Roman" w:hAnsi="Times New Roman"/>
          <w:b/>
          <w:color w:val="000000"/>
          <w:sz w:val="20"/>
        </w:rPr>
        <w:t>*37</w:t>
      </w:r>
      <w:bookmarkEnd w:id="141"/>
      <w:r>
        <w:rPr>
          <w:rFonts w:ascii="Times New Roman" w:hAnsi="Times New Roman"/>
          <w:color w:val="000000"/>
          <w:sz w:val="20"/>
        </w:rPr>
        <w:t xml:space="preserve"> To backfill for PwC, Taylor had one of her associates interview an AT&amp;T employee named Vinay Gaddamanugu, who claimed that AT&amp;T used a system called “SMARTFlow” to track churn rates. Taylor Rebuttal Report at 36. Taylor relied on this unsworn statement to argue that PwC's estimate was appropriate. </w:t>
      </w:r>
      <w:r>
        <w:rPr>
          <w:rFonts w:ascii="Times New Roman" w:hAnsi="Times New Roman"/>
          <w:i/>
          <w:color w:val="000000"/>
          <w:sz w:val="20"/>
        </w:rPr>
        <w:t>Id.</w:t>
      </w:r>
      <w:r>
        <w:rPr>
          <w:rFonts w:ascii="Times New Roman" w:hAnsi="Times New Roman"/>
          <w:color w:val="000000"/>
          <w:sz w:val="20"/>
        </w:rPr>
        <w:t xml:space="preserve"> at 36–37. As an expert, Taylor could rely on her associate's conversation with Gaddamanugu. </w:t>
      </w:r>
      <w:r>
        <w:rPr>
          <w:rFonts w:ascii="Times New Roman" w:hAnsi="Times New Roman"/>
          <w:i/>
          <w:color w:val="000000"/>
          <w:sz w:val="20"/>
        </w:rPr>
        <w:t>See</w:t>
      </w:r>
      <w:r>
        <w:rPr>
          <w:rFonts w:ascii="Times New Roman" w:hAnsi="Times New Roman"/>
          <w:color w:val="000000"/>
          <w:sz w:val="20"/>
        </w:rPr>
        <w:t xml:space="preserve"> </w:t>
      </w:r>
      <w:hyperlink r:id="r73">
        <w:r>
          <w:rPr>
            <w:rFonts w:ascii="Times New Roman" w:hAnsi="Times New Roman"/>
            <w:color w:val="000000"/>
            <w:sz w:val="20"/>
          </w:rPr>
          <w:t>D.R.E. 703</w:t>
        </w:r>
      </w:hyperlink>
      <w:r>
        <w:rPr>
          <w:rFonts w:ascii="Times New Roman" w:hAnsi="Times New Roman"/>
          <w:color w:val="000000"/>
          <w:sz w:val="20"/>
        </w:rPr>
        <w:t>. The court, however, will give this aspect of Taylor's opinion little weight. AT&amp;T previously designated Wages, not Gaddamanugu, as its Rule 30(b)(6) witness on the subjects of how AT&amp;T tracked subscribers. Wages 2019 Dep. 54–55, 335–44. AT&amp;T could and should have produced Gaddamanugu as its Rule 30(b)(6) witness or called him at trial, if he was indeed the appropriate person to address this topic. Taylor's understanding of her associate's conversation with Gaddamanugu does not save PwC's otherwise unreliable churn estimate.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errors discussed up to this point affect the number of Partnership subscribers that the flowshare model forecasts for each year. Converting those numbers into revenue projections requires an estimate of revenue that each subscriber generates. </w:t>
      </w:r>
      <w:r>
        <w:rPr>
          <w:rFonts w:ascii="Times New Roman" w:hAnsi="Times New Roman"/>
          <w:color w:val="000000"/>
          <w:sz w:val="20"/>
        </w:rPr>
        <w:t>To reiterate, the industry metric for this input is ARPU, an acronym for average revenue per user. Different types of subscribers generate different levels of ARPU. Postpaid subscribers, who pay at the end of a billing cycle based on actual usage, generate the highest ARPU. Reseller subscribers, who are customers of third party resellers who purchase network usage from AT&amp;T in bulk, generate the lowest ARPU. Prepaid subscribers, who pay in advance for a preset level of usage, generate lower ARPU than postpaid subscribers and higher ARPU than reseller subscribers.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flowshare model projected subscriber counts for a 9.25 year period. To calculate ARPUs, the model started by dividing the Partnership's 2010 subscriber revenue by its average number of subscribers in 2010, generating an ARPU for the Partnership of $45.68 (the “Base Partnership ARPU”). Taylor Report at 77; JX 3530, “Salem Revenue Build” tab, Cell M29. The model used the Base Partnership ARPU as the starting point for its ARPU projections.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To estimate how ARPU would grow over time, the model performed a complicated calculation involving AT&amp;T's national ARPUs, AT&amp;T's projected national growth rates, and the Partnership's subscriber mix for each year. The model started with AT&amp;T's national ARPU figures in 2010 for each type of subscriber, then used the Partnership's mix of subscribers in 2010 to calculate a weighted-average ARPU that the Partnership would have had if the Partnership generated ARPU at AT&amp;T's national rates (the “Implied National ARPU”). For 2010, the Partnership's Implied National ARPU was $49.92. The model then used AT&amp;T's projections for growth in ARPU of each subscriber type to calculate new ARPUs for the subsequent year. Using the projected subscriber mix from 2010, the model then calculated a new Implied National ARPU for the Partnership. For 2011, the new Implied National ARPU was $50.52. To derive a growth rate, the model compared the two Implied National ARPUs, resulting in a growth rate of 1.2% from 2010 to 2011. The model then applied that growth rate to the Base Partnership ARPU, resulting in a Partnership ARPU for 2011 of $46.23.</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These calculations effectively meant that the Partnership's ARPUs for its subscribers would always remain below AT&amp;T's National ARPUs. Because the model used national ARPU growth rates to adjust the Partnership's ARPU, the Partnership could never increase its ARPU by more than AT&amp;T.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Taylor could not provide a persuasive explanation for why the Partnership's weighted average ARPU would lag perpetually behind AT&amp;T's. </w:t>
      </w:r>
      <w:r>
        <w:rPr>
          <w:rFonts w:ascii="Times New Roman" w:hAnsi="Times New Roman"/>
          <w:i/>
          <w:color w:val="000000"/>
          <w:sz w:val="20"/>
        </w:rPr>
        <w:t>See</w:t>
      </w:r>
      <w:r>
        <w:rPr>
          <w:rFonts w:ascii="Times New Roman" w:hAnsi="Times New Roman"/>
          <w:color w:val="000000"/>
          <w:sz w:val="20"/>
        </w:rPr>
        <w:t xml:space="preserve"> Taylor Tr. 931–33. AT&amp;T set its rate and pricing plans on a nationwide basis to serve all of AT&amp;T's subscribers. Wages Tr. 331–32; JX 3597 at ’116. At a minimum, the Partnership's ARPUs should have converged towards AT&amp;T's.</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42" w:name="co_pp_sp_999_38_1"/>
      <w:r>
        <w:rPr>
          <w:rFonts w:ascii="Times New Roman" w:hAnsi="Times New Roman"/>
          <w:b/>
          <w:color w:val="000000"/>
          <w:sz w:val="20"/>
        </w:rPr>
        <w:t>*38</w:t>
      </w:r>
      <w:bookmarkEnd w:id="142"/>
      <w:r>
        <w:rPr>
          <w:rFonts w:ascii="Times New Roman" w:hAnsi="Times New Roman"/>
          <w:color w:val="000000"/>
          <w:sz w:val="20"/>
        </w:rPr>
        <w:t xml:space="preserve"> The source of the critical assumptions about the growth of weighted-average ARPUs appears to be a conversation that PwC had with Gopalan, who suggested that growth in ARPUs would generally follow AT&amp;T's overall trend. </w:t>
      </w:r>
      <w:r>
        <w:rPr>
          <w:rFonts w:ascii="Times New Roman" w:hAnsi="Times New Roman"/>
          <w:i/>
          <w:color w:val="000000"/>
          <w:sz w:val="20"/>
        </w:rPr>
        <w:t>See</w:t>
      </w:r>
      <w:r>
        <w:rPr>
          <w:rFonts w:ascii="Times New Roman" w:hAnsi="Times New Roman"/>
          <w:color w:val="000000"/>
          <w:sz w:val="20"/>
        </w:rPr>
        <w:t xml:space="preserve"> JX 1209 at ’053–54, ’213. PwC then operationalized this general comment using the complex calculations in the flowshare model, which fixed the Partnership's subscriber mix as of 2010 and locked the Partnership into a lagging position relative to AT&amp;T. PwC's valuation report does not suggest that PwC conducted any independent analysis of the reasonableness of the ARPU assumptions. PwC noted that Leap Wireless and MetroPCS competed in the Salem Market, which in theory might have led the Partnership to charge lower rates and depress ARPU. </w:t>
      </w:r>
      <w:r>
        <w:rPr>
          <w:rFonts w:ascii="Times New Roman" w:hAnsi="Times New Roman"/>
          <w:color w:val="000000"/>
          <w:sz w:val="20"/>
        </w:rPr>
        <w:t xml:space="preserve">JX 1209 at ’211. But Leap Wireless and MetroPCS competed in many other AT&amp;T markets, </w:t>
      </w:r>
      <w:r>
        <w:rPr>
          <w:rFonts w:ascii="Times New Roman" w:hAnsi="Times New Roman"/>
          <w:i/>
          <w:color w:val="000000"/>
          <w:sz w:val="20"/>
        </w:rPr>
        <w:t>see id.</w:t>
      </w:r>
      <w:r>
        <w:rPr>
          <w:rFonts w:ascii="Times New Roman" w:hAnsi="Times New Roman"/>
          <w:color w:val="000000"/>
          <w:sz w:val="20"/>
        </w:rPr>
        <w:t xml:space="preserve"> at ’033, and as noted, AT&amp;T priced its plans nationally.</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 failed to prove that the ARPU estimates for the Partnership were reliable. AT&amp;T long ago had shifted toward nationwide plans, making it likely that ARPUs would converge and become relatively uniform across markets. Even if the Partnership started out at a lower level of ARPU, it was not reasonable to assume that the Partnership would lag AT&amp;T by a fixed margin indefinitely.</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 also failed to prove that PwC's and Taylor's projections for changes in subscriber mix were reliable. PwC and Taylor adopted two different approaches to project subscriber mix. Neither was reasonable.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PwC's model projected that the Partnership's subscriber mix would remain the same as it stood in 2010. In 2010, the Partnership had a less lucrative subscriber mix than AT&amp;T as a whole, resulting in a lower weighted average ARPU. PwC's approach effectively locked in the Partnership to an inferior position relative to AT&amp;T. That choice compounded the negative effect of using the Partnership's lower 2010 ARPUs to create a weighted average ARPU, then grow it at the rate AT&amp;T projected for its national business. In reality, AT&amp;T projected that its overall subscriber mix would become more favorable over time, with an increasing share of higher-valued postpaid subscribers and a decreasing share of lower-valued reseller subscribers. </w:t>
      </w:r>
      <w:r>
        <w:rPr>
          <w:rFonts w:ascii="Times New Roman" w:hAnsi="Times New Roman"/>
          <w:i/>
          <w:color w:val="000000"/>
          <w:sz w:val="20"/>
        </w:rPr>
        <w:t>See</w:t>
      </w:r>
      <w:r>
        <w:rPr>
          <w:rFonts w:ascii="Times New Roman" w:hAnsi="Times New Roman"/>
          <w:color w:val="000000"/>
          <w:sz w:val="20"/>
        </w:rPr>
        <w:t xml:space="preserve"> JX 725, “Subscriber Report” tab; JX 1132, “Subscribers” tab.</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Taylor tweaked PwC's model by making changes that were modestly more favorable to the Partnership. She projected that the share of the reseller subscribers, which had the lowest ARPU, would decrease from 18.4% to 14.5% during the discrete projection period. And she projected that the share of prepaid subscribers, which had higher ARPU, would increase from 4.4% to 7.6%. Finally, she projected that the share of postpaid subscribers, which had the highest ARPU, would increase from 77.3% to 77.9%. JX 3530, “Salem Subs Build” tab, Rows 32:34.</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Taylor's tweaks blunted some of the unfavorable inputs that PwC used, but they only went part of the way. Even after Taylor's tweaks, the Partnership's subscriber mix and ARPUs remained meaningfully less favorable than what AT&amp;T was forecasting. For example, AT&amp;T projected that the share of postpaid subscribers in its national business would increase at a CAGR of 0.29% between 2010 and 2019, while Taylor projected that same metric for the Partnership would increase at a CAGR of 0.09%. </w:t>
      </w:r>
      <w:r>
        <w:rPr>
          <w:rFonts w:ascii="Times New Roman" w:hAnsi="Times New Roman"/>
          <w:i/>
          <w:color w:val="000000"/>
          <w:sz w:val="20"/>
        </w:rPr>
        <w:t>Compare</w:t>
      </w:r>
      <w:r>
        <w:rPr>
          <w:rFonts w:ascii="Times New Roman" w:hAnsi="Times New Roman"/>
          <w:color w:val="000000"/>
          <w:sz w:val="20"/>
        </w:rPr>
        <w:t xml:space="preserve"> JX 1132, “Subscribers” tab, Row 22, </w:t>
      </w:r>
      <w:r>
        <w:rPr>
          <w:rFonts w:ascii="Times New Roman" w:hAnsi="Times New Roman"/>
          <w:i/>
          <w:color w:val="000000"/>
          <w:sz w:val="20"/>
        </w:rPr>
        <w:t>with</w:t>
      </w:r>
      <w:r>
        <w:rPr>
          <w:rFonts w:ascii="Times New Roman" w:hAnsi="Times New Roman"/>
          <w:color w:val="000000"/>
          <w:sz w:val="20"/>
        </w:rPr>
        <w:t xml:space="preserve"> JX 3530, “Salem Subs Build” tab, Row 32. AT&amp;T also projected that the share of both prepaid and reseller subscribers would decrease. In Taylor's model, the two categories offset each other. Taylor did not provide a convincing explanation for her changes. They appeared designed to make her version of the flowshare model a little more favorable to the Partnership than PwC's, while not resulting in any big changes that would meaningfully affect valuation. Taylor claimed that she derived the trends in subscriber mix by “trending the last four years of data” for the Partnership. </w:t>
      </w:r>
      <w:r>
        <w:rPr>
          <w:rFonts w:ascii="Times New Roman" w:hAnsi="Times New Roman"/>
          <w:i/>
          <w:color w:val="000000"/>
          <w:sz w:val="20"/>
        </w:rPr>
        <w:t>See</w:t>
      </w:r>
      <w:r>
        <w:rPr>
          <w:rFonts w:ascii="Times New Roman" w:hAnsi="Times New Roman"/>
          <w:color w:val="000000"/>
          <w:sz w:val="20"/>
        </w:rPr>
        <w:t xml:space="preserve"> Taylor Tr. 935–37. But they do not actually reflect the trends in the Partnership's subscriber mix during that period.</w:t>
      </w:r>
      <w:bookmarkStart w:id="143" w:name="co_fnRef_B00272055700832_ID0EW4CK_1"/>
      <w:hyperlink w:anchor="co_footnote_B00272055700832_1">
        <w:r>
          <w:rPr>
            <w:rFonts w:ascii="Times New Roman" w:hAnsi="Times New Roman"/>
            <w:color w:val="000000"/>
            <w:sz w:val="16"/>
            <w:vertAlign w:val="superscript"/>
          </w:rPr>
          <w:t>27</w:t>
        </w:r>
      </w:hyperlink>
      <w:bookmarkEnd w:id="143"/>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44" w:name="co_pp_sp_999_39_1"/>
      <w:r>
        <w:rPr>
          <w:rFonts w:ascii="Times New Roman" w:hAnsi="Times New Roman"/>
          <w:b/>
          <w:color w:val="000000"/>
          <w:sz w:val="20"/>
        </w:rPr>
        <w:t>*39</w:t>
      </w:r>
      <w:bookmarkEnd w:id="144"/>
      <w:r>
        <w:rPr>
          <w:rFonts w:ascii="Times New Roman" w:hAnsi="Times New Roman"/>
          <w:color w:val="000000"/>
          <w:sz w:val="20"/>
        </w:rPr>
        <w:t xml:space="preserve"> For all of these reasons, AT&amp;T failed to show that the flowshare operated reliably. The flowshare model drove the cash flow projections that PwC and Taylor used in their DCF analysis. </w:t>
      </w:r>
      <w:r>
        <w:rPr>
          <w:rFonts w:ascii="Times New Roman" w:hAnsi="Times New Roman"/>
          <w:color w:val="000000"/>
          <w:sz w:val="20"/>
        </w:rPr>
        <w:t>Those do not provide persuasive evidence that the Freeze-Out price was fair.</w:t>
      </w:r>
    </w:p>
    <w:p>
      <w:pPr>
        <w:spacing w:before="0" w:after="0" w:line="275" w:lineRule="atLeast"/>
        <w:jc w:val="both"/>
      </w:pPr>
      <w:r>
        <w:rPr>
          <w:rFonts w:ascii="Times New Roman" w:hAnsi="Times New Roman"/>
          <w:color w:val="000000"/>
          <w:sz w:val="20"/>
        </w:rPr>
        <w:t> </w:t>
      </w:r>
    </w:p>
    <w:bookmarkStart w:id="145" w:name="co_anchor_I8f170681ace211ec8c80dd32e620"/>
    <w:p>
      <w:pPr>
        <w:spacing w:before="400" w:after="0" w:line="275" w:lineRule="atLeast"/>
        <w:jc w:val="center"/>
      </w:pPr>
      <w:r>
        <w:rPr>
          <w:rFonts w:ascii="Times New Roman" w:hAnsi="Times New Roman"/>
          <w:b/>
          <w:color w:val="000000"/>
          <w:sz w:val="20"/>
        </w:rPr>
        <w:t>b. Other Problems With The Cash Flow Projections</w:t>
      </w:r>
    </w:p>
    <w:bookmarkEnd w:id="145"/>
    <w:p>
      <w:pPr>
        <w:spacing w:before="200" w:after="0" w:line="275" w:lineRule="atLeast"/>
        <w:jc w:val="both"/>
      </w:pPr>
      <w:r>
        <w:rPr>
          <w:rFonts w:ascii="Times New Roman" w:hAnsi="Times New Roman"/>
          <w:color w:val="000000"/>
          <w:sz w:val="20"/>
        </w:rPr>
        <w:t>In addition to the defects resulting from the flowshare model, the cash flow projections that PwC and Taylor used failed to account for Connected Devices. Although AT&amp;T had not yet started to generate significant revenue from Connected Devices, AT&amp;T was projecting major growth in that area. By failing to account for Connected Devices, PwC and Taylor undervalued the Partnership.</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PwC did not include any meaningful value for Connected Devices. PwC asked AT&amp;T about its projections for Connected Devices. </w:t>
      </w:r>
      <w:r>
        <w:rPr>
          <w:rFonts w:ascii="Times New Roman" w:hAnsi="Times New Roman"/>
          <w:i/>
          <w:color w:val="000000"/>
          <w:sz w:val="20"/>
        </w:rPr>
        <w:t>See</w:t>
      </w:r>
      <w:r>
        <w:rPr>
          <w:rFonts w:ascii="Times New Roman" w:hAnsi="Times New Roman"/>
          <w:color w:val="000000"/>
          <w:sz w:val="20"/>
        </w:rPr>
        <w:t xml:space="preserve"> JX 850; JX 867 at ’251. Teske agreed that the information was worth considering, but he declined to provide it because AT&amp;T did not want the Freeze-Out to be delayed. JX 867 at ’251.</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Taylor also did not include meaningful cash flow projections for Connected Devices. Like PwC, she used the 2009 version of the Ten-Year Plan, which blended Connected Devices with other types of subscribers. Taylor Report at 78 n.201. She claimed that to break out Connected Devices separately, she would have had to make difficult adjustments to the “subscriber ARPU, penetration, gross adds, and average subscribers.” Taylor Report at 45.</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Taylor's approach was not persuasive. At the time of the Freeze-Out, there were two principal types of Connected Devices: “those with NPA-NXX numbers (usually for consumers) and those without (usually for enterprise users).” Musey Report at 61. The 2009 version of the Ten-Year Plan accounted for devices with NPA-NXX numbers, but not for Connected Devices without NPA-NXX numbers. </w:t>
      </w:r>
      <w:r>
        <w:rPr>
          <w:rFonts w:ascii="Times New Roman" w:hAnsi="Times New Roman"/>
          <w:i/>
          <w:color w:val="000000"/>
          <w:sz w:val="20"/>
        </w:rPr>
        <w:t>See</w:t>
      </w:r>
      <w:r>
        <w:rPr>
          <w:rFonts w:ascii="Times New Roman" w:hAnsi="Times New Roman"/>
          <w:color w:val="000000"/>
          <w:sz w:val="20"/>
        </w:rPr>
        <w:t xml:space="preserve"> JX 838 at ’555. And AT&amp;T did not attribute revenue from Connected Devices without NPA-NXX numbers to market-level entities like the Partnership. Wages Tr. 402. This court found in the </w:t>
      </w:r>
      <w:r>
        <w:rPr>
          <w:rFonts w:ascii="Times New Roman" w:hAnsi="Times New Roman"/>
          <w:i/>
          <w:color w:val="000000"/>
          <w:sz w:val="20"/>
        </w:rPr>
        <w:t>Salem Contract Decision</w:t>
      </w:r>
      <w:r>
        <w:rPr>
          <w:rFonts w:ascii="Times New Roman" w:hAnsi="Times New Roman"/>
          <w:color w:val="000000"/>
          <w:sz w:val="20"/>
        </w:rPr>
        <w:t xml:space="preserve"> that before AT&amp;T adopted the kilobyte-fee method in July 2010, AT&amp;T “had the capability to track data usage” for Connected Devices without NPA-NXX numbers, but “simply chose not to do so.” </w:t>
      </w:r>
      <w:hyperlink r:id="r74">
        <w:r>
          <w:rPr>
            <w:rFonts w:ascii="Times New Roman" w:hAnsi="Times New Roman"/>
            <w:color w:val="000000"/>
            <w:sz w:val="20"/>
          </w:rPr>
          <w:t>2021 WL 4438046, at *56–57</w:t>
        </w:r>
      </w:hyperlink>
      <w:r>
        <w:rPr>
          <w:rFonts w:ascii="Times New Roman" w:hAnsi="Times New Roman"/>
          <w:color w:val="000000"/>
          <w:sz w:val="20"/>
        </w:rPr>
        <w:t>. Because her analysis was based on the 2009 version of the Ten-Year Plan, Taylor's cash flow projections did not capture the value of those subscribers.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Taylor thus failed to include a segment of Connected Device subscribers that AT&amp;T expected to grow rapidly. </w:t>
      </w:r>
      <w:r>
        <w:rPr>
          <w:rFonts w:ascii="Times New Roman" w:hAnsi="Times New Roman"/>
          <w:i/>
          <w:color w:val="000000"/>
          <w:sz w:val="20"/>
        </w:rPr>
        <w:t>See</w:t>
      </w:r>
      <w:r>
        <w:rPr>
          <w:rFonts w:ascii="Times New Roman" w:hAnsi="Times New Roman"/>
          <w:color w:val="000000"/>
          <w:sz w:val="20"/>
        </w:rPr>
        <w:t xml:space="preserve"> Taylor Report at 8. The Ten-Year Plan projected a total of 53 million Connected Devices by 2019, encompassing both Connected Devices with NPA-NXX numbers and those covered by Commercial Network Agreements. </w:t>
      </w:r>
      <w:r>
        <w:rPr>
          <w:rFonts w:ascii="Times New Roman" w:hAnsi="Times New Roman"/>
          <w:i/>
          <w:color w:val="000000"/>
          <w:sz w:val="20"/>
        </w:rPr>
        <w:t>Id.</w:t>
      </w:r>
      <w:r>
        <w:rPr>
          <w:rFonts w:ascii="Times New Roman" w:hAnsi="Times New Roman"/>
          <w:color w:val="000000"/>
          <w:sz w:val="20"/>
        </w:rPr>
        <w:t xml:space="preserve"> at 61. That figure reflected the addition of approximately 23 million Connected Devices.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 valuation of the Partnership needed to incorporate the projected benefits of Connected Devices. Neither Taylor nor PwC took adequate steps to do that. For this additional reason, AT&amp;T failed to prove that PwC and Taylor's cash flow estimates were sufficiently reliable to support a meaningful valuation estimate.</w:t>
      </w:r>
    </w:p>
    <w:p>
      <w:pPr>
        <w:spacing w:before="0" w:after="0" w:line="275" w:lineRule="atLeast"/>
        <w:jc w:val="both"/>
      </w:pPr>
      <w:r>
        <w:rPr>
          <w:rFonts w:ascii="Times New Roman" w:hAnsi="Times New Roman"/>
          <w:color w:val="000000"/>
          <w:sz w:val="20"/>
        </w:rPr>
        <w:t> </w:t>
      </w:r>
    </w:p>
    <w:bookmarkStart w:id="146" w:name="co_anchor_I8f1a3ad1ace211ec8c80dd32e620"/>
    <w:p>
      <w:pPr>
        <w:spacing w:before="400" w:after="0" w:line="275" w:lineRule="atLeast"/>
        <w:jc w:val="center"/>
      </w:pPr>
      <w:r>
        <w:rPr>
          <w:rFonts w:ascii="Times New Roman" w:hAnsi="Times New Roman"/>
          <w:b/>
          <w:color w:val="000000"/>
          <w:sz w:val="20"/>
        </w:rPr>
        <w:t>c. Problems With The Perpetuity Growth Rate</w:t>
      </w:r>
    </w:p>
    <w:bookmarkEnd w:id="146"/>
    <w:p>
      <w:pPr>
        <w:spacing w:before="200" w:after="0" w:line="275" w:lineRule="atLeast"/>
        <w:jc w:val="both"/>
      </w:pPr>
      <w:r>
        <w:rPr>
          <w:rFonts w:ascii="Times New Roman" w:hAnsi="Times New Roman"/>
          <w:color w:val="000000"/>
          <w:sz w:val="20"/>
        </w:rPr>
        <w:t>For the reasons discussed up to this point, the projections that PwC and Taylor created for the discrete projection period covered by their DCF analyses were unreliable. A discounted cash flow model also includes a terminal period, which extends the cash flow projections perpetually into the future. When calculating cash flows for the terminal period, both PwC and Taylor used a perpetuity growth rate that was unreasonably low.</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47" w:name="co_pp_sp_999_40_1"/>
      <w:r>
        <w:rPr>
          <w:rFonts w:ascii="Times New Roman" w:hAnsi="Times New Roman"/>
          <w:b/>
          <w:color w:val="000000"/>
          <w:sz w:val="20"/>
        </w:rPr>
        <w:t>*40</w:t>
      </w:r>
      <w:bookmarkEnd w:id="147"/>
      <w:r>
        <w:rPr>
          <w:rFonts w:ascii="Times New Roman" w:hAnsi="Times New Roman"/>
          <w:color w:val="000000"/>
          <w:sz w:val="20"/>
        </w:rPr>
        <w:t xml:space="preserve"> Conventional valuation wisdom holds that the perpetuity growth rate generally should fall somewhere between the rate of inflation and the projected growth rate of the nominal gross domestic product (“GDP”).</w:t>
      </w:r>
      <w:r>
        <w:rPr>
          <w:rFonts w:ascii="Times New Roman" w:hAnsi="Times New Roman"/>
          <w:color w:val="000000"/>
          <w:sz w:val="20"/>
        </w:rPr>
        <w:t xml:space="preserve"> </w:t>
      </w:r>
      <w:hyperlink r:id="r75">
        <w:r>
          <w:rPr>
            <w:rFonts w:ascii="Times New Roman" w:hAnsi="Times New Roman"/>
            <w:i/>
            <w:color w:val="000000"/>
            <w:sz w:val="20"/>
          </w:rPr>
          <w:t>Merion</w:t>
        </w:r>
        <w:r>
          <w:rPr>
            <w:rFonts w:ascii="Times New Roman" w:hAnsi="Times New Roman"/>
            <w:color w:val="000000"/>
            <w:sz w:val="20"/>
          </w:rPr>
          <w:t>, 2013 WL 3793896, at *21</w:t>
        </w:r>
      </w:hyperlink>
      <w:r>
        <w:rPr>
          <w:rFonts w:ascii="Times New Roman" w:hAnsi="Times New Roman"/>
          <w:color w:val="000000"/>
          <w:sz w:val="20"/>
        </w:rPr>
        <w:t>. “A viable company should grow at least at the rate of inflation and ... the rate of inflation is the floor for a terminal value estimate for a solidly profitable company that does not have an identifiable risk of insolvency.”</w:t>
      </w:r>
      <w:bookmarkStart w:id="148" w:name="co_fnRef_B00282055700832_ID0ECIDK_1"/>
      <w:hyperlink w:anchor="co_footnote_B00282055700832_1">
        <w:r>
          <w:rPr>
            <w:rFonts w:ascii="Times New Roman" w:hAnsi="Times New Roman"/>
            <w:color w:val="000000"/>
            <w:sz w:val="16"/>
            <w:vertAlign w:val="superscript"/>
          </w:rPr>
          <w:t>28</w:t>
        </w:r>
      </w:hyperlink>
      <w:bookmarkEnd w:id="148"/>
      <w:r>
        <w:rPr>
          <w:rFonts w:ascii="Times New Roman" w:hAnsi="Times New Roman"/>
          <w:color w:val="000000"/>
          <w:sz w:val="20"/>
        </w:rPr>
        <w:t xml:space="preserve"> “But, a terminal growth rate should not be greater than the nominal growth rate for the United States economy, because if a company is assumed to grow at a higher rate indefinitely, its cash flow would eventually exceed America's [GDP].” </w:t>
      </w:r>
      <w:hyperlink r:id="r76">
        <w:r>
          <w:rPr>
            <w:rFonts w:ascii="Times New Roman" w:hAnsi="Times New Roman"/>
            <w:i/>
            <w:color w:val="000000"/>
            <w:sz w:val="20"/>
          </w:rPr>
          <w:t>Merion</w:t>
        </w:r>
        <w:r>
          <w:rPr>
            <w:rFonts w:ascii="Times New Roman" w:hAnsi="Times New Roman"/>
            <w:color w:val="000000"/>
            <w:sz w:val="20"/>
          </w:rPr>
          <w:t>, 2013 WL 3793896, at *21</w:t>
        </w:r>
      </w:hyperlink>
      <w:r>
        <w:rPr>
          <w:rFonts w:ascii="Times New Roman" w:hAnsi="Times New Roman"/>
          <w:color w:val="000000"/>
          <w:sz w:val="20"/>
        </w:rPr>
        <w:t xml:space="preserve"> (cleaned up).</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 the time of the Freeze-Out, credible projections placed the rate of long-term inflation at between 2.4% and 2.6%. </w:t>
      </w:r>
      <w:r>
        <w:rPr>
          <w:rFonts w:ascii="Times New Roman" w:hAnsi="Times New Roman"/>
          <w:i/>
          <w:color w:val="000000"/>
          <w:sz w:val="20"/>
        </w:rPr>
        <w:t>See</w:t>
      </w:r>
      <w:r>
        <w:rPr>
          <w:rFonts w:ascii="Times New Roman" w:hAnsi="Times New Roman"/>
          <w:color w:val="000000"/>
          <w:sz w:val="20"/>
        </w:rPr>
        <w:t xml:space="preserve"> Barrick Report at 26; JX 628 at 3; JX 1209 at ’039. At the time of the Freeze-Out, credible projections placed the rate of nominal GDP growth at 5.1%, suggesting real GDP growth of 2.5% to 2.7%. </w:t>
      </w:r>
      <w:r>
        <w:rPr>
          <w:rFonts w:ascii="Times New Roman" w:hAnsi="Times New Roman"/>
          <w:i/>
          <w:color w:val="000000"/>
          <w:sz w:val="20"/>
        </w:rPr>
        <w:t>See</w:t>
      </w:r>
      <w:r>
        <w:rPr>
          <w:rFonts w:ascii="Times New Roman" w:hAnsi="Times New Roman"/>
          <w:color w:val="000000"/>
          <w:sz w:val="20"/>
        </w:rPr>
        <w:t xml:space="preserve"> Barrick Report App'x B at 1; JX 628 at 3. These figures suggested a perpetuity growth rate of between 2.4% and 2.7%.</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PwC used a perpetuity growth rate of 1.5%. JX 1215, “DCF” tab. Taylor used PwC's perpetuity growth rate. JX 3530, “Salem DCF” tab, Cell D46.</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Those perpetuity growth rates were lower than expected inflation, meaning that PwC and Taylor treated the Partnership as a wasting asset. </w:t>
      </w:r>
      <w:r>
        <w:rPr>
          <w:rFonts w:ascii="Times New Roman" w:hAnsi="Times New Roman"/>
          <w:i/>
          <w:color w:val="000000"/>
          <w:sz w:val="20"/>
        </w:rPr>
        <w:t>See</w:t>
      </w:r>
      <w:r>
        <w:rPr>
          <w:rFonts w:ascii="Times New Roman" w:hAnsi="Times New Roman"/>
          <w:color w:val="000000"/>
          <w:sz w:val="20"/>
        </w:rPr>
        <w:t xml:space="preserve"> </w:t>
      </w:r>
      <w:hyperlink r:id="r77">
        <w:r>
          <w:rPr>
            <w:rFonts w:ascii="Times New Roman" w:hAnsi="Times New Roman"/>
            <w:i/>
            <w:color w:val="000000"/>
            <w:sz w:val="20"/>
          </w:rPr>
          <w:t>Golden Telecom, Inc.</w:t>
        </w:r>
        <w:r>
          <w:rPr>
            <w:rFonts w:ascii="Times New Roman" w:hAnsi="Times New Roman"/>
            <w:color w:val="000000"/>
            <w:sz w:val="20"/>
          </w:rPr>
          <w:t>, 993 A.2d at 511</w:t>
        </w:r>
      </w:hyperlink>
      <w:r>
        <w:rPr>
          <w:rFonts w:ascii="Times New Roman" w:hAnsi="Times New Roman"/>
          <w:color w:val="000000"/>
          <w:sz w:val="20"/>
        </w:rPr>
        <w:t>. AT&amp;T did not believe that the Partnership was a wasting asset. The Partnership was part of AT&amp;T's nationwide wireless network. AT&amp;T consistently touted its wireless business as the future of the company.</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Taylor tried to justify the low growth rates by pointing to AT&amp;T's projections in the 2010 Ten-Year Plan for its overall revenue and wireless revenue. Both declined to 1.7% and 1.6%, respectively, by the end of the discrete projection period.</w:t>
      </w:r>
      <w:bookmarkStart w:id="149" w:name="co_fnRef_B00292055700832_ID0ERPDK_1"/>
      <w:hyperlink w:anchor="co_footnote_B00292055700832_1">
        <w:r>
          <w:rPr>
            <w:rFonts w:ascii="Times New Roman" w:hAnsi="Times New Roman"/>
            <w:color w:val="000000"/>
            <w:sz w:val="16"/>
            <w:vertAlign w:val="superscript"/>
          </w:rPr>
          <w:t>29</w:t>
        </w:r>
      </w:hyperlink>
      <w:bookmarkEnd w:id="149"/>
      <w:r>
        <w:rPr>
          <w:rFonts w:ascii="Times New Roman" w:hAnsi="Times New Roman"/>
          <w:color w:val="000000"/>
          <w:sz w:val="20"/>
        </w:rPr>
        <w:t xml:space="preserve"> That comparison was not persuasive, because as a general matter, revenue growth does not necessarily correspond to the growth of free cash flows. Depending on its cost structure and return on invested capital, a company could grow free cash flows at a rate higher than revenue rate. </w:t>
      </w:r>
      <w:r>
        <w:rPr>
          <w:rFonts w:ascii="Times New Roman" w:hAnsi="Times New Roman"/>
          <w:i/>
          <w:color w:val="000000"/>
          <w:sz w:val="20"/>
        </w:rPr>
        <w:t>See</w:t>
      </w:r>
      <w:r>
        <w:rPr>
          <w:rFonts w:ascii="Times New Roman" w:hAnsi="Times New Roman"/>
          <w:color w:val="000000"/>
          <w:sz w:val="20"/>
        </w:rPr>
        <w:t xml:space="preserve"> Aswath Damodaran, </w:t>
      </w:r>
      <w:r>
        <w:rPr>
          <w:rFonts w:ascii="Times New Roman" w:hAnsi="Times New Roman"/>
          <w:i/>
          <w:color w:val="000000"/>
          <w:sz w:val="20"/>
        </w:rPr>
        <w:t>Investment Valuation: Tools and Techniques for Determining the Value of Any Asset</w:t>
      </w:r>
      <w:r>
        <w:rPr>
          <w:rFonts w:ascii="Times New Roman" w:hAnsi="Times New Roman"/>
          <w:color w:val="000000"/>
          <w:sz w:val="20"/>
        </w:rPr>
        <w:t xml:space="preserve"> 312–14 (3d ed. 2012). Duff &amp; Phelps recognized this fact when it valued AT&amp;T's spectrum licenses on the eve of the Freeze-Out, projecting that revenue growth would decline to 1.4%, while free cash flows would grow at 2%. JX 3551 at 4.</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50" w:name="co_pp_sp_999_41_1"/>
      <w:r>
        <w:rPr>
          <w:rFonts w:ascii="Times New Roman" w:hAnsi="Times New Roman"/>
          <w:b/>
          <w:color w:val="000000"/>
          <w:sz w:val="20"/>
        </w:rPr>
        <w:t>*41</w:t>
      </w:r>
      <w:bookmarkEnd w:id="150"/>
      <w:r>
        <w:rPr>
          <w:rFonts w:ascii="Times New Roman" w:hAnsi="Times New Roman"/>
          <w:color w:val="000000"/>
          <w:sz w:val="20"/>
        </w:rPr>
        <w:t xml:space="preserve"> Taylor's perpetuity growth rate also resulted in a sharp drop-off in free cash flow growth at the end of her discrete projection period. During the last four years of the discrete period, Taylor projected that the Partnership's free cash flows would grow at a CAGR of 2.46%. Taylor then set the perpetuity growth rate equal to 1.5% for the perpetuity period, resulting in a 39% drop-off.</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Taylor tried to justify the low growth rates with data from the United States Bureau of Labor Statistics showing that “wireless inflation” was consistently negative from 2002 to 2010. Taylor Rebuttal Report at 47, Ex. 27; </w:t>
      </w:r>
      <w:r>
        <w:rPr>
          <w:rFonts w:ascii="Times New Roman" w:hAnsi="Times New Roman"/>
          <w:i/>
          <w:color w:val="000000"/>
          <w:sz w:val="20"/>
        </w:rPr>
        <w:t>see</w:t>
      </w:r>
      <w:r>
        <w:rPr>
          <w:rFonts w:ascii="Times New Roman" w:hAnsi="Times New Roman"/>
          <w:color w:val="000000"/>
          <w:sz w:val="20"/>
        </w:rPr>
        <w:t xml:space="preserve"> Taylor Tr. 790–91. Put differently, the prices per unit for wireless services came down during that period. But the prices that a company charges are only one component of a cash flow projection. An equally important component is the cost of producing each unit of wireless service. The difference between the price charged and the cost of production is the margin, which determines how much free cash flow becomes available. AT&amp;T projected that network efficiencies would result in “stable margins” for the foreseeable future. </w:t>
      </w:r>
      <w:r>
        <w:rPr>
          <w:rFonts w:ascii="Times New Roman" w:hAnsi="Times New Roman"/>
          <w:color w:val="000000"/>
          <w:sz w:val="20"/>
        </w:rPr>
        <w:t xml:space="preserve">JX 367 at ’322; </w:t>
      </w:r>
      <w:r>
        <w:rPr>
          <w:rFonts w:ascii="Times New Roman" w:hAnsi="Times New Roman"/>
          <w:i/>
          <w:color w:val="000000"/>
          <w:sz w:val="20"/>
        </w:rPr>
        <w:t>accord</w:t>
      </w:r>
      <w:r>
        <w:rPr>
          <w:rFonts w:ascii="Times New Roman" w:hAnsi="Times New Roman"/>
          <w:color w:val="000000"/>
          <w:sz w:val="20"/>
        </w:rPr>
        <w:t xml:space="preserve"> JX 1330 at ’077 (“industry margins remain high at 34%”). When Duff &amp; Phelps valued AT&amp;T's licenses, it predicted expanding margins for the indefinite future. JX 3551 at 4; </w:t>
      </w:r>
      <w:r>
        <w:rPr>
          <w:rFonts w:ascii="Times New Roman" w:hAnsi="Times New Roman"/>
          <w:i/>
          <w:color w:val="000000"/>
          <w:sz w:val="20"/>
        </w:rPr>
        <w:t>accord</w:t>
      </w:r>
      <w:r>
        <w:rPr>
          <w:rFonts w:ascii="Times New Roman" w:hAnsi="Times New Roman"/>
          <w:color w:val="000000"/>
          <w:sz w:val="20"/>
        </w:rPr>
        <w:t xml:space="preserve"> JX 662 at 47 (projecting expanding margins from 38% to 40%). Those expectations only could hold if AT&amp;T anticipated that the cost per unit would come down dramatically as well and that its cash flows would continue to experience healthy growth.</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More generally, Taylor and AT&amp;T tried to argue that a low perpetuity growth rate was justified because the wireless business was maturing, citing a page in a presentation to the AT&amp;T board of directors. That page depicted the legacy wireless voice business as maturing, but not yet fully mature. </w:t>
      </w:r>
      <w:r>
        <w:rPr>
          <w:rFonts w:ascii="Times New Roman" w:hAnsi="Times New Roman"/>
          <w:i/>
          <w:color w:val="000000"/>
          <w:sz w:val="20"/>
        </w:rPr>
        <w:t>See</w:t>
      </w:r>
      <w:r>
        <w:rPr>
          <w:rFonts w:ascii="Times New Roman" w:hAnsi="Times New Roman"/>
          <w:color w:val="000000"/>
          <w:sz w:val="20"/>
        </w:rPr>
        <w:t xml:space="preserve"> JX 1330 at ’079. The same chart cited the “Applications and Services” business as being in the growth phase and the “Interactive Advertising” business as just starting its growth phase. </w:t>
      </w:r>
      <w:r>
        <w:rPr>
          <w:rFonts w:ascii="Times New Roman" w:hAnsi="Times New Roman"/>
          <w:i/>
          <w:color w:val="000000"/>
          <w:sz w:val="20"/>
        </w:rPr>
        <w:t>Id.</w:t>
      </w:r>
      <w:r>
        <w:rPr>
          <w:rFonts w:ascii="Times New Roman" w:hAnsi="Times New Roman"/>
          <w:color w:val="000000"/>
          <w:sz w:val="20"/>
        </w:rPr>
        <w:t xml:space="preserve"> The same presentation projected a five-year CAGR for applications and services of 10%. </w:t>
      </w:r>
      <w:r>
        <w:rPr>
          <w:rFonts w:ascii="Times New Roman" w:hAnsi="Times New Roman"/>
          <w:i/>
          <w:color w:val="000000"/>
          <w:sz w:val="20"/>
        </w:rPr>
        <w:t>Id.</w:t>
      </w:r>
      <w:r>
        <w:rPr>
          <w:rFonts w:ascii="Times New Roman" w:hAnsi="Times New Roman"/>
          <w:color w:val="000000"/>
          <w:sz w:val="20"/>
        </w:rPr>
        <w:t xml:space="preserve"> at ’077. There is no reason to believe that AT&amp;T's wireless business would grow at levels below inflation.</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low perpetuity growth rate that Taylor and PwC used conflicted with cash flow estimates during the discrete projection period, which included significant capital expenditures that would be expected to drive future growth. </w:t>
      </w:r>
      <w:r>
        <w:rPr>
          <w:rFonts w:ascii="Times New Roman" w:hAnsi="Times New Roman"/>
          <w:i/>
          <w:color w:val="000000"/>
          <w:sz w:val="20"/>
        </w:rPr>
        <w:t>See</w:t>
      </w:r>
      <w:r>
        <w:rPr>
          <w:rFonts w:ascii="Times New Roman" w:hAnsi="Times New Roman"/>
          <w:color w:val="000000"/>
          <w:sz w:val="20"/>
        </w:rPr>
        <w:t xml:space="preserve"> JX 3530, “Salem DCF” tab, Row 29. When Kobos provided input on the PwC valuation, he advised against including high levels of capital expenditures in the perpetuity calculation. JX 3577 at ’181. Taylor and PwC kept them in. At best for Taylor and PwC, their DCF model presented a picture of a company in a competitive industry, with little prospect for real growth. But that would have counseled in favor of setting perpetual growth at the rate of long-term inflation. </w:t>
      </w:r>
      <w:r>
        <w:rPr>
          <w:rFonts w:ascii="Times New Roman" w:hAnsi="Times New Roman"/>
          <w:i/>
          <w:color w:val="000000"/>
          <w:sz w:val="20"/>
        </w:rPr>
        <w:t>See</w:t>
      </w:r>
      <w:r>
        <w:rPr>
          <w:rFonts w:ascii="Times New Roman" w:hAnsi="Times New Roman"/>
          <w:color w:val="000000"/>
          <w:sz w:val="20"/>
        </w:rPr>
        <w:t xml:space="preserve"> Pratt, </w:t>
      </w:r>
      <w:r>
        <w:rPr>
          <w:rFonts w:ascii="Times New Roman" w:hAnsi="Times New Roman"/>
          <w:i/>
          <w:color w:val="000000"/>
          <w:sz w:val="20"/>
        </w:rPr>
        <w:t>supra</w:t>
      </w:r>
      <w:r>
        <w:rPr>
          <w:rFonts w:ascii="Times New Roman" w:hAnsi="Times New Roman"/>
          <w:color w:val="000000"/>
          <w:sz w:val="20"/>
        </w:rPr>
        <w:t xml:space="preserve">, at 248. Nothing warranted treating the Partnership as a wasting asset by projecting negative real growth into perpetuity. </w:t>
      </w:r>
      <w:r>
        <w:rPr>
          <w:rFonts w:ascii="Times New Roman" w:hAnsi="Times New Roman"/>
          <w:i/>
          <w:color w:val="000000"/>
          <w:sz w:val="20"/>
        </w:rPr>
        <w:t>See id.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PwC and Taylor used artificially low perpetuity growth rates that treated the Partnership as a wasting asset, rather than as an integral part of AT&amp;T's nationwide wireless network and the future of the company. AT&amp;T therefore failed to prove that PwC and Taylor used a reliable perpetuity growth rate. Their use of such a low perpetuity growth rate provides evidence that the Freeze-Out price was unfair.</w:t>
      </w:r>
    </w:p>
    <w:p>
      <w:pPr>
        <w:spacing w:before="0" w:after="0" w:line="275" w:lineRule="atLeast"/>
        <w:jc w:val="both"/>
      </w:pPr>
      <w:r>
        <w:rPr>
          <w:rFonts w:ascii="Times New Roman" w:hAnsi="Times New Roman"/>
          <w:color w:val="000000"/>
          <w:sz w:val="20"/>
        </w:rPr>
        <w:t> </w:t>
      </w:r>
    </w:p>
    <w:bookmarkStart w:id="151" w:name="co_anchor_I8f218dd7ace211ec8c80dd32e620"/>
    <w:p>
      <w:pPr>
        <w:spacing w:before="400" w:after="0" w:line="275" w:lineRule="atLeast"/>
        <w:jc w:val="center"/>
      </w:pPr>
      <w:r>
        <w:rPr>
          <w:rFonts w:ascii="Times New Roman" w:hAnsi="Times New Roman"/>
          <w:b/>
          <w:color w:val="000000"/>
          <w:sz w:val="20"/>
        </w:rPr>
        <w:t>d. The Tax Rate</w:t>
      </w:r>
    </w:p>
    <w:bookmarkEnd w:id="151"/>
    <w:p>
      <w:pPr>
        <w:spacing w:before="200" w:after="0" w:line="275" w:lineRule="atLeast"/>
        <w:jc w:val="both"/>
      </w:pPr>
      <w:bookmarkStart w:id="152" w:name="co_pp_sp_999_42_1"/>
      <w:r>
        <w:rPr>
          <w:rFonts w:ascii="Times New Roman" w:hAnsi="Times New Roman"/>
          <w:b/>
          <w:color w:val="000000"/>
          <w:sz w:val="20"/>
        </w:rPr>
        <w:t>*42</w:t>
      </w:r>
      <w:bookmarkEnd w:id="152"/>
      <w:r>
        <w:rPr>
          <w:rFonts w:ascii="Times New Roman" w:hAnsi="Times New Roman"/>
          <w:color w:val="000000"/>
          <w:sz w:val="20"/>
        </w:rPr>
        <w:t xml:space="preserve"> So far, the problems with PwC's and Taylor's DCF valuations have related to the cash flow projections. PwC and Taylor also took an unpersuasive approach when tax-effecting the cash flows. Both applied AT&amp;T's blended corporate tax rate of 38.5%, even though the Partnership is a pass-through entity that does not pay tax at the entity level. AT&amp;T failed to prove that PwC and Taylor used a tax rate that was fair.</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For a tax-paying entity like a corporation, financial analysts and this court typically tax-effect cash flow projections using the corporation's marginal tax rate.</w:t>
      </w:r>
      <w:bookmarkStart w:id="153" w:name="co_fnRef_B00302055700832_ID0EYYDK_1"/>
      <w:hyperlink w:anchor="co_footnote_B00302055700832_1">
        <w:r>
          <w:rPr>
            <w:rFonts w:ascii="Times New Roman" w:hAnsi="Times New Roman"/>
            <w:color w:val="000000"/>
            <w:sz w:val="16"/>
            <w:vertAlign w:val="superscript"/>
          </w:rPr>
          <w:t>30</w:t>
        </w:r>
      </w:hyperlink>
      <w:bookmarkEnd w:id="153"/>
      <w:r>
        <w:rPr>
          <w:rFonts w:ascii="Times New Roman" w:hAnsi="Times New Roman"/>
          <w:color w:val="000000"/>
          <w:sz w:val="20"/>
        </w:rPr>
        <w:t xml:space="preserve"> For a pass-through entity that does not pay entity-level tax, the analysis is more difficult. This court has recognized that pass-through entity status confers additional value on the entity's investors by avoiding “double taxation” at both the entity and investor levels. </w:t>
      </w:r>
      <w:hyperlink r:id="r78">
        <w:r>
          <w:rPr>
            <w:rFonts w:ascii="Times New Roman" w:hAnsi="Times New Roman"/>
            <w:i/>
            <w:color w:val="000000"/>
            <w:sz w:val="20"/>
          </w:rPr>
          <w:t>Del. Open MRI</w:t>
        </w:r>
        <w:r>
          <w:rPr>
            <w:rFonts w:ascii="Times New Roman" w:hAnsi="Times New Roman"/>
            <w:color w:val="000000"/>
            <w:sz w:val="20"/>
          </w:rPr>
          <w:t>, 898 A.2d at 326</w:t>
        </w:r>
      </w:hyperlink>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hyperlink r:id="r79">
        <w:r>
          <w:rPr>
            <w:rFonts w:ascii="Times New Roman" w:hAnsi="Times New Roman"/>
            <w:i/>
            <w:color w:val="000000"/>
            <w:sz w:val="20"/>
          </w:rPr>
          <w:t>Radiology Assocs.</w:t>
        </w:r>
        <w:r>
          <w:rPr>
            <w:rFonts w:ascii="Times New Roman" w:hAnsi="Times New Roman"/>
            <w:color w:val="000000"/>
            <w:sz w:val="20"/>
          </w:rPr>
          <w:t>, 611 A.2d at 494–95</w:t>
        </w:r>
      </w:hyperlink>
      <w:r>
        <w:rPr>
          <w:rFonts w:ascii="Times New Roman" w:hAnsi="Times New Roman"/>
          <w:color w:val="000000"/>
          <w:sz w:val="20"/>
        </w:rPr>
        <w:t>. By contrast, the use of a corporation's marginal tax rate in a DCF model simulates the effects of double taxation, understating the value of the entity's cash flows.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PwC and Taylor used AT&amp;T's tax rate of 38.5%, which was a blended tax rate that took into account AT&amp;T's marginal federal tax rate of 35%, added an estimate of the state taxes AT&amp;T paid, and accounted for the fact that paying state taxes would result in a federal tax deduction for AT&amp;T. </w:t>
      </w:r>
      <w:r>
        <w:rPr>
          <w:rFonts w:ascii="Times New Roman" w:hAnsi="Times New Roman"/>
          <w:i/>
          <w:color w:val="000000"/>
          <w:sz w:val="20"/>
        </w:rPr>
        <w:t>See</w:t>
      </w:r>
      <w:r>
        <w:rPr>
          <w:rFonts w:ascii="Times New Roman" w:hAnsi="Times New Roman"/>
          <w:color w:val="000000"/>
          <w:sz w:val="20"/>
        </w:rPr>
        <w:t xml:space="preserve"> Barrick Report at 33–34. PwC and Taylor thus valued the Partnership as if it was a tax-paying C-corporation.</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 dictated that PwC use the 38.5% rate. </w:t>
      </w:r>
      <w:r>
        <w:rPr>
          <w:rFonts w:ascii="Times New Roman" w:hAnsi="Times New Roman"/>
          <w:i/>
          <w:color w:val="000000"/>
          <w:sz w:val="20"/>
        </w:rPr>
        <w:t>See</w:t>
      </w:r>
      <w:r>
        <w:rPr>
          <w:rFonts w:ascii="Times New Roman" w:hAnsi="Times New Roman"/>
          <w:color w:val="000000"/>
          <w:sz w:val="20"/>
        </w:rPr>
        <w:t xml:space="preserve"> JX 893. PwC inquired about using the </w:t>
      </w:r>
      <w:r>
        <w:rPr>
          <w:rFonts w:ascii="Times New Roman" w:hAnsi="Times New Roman"/>
          <w:i/>
          <w:color w:val="000000"/>
          <w:sz w:val="20"/>
        </w:rPr>
        <w:t>Delaware Open MRI</w:t>
      </w:r>
      <w:r>
        <w:rPr>
          <w:rFonts w:ascii="Times New Roman" w:hAnsi="Times New Roman"/>
          <w:color w:val="000000"/>
          <w:sz w:val="20"/>
        </w:rPr>
        <w:t xml:space="preserve"> methodology, but AT&amp;T instructed PwC to stick with AT&amp;T's corporate rate of 38.5%, without providing any explanation. </w:t>
      </w:r>
      <w:r>
        <w:rPr>
          <w:rFonts w:ascii="Times New Roman" w:hAnsi="Times New Roman"/>
          <w:i/>
          <w:color w:val="000000"/>
          <w:sz w:val="20"/>
        </w:rPr>
        <w:t>See</w:t>
      </w:r>
      <w:r>
        <w:rPr>
          <w:rFonts w:ascii="Times New Roman" w:hAnsi="Times New Roman"/>
          <w:color w:val="000000"/>
          <w:sz w:val="20"/>
        </w:rPr>
        <w:t xml:space="preserve"> Teske Tr. 668–70; Gilcreast Dep. 243–45; JX 893.</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Taylor's adoption of AT&amp;T's corporate tax rate was not fair to the minority partners. A legitimate debate exists about how to tax effect a pass-through entity's cash flows. </w:t>
      </w:r>
      <w:r>
        <w:rPr>
          <w:rFonts w:ascii="Times New Roman" w:hAnsi="Times New Roman"/>
          <w:i/>
          <w:color w:val="000000"/>
          <w:sz w:val="20"/>
        </w:rPr>
        <w:t>See</w:t>
      </w:r>
      <w:r>
        <w:rPr>
          <w:rFonts w:ascii="Times New Roman" w:hAnsi="Times New Roman"/>
          <w:color w:val="000000"/>
          <w:sz w:val="20"/>
        </w:rPr>
        <w:t xml:space="preserve"> Part III.A.4, </w:t>
      </w:r>
      <w:r>
        <w:rPr>
          <w:rFonts w:ascii="Times New Roman" w:hAnsi="Times New Roman"/>
          <w:i/>
          <w:color w:val="000000"/>
          <w:sz w:val="20"/>
        </w:rPr>
        <w:t>infra.</w:t>
      </w:r>
      <w:r>
        <w:rPr>
          <w:rFonts w:ascii="Times New Roman" w:hAnsi="Times New Roman"/>
          <w:color w:val="000000"/>
          <w:sz w:val="20"/>
        </w:rPr>
        <w:t xml:space="preserve"> What is not up for debate is the impropriety of using a corporate tax rate to tax effect a pass-through entity's cash flows.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 failed to provide any credible justification for PwC and Taylor using AT&amp;T's tax rate. That failure is an additional reason why AT&amp;T failed to prove that Taylor's DCF model establishes the fairness of the Freeze-Out price.</w:t>
      </w:r>
    </w:p>
    <w:p>
      <w:pPr>
        <w:spacing w:before="0" w:after="0" w:line="275" w:lineRule="atLeast"/>
        <w:jc w:val="both"/>
      </w:pPr>
      <w:r>
        <w:rPr>
          <w:rFonts w:ascii="Times New Roman" w:hAnsi="Times New Roman"/>
          <w:color w:val="000000"/>
          <w:sz w:val="20"/>
        </w:rPr>
        <w:t> </w:t>
      </w:r>
    </w:p>
    <w:bookmarkStart w:id="154" w:name="co_anchor_I8f249b11ace211ec8c80dd32e620"/>
    <w:bookmarkStart w:id="155" w:name="co_anchor_I8f249b11ace211ec8c80dd32e2"/>
    <w:p>
      <w:pPr>
        <w:pBdr>
          <w:left w:val="none" w:space="10"/>
        </w:pBdr>
        <w:spacing w:before="400" w:after="0" w:line="275" w:lineRule="atLeast"/>
        <w:ind w:left="200" w:right="0" w:firstLine="0"/>
      </w:pPr>
      <w:r>
        <w:rPr>
          <w:rFonts w:ascii="Times New Roman" w:hAnsi="Times New Roman"/>
          <w:b/>
          <w:color w:val="000000"/>
          <w:sz w:val="20"/>
        </w:rPr>
        <w:t>5. The Finding Regarding Fair Price</w:t>
      </w:r>
    </w:p>
    <w:bookmarkEnd w:id="155"/>
    <w:bookmarkEnd w:id="154"/>
    <w:p>
      <w:pPr>
        <w:spacing w:before="0" w:after="0" w:line="275" w:lineRule="atLeast"/>
        <w:jc w:val="both"/>
      </w:pPr>
      <w:r>
        <w:rPr>
          <w:rFonts w:ascii="Times New Roman" w:hAnsi="Times New Roman"/>
          <w:color w:val="000000"/>
          <w:sz w:val="20"/>
        </w:rPr>
        <w:t>AT&amp;T failed to prove that the Freeze-Out price was fair. The Freeze-Out therefore failed to pass muster under the entire fairness standard.</w:t>
      </w:r>
    </w:p>
    <w:p>
      <w:pPr>
        <w:spacing w:before="0" w:after="0" w:line="275" w:lineRule="atLeast"/>
        <w:jc w:val="both"/>
      </w:pPr>
      <w:r>
        <w:rPr>
          <w:rFonts w:ascii="Times New Roman" w:hAnsi="Times New Roman"/>
          <w:color w:val="000000"/>
          <w:sz w:val="20"/>
        </w:rPr>
        <w:t> </w:t>
      </w:r>
    </w:p>
    <w:bookmarkStart w:id="156" w:name="co_anchor_I8f24e931ace211ec8c80dd32e620"/>
    <w:p>
      <w:pPr>
        <w:spacing w:before="400" w:after="0" w:line="275" w:lineRule="atLeast"/>
        <w:jc w:val="center"/>
      </w:pPr>
      <w:r>
        <w:rPr>
          <w:rFonts w:ascii="Times New Roman" w:hAnsi="Times New Roman"/>
          <w:b/>
          <w:color w:val="000000"/>
          <w:sz w:val="20"/>
        </w:rPr>
        <w:t>III. THE REMEDY</w:t>
      </w:r>
    </w:p>
    <w:bookmarkEnd w:id="156"/>
    <w:p>
      <w:pPr>
        <w:spacing w:before="200" w:after="0" w:line="275" w:lineRule="atLeast"/>
        <w:jc w:val="both"/>
      </w:pPr>
      <w:r>
        <w:rPr>
          <w:rFonts w:ascii="Times New Roman" w:hAnsi="Times New Roman"/>
          <w:color w:val="000000"/>
          <w:sz w:val="20"/>
        </w:rPr>
        <w:t xml:space="preserve">By effectuating the Freeze-Out in a manner that was not entirely fair, AT&amp;T breached its duty of loyalty. Once a transaction fails to satisfy the entire fairness test, then the Court of Chancery has broad power in crafting a remedy. The court's charge is to fashion an award of equitable and monetary relief that is appropriate to address the wrong. </w:t>
      </w:r>
      <w:hyperlink r:id="r80">
        <w:r>
          <w:rPr>
            <w:rFonts w:ascii="Times New Roman" w:hAnsi="Times New Roman"/>
            <w:i/>
            <w:color w:val="000000"/>
            <w:sz w:val="20"/>
          </w:rPr>
          <w:t>Bomarko</w:t>
        </w:r>
        <w:r>
          <w:rPr>
            <w:rFonts w:ascii="Times New Roman" w:hAnsi="Times New Roman"/>
            <w:color w:val="000000"/>
            <w:sz w:val="20"/>
          </w:rPr>
          <w:t>, 766 A.2d at 440</w:t>
        </w:r>
      </w:hyperlink>
      <w:r>
        <w:rPr>
          <w:rFonts w:ascii="Times New Roman" w:hAnsi="Times New Roman"/>
          <w:color w:val="000000"/>
          <w:sz w:val="20"/>
        </w:rPr>
        <w: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“Delaware law dictates that the scope of recovery for a breach of the duty of loyalty is not to be determined narrowly.” </w:t>
      </w:r>
      <w:hyperlink r:id="r81">
        <w:r>
          <w:rPr>
            <w:rFonts w:ascii="Times New Roman" w:hAnsi="Times New Roman"/>
            <w:i/>
            <w:color w:val="000000"/>
            <w:sz w:val="20"/>
          </w:rPr>
          <w:t>Thorpe v. CERBCO, Inc.</w:t>
        </w:r>
        <w:r>
          <w:rPr>
            <w:rFonts w:ascii="Times New Roman" w:hAnsi="Times New Roman"/>
            <w:color w:val="000000"/>
            <w:sz w:val="20"/>
          </w:rPr>
          <w:t>, 676 A.2d 436, 445 (Del. 1996)</w:t>
        </w:r>
      </w:hyperlink>
      <w:r>
        <w:rPr>
          <w:rFonts w:ascii="Times New Roman" w:hAnsi="Times New Roman"/>
          <w:color w:val="000000"/>
          <w:sz w:val="20"/>
        </w:rPr>
        <w:t xml:space="preserve">. “Once disloyalty has been established,” the court's remedy should seek to ensure “that a fiduciary not profit” from its actions “and that the beneficiary not be harmed.” </w:t>
      </w:r>
      <w:r>
        <w:rPr>
          <w:rFonts w:ascii="Times New Roman" w:hAnsi="Times New Roman"/>
          <w:i/>
          <w:color w:val="000000"/>
          <w:sz w:val="20"/>
        </w:rPr>
        <w:t>Id.</w:t>
      </w:r>
      <w:r>
        <w:rPr>
          <w:rFonts w:ascii="Times New Roman" w:hAnsi="Times New Roman"/>
          <w:color w:val="000000"/>
          <w:sz w:val="20"/>
        </w:rPr>
        <w:t xml:space="preserve"> The court need not stop at an award of compensatory damages measured at the time of breach. </w:t>
      </w:r>
      <w:r>
        <w:rPr>
          <w:rFonts w:ascii="Times New Roman" w:hAnsi="Times New Roman"/>
          <w:i/>
          <w:color w:val="000000"/>
          <w:sz w:val="20"/>
        </w:rPr>
        <w:t>See</w:t>
      </w:r>
      <w:r>
        <w:rPr>
          <w:rFonts w:ascii="Times New Roman" w:hAnsi="Times New Roman"/>
          <w:color w:val="000000"/>
          <w:sz w:val="20"/>
        </w:rPr>
        <w:t xml:space="preserve"> </w:t>
      </w:r>
      <w:hyperlink r:id="r82">
        <w:r>
          <w:rPr>
            <w:rFonts w:ascii="Times New Roman" w:hAnsi="Times New Roman"/>
            <w:i/>
            <w:color w:val="000000"/>
            <w:sz w:val="20"/>
          </w:rPr>
          <w:t>Cede &amp; Co. v. Technicolor, Inc.</w:t>
        </w:r>
        <w:r>
          <w:rPr>
            <w:rFonts w:ascii="Times New Roman" w:hAnsi="Times New Roman"/>
            <w:color w:val="000000"/>
            <w:sz w:val="20"/>
          </w:rPr>
          <w:t>, 634 A.2d 345, 371 (Del. 1993)</w:t>
        </w:r>
      </w:hyperlink>
      <w:r>
        <w:rPr>
          <w:rFonts w:ascii="Times New Roman" w:hAnsi="Times New Roman"/>
          <w:color w:val="000000"/>
          <w:sz w:val="20"/>
        </w:rPr>
        <w:t xml:space="preserve">. A remedy instead may take into account principles of disgorgement and award damages “designed to eliminate the possibility of profit flowing to defendants from the breach of the fiduciary relationship.” </w:t>
      </w:r>
      <w:hyperlink r:id="r83">
        <w:r>
          <w:rPr>
            <w:rFonts w:ascii="Times New Roman" w:hAnsi="Times New Roman"/>
            <w:i/>
            <w:color w:val="000000"/>
            <w:sz w:val="20"/>
          </w:rPr>
          <w:t>Gesoff</w:t>
        </w:r>
        <w:r>
          <w:rPr>
            <w:rFonts w:ascii="Times New Roman" w:hAnsi="Times New Roman"/>
            <w:color w:val="000000"/>
            <w:sz w:val="20"/>
          </w:rPr>
          <w:t>, 902 A.2d at 1154</w:t>
        </w:r>
      </w:hyperlink>
      <w:r>
        <w:rPr>
          <w:rFonts w:ascii="Times New Roman" w:hAnsi="Times New Roman"/>
          <w:color w:val="000000"/>
          <w:sz w:val="20"/>
        </w:rPr>
        <w:t xml:space="preserve">. Although the plaintiffs do not seek them here, a court also may award rescissory damages. </w:t>
      </w:r>
      <w:hyperlink r:id="r84">
        <w:r>
          <w:rPr>
            <w:rFonts w:ascii="Times New Roman" w:hAnsi="Times New Roman"/>
            <w:i/>
            <w:color w:val="000000"/>
            <w:sz w:val="20"/>
          </w:rPr>
          <w:t>Reis</w:t>
        </w:r>
        <w:r>
          <w:rPr>
            <w:rFonts w:ascii="Times New Roman" w:hAnsi="Times New Roman"/>
            <w:color w:val="000000"/>
            <w:sz w:val="20"/>
          </w:rPr>
          <w:t>, 28 A.3d at 466</w:t>
        </w:r>
      </w:hyperlink>
      <w:r>
        <w:rPr>
          <w:rFonts w:ascii="Times New Roman" w:hAnsi="Times New Roman"/>
          <w:color w:val="000000"/>
          <w:sz w:val="20"/>
        </w:rPr>
        <w:t>.</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57" w:name="co_pp_sp_999_43_1"/>
      <w:r>
        <w:rPr>
          <w:rFonts w:ascii="Times New Roman" w:hAnsi="Times New Roman"/>
          <w:b/>
          <w:color w:val="000000"/>
          <w:sz w:val="20"/>
        </w:rPr>
        <w:t>*43</w:t>
      </w:r>
      <w:bookmarkEnd w:id="157"/>
      <w:r>
        <w:rPr>
          <w:rFonts w:ascii="Times New Roman" w:hAnsi="Times New Roman"/>
          <w:color w:val="000000"/>
          <w:sz w:val="20"/>
        </w:rPr>
        <w:t xml:space="preserve"> The plaintiffs advanced a theory of damages rooted in the present value of the distributions they would have received as minority partners but for the Freeze-Out. The plaintiffs thus seek an award of damages based on the value of their interests in the Partnership at the time of the Freeze-Out, with the value of their interests measured by the present value of the cash flows those interests would generate. </w:t>
      </w:r>
      <w:r>
        <w:rPr>
          <w:rFonts w:ascii="Times New Roman" w:hAnsi="Times New Roman"/>
          <w:i/>
          <w:color w:val="000000"/>
          <w:sz w:val="20"/>
        </w:rPr>
        <w:t>See</w:t>
      </w:r>
      <w:r>
        <w:rPr>
          <w:rFonts w:ascii="Times New Roman" w:hAnsi="Times New Roman"/>
          <w:color w:val="000000"/>
          <w:sz w:val="20"/>
        </w:rPr>
        <w:t xml:space="preserve"> Barrick Report at 13. The court adopts the plaintiffs’ basic approach to damages, but the court declines to use the present value of distributions to quantify the award.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Instead, for purposes of crafting a remedy, the court will seek to determine the value of what the plaintiffs had before the Freeze-Out based on the operative reality of the Partnership at that time of the transaction. The asset that the plaintiffs held took the form of a partnership interest in an entity whose business was an essential part of AT&amp;T's nationwide wireless network, which AT&amp;T operated on an integrated basis, and which was expected to be entering a prolonged period of growth as a result of the data revolution. The value of AT&amp;T's network lay in the promise of ubiquity, and the Partnership's market area was critical to that offering. </w:t>
      </w:r>
      <w:r>
        <w:rPr>
          <w:rFonts w:ascii="Times New Roman" w:hAnsi="Times New Roman"/>
          <w:color w:val="000000"/>
          <w:sz w:val="20"/>
        </w:rPr>
        <w:t>Because of that fact, AT&amp;T subsidized the Partnership by providing capital for investment at AT&amp;T's weighted average cost, rather than at the higher cost that the Partnership would have had to pay if it were a stand-alone entity operating an isolated cellular network. The Partnership also benefitted from other relationships with AT&amp;T. And because of its pass-through status, the Partnership could make distributions to its investors that were not reduced by entity-level taxes.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This decision uses a DCF model to determine the value of what the plaintiffs held. In doing so, the court selects reasonable inputs that result in a responsible estimate, but gives the plaintiffs the benefit of the doubt. That approach follows the general principle that “[t]he law does not require certainty in the award of damages where a wrong has been proven and injury established. Responsible estimates that lack m[a]thematical certainty are permissible so long as the court has a basis to make a responsible estimate of damages.” </w:t>
      </w:r>
      <w:hyperlink r:id="r85">
        <w:r>
          <w:rPr>
            <w:rFonts w:ascii="Times New Roman" w:hAnsi="Times New Roman"/>
            <w:i/>
            <w:color w:val="000000"/>
            <w:sz w:val="20"/>
          </w:rPr>
          <w:t>Red Sail Easter Ltd. P'rs v. Radio City Music Hall Prods., Inc.</w:t>
        </w:r>
        <w:r>
          <w:rPr>
            <w:rFonts w:ascii="Times New Roman" w:hAnsi="Times New Roman"/>
            <w:color w:val="000000"/>
            <w:sz w:val="20"/>
          </w:rPr>
          <w:t>, 1992 WL 251380, at *7 (Del. Ch. Sept. 29, 1992)</w:t>
        </w:r>
      </w:hyperlink>
      <w:r>
        <w:rPr>
          <w:rFonts w:ascii="Times New Roman" w:hAnsi="Times New Roman"/>
          <w:color w:val="000000"/>
          <w:sz w:val="20"/>
        </w:rPr>
        <w:t xml:space="preserve"> (Allen, C.). It also follows the corollary principle that “uncertainties in awarding damages are generally resolved against the wrongdoer.” </w:t>
      </w:r>
      <w:hyperlink r:id="r86">
        <w:r>
          <w:rPr>
            <w:rFonts w:ascii="Times New Roman" w:hAnsi="Times New Roman"/>
            <w:i/>
            <w:color w:val="000000"/>
            <w:sz w:val="20"/>
          </w:rPr>
          <w:t>Thorpe v. CERBCO, Inc.</w:t>
        </w:r>
        <w:r>
          <w:rPr>
            <w:rFonts w:ascii="Times New Roman" w:hAnsi="Times New Roman"/>
            <w:color w:val="000000"/>
            <w:sz w:val="20"/>
          </w:rPr>
          <w:t>, 1993 WL 443406, at *12 (Del. Ch. Oct. 29, 1993)</w:t>
        </w:r>
      </w:hyperlink>
      <w:r>
        <w:rPr>
          <w:rFonts w:ascii="Times New Roman" w:hAnsi="Times New Roman"/>
          <w:color w:val="000000"/>
          <w:sz w:val="20"/>
        </w:rPr>
        <w: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Giving the plaintiffs the benefit of the doubt also is warranted by case-specific factors. As the court found in the </w:t>
      </w:r>
      <w:r>
        <w:rPr>
          <w:rFonts w:ascii="Times New Roman" w:hAnsi="Times New Roman"/>
          <w:i/>
          <w:color w:val="000000"/>
          <w:sz w:val="20"/>
        </w:rPr>
        <w:t>Salem Contract Decision</w:t>
      </w:r>
      <w:r>
        <w:rPr>
          <w:rFonts w:ascii="Times New Roman" w:hAnsi="Times New Roman"/>
          <w:color w:val="000000"/>
          <w:sz w:val="20"/>
        </w:rPr>
        <w:t xml:space="preserve">, AT&amp;T failed to adopt accurate methods for tracking its subscribers, relying instead on the NPA-NXX convention even after AT&amp;T knew the methodology was no longer a viable proxy for principal place of use. </w:t>
      </w:r>
      <w:hyperlink r:id="r87">
        <w:r>
          <w:rPr>
            <w:rFonts w:ascii="Times New Roman" w:hAnsi="Times New Roman"/>
            <w:color w:val="000000"/>
            <w:sz w:val="20"/>
          </w:rPr>
          <w:t>2021 WL 4438046, at *50–54</w:t>
        </w:r>
      </w:hyperlink>
      <w:r>
        <w:rPr>
          <w:rFonts w:ascii="Times New Roman" w:hAnsi="Times New Roman"/>
          <w:color w:val="000000"/>
          <w:sz w:val="20"/>
        </w:rPr>
        <w:t xml:space="preserve">. AT&amp;T's use of NPA-NXX created a situation in which AT&amp;T did not know which subscribers should have been attributed to the Partnership and which should not. AT&amp;T did not even know how to estimate the magnitude of the error. </w:t>
      </w:r>
      <w:hyperlink r:id="r88">
        <w:r>
          <w:rPr>
            <w:rFonts w:ascii="Times New Roman" w:hAnsi="Times New Roman"/>
            <w:i/>
            <w:color w:val="000000"/>
            <w:sz w:val="20"/>
          </w:rPr>
          <w:t>Id.</w:t>
        </w:r>
        <w:r>
          <w:rPr>
            <w:rFonts w:ascii="Times New Roman" w:hAnsi="Times New Roman"/>
            <w:color w:val="000000"/>
            <w:sz w:val="20"/>
          </w:rPr>
          <w:t xml:space="preserve"> at *79</w:t>
        </w:r>
      </w:hyperlink>
      <w:r>
        <w:rPr>
          <w:rFonts w:ascii="Times New Roman" w:hAnsi="Times New Roman"/>
          <w:color w:val="000000"/>
          <w:sz w:val="20"/>
        </w:rPr>
        <w: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court also found in the </w:t>
      </w:r>
      <w:r>
        <w:rPr>
          <w:rFonts w:ascii="Times New Roman" w:hAnsi="Times New Roman"/>
          <w:i/>
          <w:color w:val="000000"/>
          <w:sz w:val="20"/>
        </w:rPr>
        <w:t>Salem Contract Decision</w:t>
      </w:r>
      <w:r>
        <w:rPr>
          <w:rFonts w:ascii="Times New Roman" w:hAnsi="Times New Roman"/>
          <w:color w:val="000000"/>
          <w:sz w:val="20"/>
        </w:rPr>
        <w:t xml:space="preserve"> that AT&amp;T pervasively disregarded the contractual obligations it undertook to the Partnership. “AT&amp;T committed to treat the Partnership better than its own business units and indisputably better than an arm's-length third party.” </w:t>
      </w:r>
      <w:hyperlink r:id="r89">
        <w:r>
          <w:rPr>
            <w:rFonts w:ascii="Times New Roman" w:hAnsi="Times New Roman"/>
            <w:i/>
            <w:color w:val="000000"/>
            <w:sz w:val="20"/>
          </w:rPr>
          <w:t>Id.</w:t>
        </w:r>
        <w:r>
          <w:rPr>
            <w:rFonts w:ascii="Times New Roman" w:hAnsi="Times New Roman"/>
            <w:color w:val="000000"/>
            <w:sz w:val="20"/>
          </w:rPr>
          <w:t xml:space="preserve"> at *14</w:t>
        </w:r>
      </w:hyperlink>
      <w:r>
        <w:rPr>
          <w:rFonts w:ascii="Times New Roman" w:hAnsi="Times New Roman"/>
          <w:color w:val="000000"/>
          <w:sz w:val="20"/>
        </w:rPr>
        <w:t xml:space="preserve">. AT&amp;T agreed to operate the Partnership as an integral part of its overall nationwide network, and for purposes of running its own business, that is how AT&amp;T managed the Partnership's assets. </w:t>
      </w:r>
      <w:hyperlink r:id="r90">
        <w:r>
          <w:rPr>
            <w:rFonts w:ascii="Times New Roman" w:hAnsi="Times New Roman"/>
            <w:i/>
            <w:color w:val="000000"/>
            <w:sz w:val="20"/>
          </w:rPr>
          <w:t>Id.</w:t>
        </w:r>
        <w:r>
          <w:rPr>
            <w:rFonts w:ascii="Times New Roman" w:hAnsi="Times New Roman"/>
            <w:color w:val="000000"/>
            <w:sz w:val="20"/>
          </w:rPr>
          <w:t xml:space="preserve"> at *20</w:t>
        </w:r>
      </w:hyperlink>
      <w:r>
        <w:rPr>
          <w:rFonts w:ascii="Times New Roman" w:hAnsi="Times New Roman"/>
          <w:color w:val="000000"/>
          <w:sz w:val="20"/>
        </w:rPr>
        <w:t xml:space="preserve">. But when it came time to allocate revenue and expense to the Partnership, “AT&amp;T treated the Partnership as an independent, stand-alone entity whose business had not progressed beyond providing voice and basic data services to a limited group of subscribers in a specific geographic area.” </w:t>
      </w:r>
      <w:r>
        <w:rPr>
          <w:rFonts w:ascii="Times New Roman" w:hAnsi="Times New Roman"/>
          <w:i/>
          <w:color w:val="000000"/>
          <w:sz w:val="20"/>
        </w:rPr>
        <w:t>Id.</w:t>
      </w:r>
      <w:r>
        <w:rPr>
          <w:rFonts w:ascii="Times New Roman" w:hAnsi="Times New Roman"/>
          <w:color w:val="000000"/>
          <w:sz w:val="20"/>
        </w:rPr>
        <w:t xml:space="preserve"> AT&amp;T did not follow the methods for allocating revenue and expense that the Management Agreement specified. Most notably, AT&amp;T did not follow the Shared Revenues Formula, and it did not comply with the Premium Provision.</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58" w:name="co_pp_sp_999_44_1"/>
      <w:r>
        <w:rPr>
          <w:rFonts w:ascii="Times New Roman" w:hAnsi="Times New Roman"/>
          <w:b/>
          <w:color w:val="000000"/>
          <w:sz w:val="20"/>
        </w:rPr>
        <w:t>*44</w:t>
      </w:r>
      <w:bookmarkEnd w:id="158"/>
      <w:r>
        <w:rPr>
          <w:rFonts w:ascii="Times New Roman" w:hAnsi="Times New Roman"/>
          <w:color w:val="000000"/>
          <w:sz w:val="20"/>
        </w:rPr>
        <w:t xml:space="preserve"> It is impossible to know how the Partnership's financial performance would have changed if AT&amp;T had complied with its contractual commitments to the Partnership. </w:t>
      </w:r>
      <w:r>
        <w:rPr>
          <w:rFonts w:ascii="Times New Roman" w:hAnsi="Times New Roman"/>
          <w:i/>
          <w:color w:val="000000"/>
          <w:sz w:val="20"/>
        </w:rPr>
        <w:t>Id.</w:t>
      </w:r>
      <w:r>
        <w:rPr>
          <w:rFonts w:ascii="Times New Roman" w:hAnsi="Times New Roman"/>
          <w:color w:val="000000"/>
          <w:sz w:val="20"/>
        </w:rPr>
        <w:t xml:space="preserve"> at *51. This court has already held that “[i]t seems more likely than not that the Partnership would have benefited materially from a traffic-based allocation.” </w:t>
      </w:r>
      <w:r>
        <w:rPr>
          <w:rFonts w:ascii="Times New Roman" w:hAnsi="Times New Roman"/>
          <w:i/>
          <w:color w:val="000000"/>
          <w:sz w:val="20"/>
        </w:rPr>
        <w:t>Id.</w:t>
      </w:r>
      <w:r>
        <w:rPr>
          <w:rFonts w:ascii="Times New Roman" w:hAnsi="Times New Roman"/>
          <w:color w:val="000000"/>
          <w:sz w:val="20"/>
        </w:rPr>
        <w:t xml:space="preserve"> This court also has noted that AT&amp;T failed to comply with the Premium Provision, which called for adding a 25% premium to any revenue allocated to AT&amp;T.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As the basic framework for the DCF model, this decision uses the model that PwC prepared and which Taylor modified. </w:t>
      </w:r>
      <w:r>
        <w:rPr>
          <w:rFonts w:ascii="Times New Roman" w:hAnsi="Times New Roman"/>
          <w:color w:val="000000"/>
          <w:sz w:val="20"/>
        </w:rPr>
        <w:t>By embracing this model, the court admittedly creates some tension with its earlier finding that the outputs of PwC's and Taylor's version of the model did not provide persuasive evidence on the question of fair price. But that was due to errors in application. The validity of the DCF model as a conceptual approach is beyond question.</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problem with PwC's and Taylor's versions of the DCF model fell into two broad categories. First, PwC and Taylor used financial information that was based on unreliable subscriber counts and which did not take into account AT&amp;T's contractual obligations to the Partnership. Unfortunately, those problems cannot be fixed. The financial records that AT&amp;T maintained are all that we have.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Second, PwC and Taylor used erroneous and unreliable assumptions. Those aspects can be fixed. By doing so, the court can arrive at a responsible estimate of damages.</w:t>
      </w:r>
    </w:p>
    <w:p>
      <w:pPr>
        <w:spacing w:before="0" w:after="0" w:line="275" w:lineRule="atLeast"/>
        <w:jc w:val="both"/>
      </w:pPr>
      <w:r>
        <w:rPr>
          <w:rFonts w:ascii="Times New Roman" w:hAnsi="Times New Roman"/>
          <w:color w:val="000000"/>
          <w:sz w:val="20"/>
        </w:rPr>
        <w:t> </w:t>
      </w:r>
    </w:p>
    <w:bookmarkStart w:id="159" w:name="co_anchor_I8f2b78e1ace211ec8c80dd32e620"/>
    <w:bookmarkStart w:id="160" w:name="co_anchor_I8f2b78e1ace211ec8c80dd32e2"/>
    <w:p>
      <w:pPr>
        <w:spacing w:before="400" w:after="0" w:line="275" w:lineRule="atLeast"/>
      </w:pPr>
      <w:r>
        <w:rPr>
          <w:rFonts w:ascii="Times New Roman" w:hAnsi="Times New Roman"/>
          <w:b/>
          <w:color w:val="000000"/>
          <w:sz w:val="20"/>
        </w:rPr>
        <w:t>A. The Estimate Of Cash Flows</w:t>
      </w:r>
    </w:p>
    <w:bookmarkEnd w:id="160"/>
    <w:bookmarkEnd w:id="159"/>
    <w:p>
      <w:pPr>
        <w:spacing w:before="0" w:after="0" w:line="275" w:lineRule="atLeast"/>
        <w:jc w:val="both"/>
      </w:pPr>
      <w:r>
        <w:rPr>
          <w:rFonts w:ascii="Times New Roman" w:hAnsi="Times New Roman"/>
          <w:color w:val="000000"/>
          <w:sz w:val="20"/>
        </w:rPr>
        <w:t>The first step in the DCF analysis is to determine a reliable estimate of the Partnership's future cash flows. For remedial purposes, the court uses a ten-year projection period, draws information from both the Three-Year Plan and the Ten-Year Plan, employs a flowshare model with corrected inputs, and adjusts the tax rate.</w:t>
      </w:r>
      <w:bookmarkStart w:id="161" w:name="co_fnRef_B00312055700832_ID0EXOEK_1"/>
      <w:hyperlink w:anchor="co_footnote_B00312055700832_1">
        <w:r>
          <w:rPr>
            <w:rFonts w:ascii="Times New Roman" w:hAnsi="Times New Roman"/>
            <w:color w:val="000000"/>
            <w:sz w:val="16"/>
            <w:vertAlign w:val="superscript"/>
          </w:rPr>
          <w:t>31</w:t>
        </w:r>
      </w:hyperlink>
      <w:bookmarkEnd w:id="161"/>
    </w:p>
    <w:p>
      <w:pPr>
        <w:spacing w:before="0" w:after="0" w:line="275" w:lineRule="atLeast"/>
        <w:jc w:val="both"/>
      </w:pPr>
      <w:r>
        <w:rPr>
          <w:rFonts w:ascii="Times New Roman" w:hAnsi="Times New Roman"/>
          <w:color w:val="000000"/>
          <w:sz w:val="20"/>
        </w:rPr>
        <w:t> </w:t>
      </w:r>
    </w:p>
    <w:bookmarkStart w:id="162" w:name="co_anchor_I8f2c3c31ace211ec8c80dd32e620"/>
    <w:bookmarkStart w:id="163" w:name="co_anchor_I8f2c3c31ace211ec8c80dd32e2"/>
    <w:p>
      <w:pPr>
        <w:pBdr>
          <w:left w:val="none" w:space="10"/>
        </w:pBdr>
        <w:spacing w:before="400" w:after="0" w:line="275" w:lineRule="atLeast"/>
        <w:ind w:left="200" w:right="0" w:firstLine="0"/>
      </w:pPr>
      <w:r>
        <w:rPr>
          <w:rFonts w:ascii="Times New Roman" w:hAnsi="Times New Roman"/>
          <w:b/>
          <w:color w:val="000000"/>
          <w:sz w:val="20"/>
        </w:rPr>
        <w:t>1. The Length Of The Explicit Forecast Period</w:t>
      </w:r>
    </w:p>
    <w:bookmarkEnd w:id="163"/>
    <w:bookmarkEnd w:id="162"/>
    <w:p>
      <w:pPr>
        <w:spacing w:before="0" w:after="0" w:line="275" w:lineRule="atLeast"/>
        <w:jc w:val="both"/>
      </w:pPr>
      <w:r>
        <w:rPr>
          <w:rFonts w:ascii="Times New Roman" w:hAnsi="Times New Roman"/>
          <w:color w:val="000000"/>
          <w:sz w:val="20"/>
        </w:rPr>
        <w:t xml:space="preserve">When constructing a DCF model, the goal is to create an explicit forecast period that is “long enough that the business will have reached a steady state by the end of the period.” Tim Koller et al., </w:t>
      </w:r>
      <w:r>
        <w:rPr>
          <w:rFonts w:ascii="Times New Roman" w:hAnsi="Times New Roman"/>
          <w:i/>
          <w:color w:val="000000"/>
          <w:sz w:val="20"/>
        </w:rPr>
        <w:t>Valuation</w:t>
      </w:r>
      <w:r>
        <w:rPr>
          <w:rFonts w:ascii="Times New Roman" w:hAnsi="Times New Roman"/>
          <w:color w:val="000000"/>
          <w:sz w:val="20"/>
        </w:rPr>
        <w:t xml:space="preserve"> 221 (5th ed. 2010). Whether a company has reached steady state turns on the company's “current stage within its lifecycle [and] the length of time it will remain in that stage.” </w:t>
      </w:r>
      <w:hyperlink r:id="r91">
        <w:r>
          <w:rPr>
            <w:rFonts w:ascii="Times New Roman" w:hAnsi="Times New Roman"/>
            <w:i/>
            <w:color w:val="000000"/>
            <w:sz w:val="20"/>
          </w:rPr>
          <w:t>In re ISN Software Corp. Appraisal Litig.</w:t>
        </w:r>
        <w:r>
          <w:rPr>
            <w:rFonts w:ascii="Times New Roman" w:hAnsi="Times New Roman"/>
            <w:color w:val="000000"/>
            <w:sz w:val="20"/>
          </w:rPr>
          <w:t>, 2016 WL 4275388, at *5 (Del. Ch. Aug. 11, 2016)</w:t>
        </w:r>
      </w:hyperlink>
      <w:r>
        <w:rPr>
          <w:rFonts w:ascii="Times New Roman" w:hAnsi="Times New Roman"/>
          <w:color w:val="000000"/>
          <w:sz w:val="20"/>
        </w:rPr>
        <w:t xml:space="preserve">, </w:t>
      </w:r>
      <w:r>
        <w:rPr>
          <w:rFonts w:ascii="Times New Roman" w:hAnsi="Times New Roman"/>
          <w:i/>
          <w:color w:val="000000"/>
          <w:sz w:val="20"/>
        </w:rPr>
        <w:t>aff'd</w:t>
      </w:r>
      <w:r>
        <w:rPr>
          <w:rFonts w:ascii="Times New Roman" w:hAnsi="Times New Roman"/>
          <w:color w:val="000000"/>
          <w:sz w:val="20"/>
        </w:rPr>
        <w:t xml:space="preserve">, </w:t>
      </w:r>
      <w:hyperlink r:id="r92">
        <w:r>
          <w:rPr>
            <w:rFonts w:ascii="Times New Roman" w:hAnsi="Times New Roman"/>
            <w:color w:val="000000"/>
            <w:sz w:val="20"/>
          </w:rPr>
          <w:t>173 A.3d 1047 (Del. 2017)</w:t>
        </w:r>
      </w:hyperlink>
      <w:r>
        <w:rPr>
          <w:rFonts w:ascii="Times New Roman" w:hAnsi="Times New Roman"/>
          <w:color w:val="000000"/>
          <w:sz w:val="20"/>
        </w:rPr>
        <w:t xml:space="preserve"> (TABLE).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 the time of the Freeze-Out, different segments of AT&amp;T's wireless businesses were at different stages of maturity. The legacy wireless businesses involving voice communications and text messages was still growing, but were relatively more mature than the newer services business and application business. The Connected Devices business was in an early stage. Other data-driven ventures were newer still. </w:t>
      </w:r>
      <w:r>
        <w:rPr>
          <w:rFonts w:ascii="Times New Roman" w:hAnsi="Times New Roman"/>
          <w:i/>
          <w:color w:val="000000"/>
          <w:sz w:val="20"/>
        </w:rPr>
        <w:t>See</w:t>
      </w:r>
      <w:r>
        <w:rPr>
          <w:rFonts w:ascii="Times New Roman" w:hAnsi="Times New Roman"/>
          <w:color w:val="000000"/>
          <w:sz w:val="20"/>
        </w:rPr>
        <w:t xml:space="preserve"> JX 1330 at ’079–80; Musey Report at 17, 49, 69. The early stages of many of these businesses counsel in favor of a longer projection period.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Another factor favoring a longer projection period was AT&amp;T's plans to invest in network infrastructure, including a rollout of new 4G technology. </w:t>
      </w:r>
      <w:r>
        <w:rPr>
          <w:rFonts w:ascii="Times New Roman" w:hAnsi="Times New Roman"/>
          <w:i/>
          <w:color w:val="000000"/>
          <w:sz w:val="20"/>
        </w:rPr>
        <w:t>See</w:t>
      </w:r>
      <w:r>
        <w:rPr>
          <w:rFonts w:ascii="Times New Roman" w:hAnsi="Times New Roman"/>
          <w:color w:val="000000"/>
          <w:sz w:val="20"/>
        </w:rPr>
        <w:t xml:space="preserve"> Musey Report at 10–11. A shorter projection period could exclude significant capital expenditures. Doing so might benefit the plaintiffs by reducing expenses in the discrete period, or it might harm them by omitting the returns on those investments. Either would be inaccurate.</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64" w:name="co_pp_sp_999_45_1"/>
      <w:r>
        <w:rPr>
          <w:rFonts w:ascii="Times New Roman" w:hAnsi="Times New Roman"/>
          <w:b/>
          <w:color w:val="000000"/>
          <w:sz w:val="20"/>
        </w:rPr>
        <w:t>*45</w:t>
      </w:r>
      <w:bookmarkEnd w:id="164"/>
      <w:r>
        <w:rPr>
          <w:rFonts w:ascii="Times New Roman" w:hAnsi="Times New Roman"/>
          <w:color w:val="000000"/>
          <w:sz w:val="20"/>
        </w:rPr>
        <w:t xml:space="preserve"> The Partnership was part of AT&amp;T's integrated wireless business. A ten-year projection period better reflects the record evidence about where that business was in its life cycle. This decision therefore uses a ten-year projection period to calculate damages.</w:t>
      </w:r>
    </w:p>
    <w:p>
      <w:pPr>
        <w:spacing w:before="0" w:after="0" w:line="275" w:lineRule="atLeast"/>
        <w:jc w:val="both"/>
      </w:pPr>
      <w:r>
        <w:rPr>
          <w:rFonts w:ascii="Times New Roman" w:hAnsi="Times New Roman"/>
          <w:color w:val="000000"/>
          <w:sz w:val="20"/>
        </w:rPr>
        <w:t> </w:t>
      </w:r>
    </w:p>
    <w:bookmarkStart w:id="165" w:name="co_anchor_I8f2e3801ace211ec8c80dd32e620"/>
    <w:bookmarkStart w:id="166" w:name="co_anchor_I8f2e3801ace211ec8c80dd32e2"/>
    <w:p>
      <w:pPr>
        <w:pBdr>
          <w:left w:val="none" w:space="10"/>
        </w:pBdr>
        <w:spacing w:before="400" w:after="0" w:line="275" w:lineRule="atLeast"/>
        <w:ind w:left="200" w:right="0" w:firstLine="0"/>
      </w:pPr>
      <w:r>
        <w:rPr>
          <w:rFonts w:ascii="Times New Roman" w:hAnsi="Times New Roman"/>
          <w:b/>
          <w:color w:val="000000"/>
          <w:sz w:val="20"/>
        </w:rPr>
        <w:t>2. The Three-Year Plan Versus The Ten-Year Plan</w:t>
      </w:r>
    </w:p>
    <w:bookmarkEnd w:id="166"/>
    <w:bookmarkEnd w:id="165"/>
    <w:p>
      <w:pPr>
        <w:spacing w:before="0" w:after="0" w:line="275" w:lineRule="atLeast"/>
        <w:jc w:val="both"/>
      </w:pPr>
      <w:r>
        <w:rPr>
          <w:rFonts w:ascii="Times New Roman" w:hAnsi="Times New Roman"/>
          <w:color w:val="000000"/>
          <w:sz w:val="20"/>
        </w:rPr>
        <w:t xml:space="preserve">The next issue is which set of projections to use to forecast the Partnership's cash flows. The plaintiffs prefer the Three-Year Plan. AT&amp;T prefers the Ten-Year Plan. As discussed in the Factual Background, both plans are sufficiently reliable to use as a source of evidence. </w:t>
      </w:r>
      <w:r>
        <w:rPr>
          <w:rFonts w:ascii="Times New Roman" w:hAnsi="Times New Roman"/>
          <w:i/>
          <w:color w:val="000000"/>
          <w:sz w:val="20"/>
        </w:rPr>
        <w:t>See</w:t>
      </w:r>
      <w:r>
        <w:rPr>
          <w:rFonts w:ascii="Times New Roman" w:hAnsi="Times New Roman"/>
          <w:color w:val="000000"/>
          <w:sz w:val="20"/>
        </w:rPr>
        <w:t xml:space="preserve"> </w:t>
      </w:r>
      <w:hyperlink r:id="r93">
        <w:r>
          <w:rPr>
            <w:rFonts w:ascii="Times New Roman" w:hAnsi="Times New Roman"/>
            <w:i/>
            <w:color w:val="000000"/>
            <w:sz w:val="20"/>
          </w:rPr>
          <w:t>In re Appraisal of Regal Ent. Gp.</w:t>
        </w:r>
        <w:r>
          <w:rPr>
            <w:rFonts w:ascii="Times New Roman" w:hAnsi="Times New Roman"/>
            <w:color w:val="000000"/>
            <w:sz w:val="20"/>
          </w:rPr>
          <w:t>, 2021 WL 1916364, at *21 (Del. Ch. May 13, 2021)</w:t>
        </w:r>
      </w:hyperlink>
      <w:r>
        <w:rPr>
          <w:rFonts w:ascii="Times New Roman" w:hAnsi="Times New Roman"/>
          <w:color w:val="000000"/>
          <w:sz w:val="20"/>
        </w:rPr>
        <w:t xml:space="preserve"> (collecting cases). For the reasons provided in the Factual Background, the Three-Year Plan generally is more credible and reliable than the Ten-Year Plan.</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Because the Three-Year Plan is more reliable, this decision generally uses the Three-Year Plan for periods when it applies. For periods post-dating the Three-Year Plan, this decision uses the Ten-Year Plan as the best source of information available. When drawing on the Ten-Year Plan, however, this decision takes into account evidence indicating that AT&amp;T included assumptions in the 2010 Ten-Year Plan that AT&amp;T knew were excessively conservative. </w:t>
      </w:r>
      <w:r>
        <w:rPr>
          <w:rFonts w:ascii="Times New Roman" w:hAnsi="Times New Roman"/>
          <w:i/>
          <w:color w:val="000000"/>
          <w:sz w:val="20"/>
        </w:rPr>
        <w:t>See</w:t>
      </w:r>
      <w:r>
        <w:rPr>
          <w:rFonts w:ascii="Times New Roman" w:hAnsi="Times New Roman"/>
          <w:color w:val="000000"/>
          <w:sz w:val="20"/>
        </w:rPr>
        <w:t xml:space="preserve"> JX 1598 at ’355; JX 3577 at ’181; Kobos Dep. 165–66.</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Although the Three-Year Plan wins out over the Ten-Year Plan, the choice between them has a minimal effect on the damages calculation. Neither plan contains projections for the </w:t>
      </w:r>
      <w:r>
        <w:rPr>
          <w:rFonts w:ascii="Times New Roman" w:hAnsi="Times New Roman"/>
          <w:i/>
          <w:color w:val="000000"/>
          <w:sz w:val="20"/>
        </w:rPr>
        <w:t>Partnership's</w:t>
      </w:r>
      <w:r>
        <w:rPr>
          <w:rFonts w:ascii="Times New Roman" w:hAnsi="Times New Roman"/>
          <w:color w:val="000000"/>
          <w:sz w:val="20"/>
        </w:rPr>
        <w:t xml:space="preserve"> business. Both plans contain projections for AT&amp;T's wireless business as whole. The two plans are relevant primarily because they inform assumptions about inputs such as revenue growth rates and the net effect of roaming.</w:t>
      </w:r>
    </w:p>
    <w:p>
      <w:pPr>
        <w:spacing w:before="0" w:after="0" w:line="275" w:lineRule="atLeast"/>
        <w:jc w:val="both"/>
      </w:pPr>
      <w:r>
        <w:rPr>
          <w:rFonts w:ascii="Times New Roman" w:hAnsi="Times New Roman"/>
          <w:color w:val="000000"/>
          <w:sz w:val="20"/>
        </w:rPr>
        <w:t> </w:t>
      </w:r>
    </w:p>
    <w:bookmarkStart w:id="167" w:name="co_anchor_I8f2fbea1ace211ec8c80dd32e620"/>
    <w:bookmarkStart w:id="168" w:name="co_anchor_I8f2fbea1ace211ec8c80dd32e2"/>
    <w:p>
      <w:pPr>
        <w:pBdr>
          <w:left w:val="none" w:space="10"/>
        </w:pBdr>
        <w:spacing w:before="400" w:after="0" w:line="275" w:lineRule="atLeast"/>
        <w:ind w:left="200" w:right="0" w:firstLine="0"/>
      </w:pPr>
      <w:r>
        <w:rPr>
          <w:rFonts w:ascii="Times New Roman" w:hAnsi="Times New Roman"/>
          <w:b/>
          <w:color w:val="000000"/>
          <w:sz w:val="20"/>
        </w:rPr>
        <w:t>3. The Forecasting Methodology</w:t>
      </w:r>
    </w:p>
    <w:bookmarkEnd w:id="168"/>
    <w:bookmarkEnd w:id="167"/>
    <w:p>
      <w:pPr>
        <w:spacing w:before="0" w:after="0" w:line="275" w:lineRule="atLeast"/>
        <w:jc w:val="both"/>
      </w:pPr>
      <w:r>
        <w:rPr>
          <w:rFonts w:ascii="Times New Roman" w:hAnsi="Times New Roman"/>
          <w:color w:val="000000"/>
          <w:sz w:val="20"/>
        </w:rPr>
        <w:t>Because AT&amp;T did not prepare a specific forecast for the Partnership, it is necessary to create one. This decision uses the flowshare model that PwC created and Taylor modified, but corrects for the value-depressing inputs that PwC and Taylor used.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For the number of subscribers at the start of the projection period, this decision uses AT&amp;T's subscriber count. Although this decision has found those counts to be unreliable, they are “the only starting point we have for the purpose of estimating subscriber growth.” Musey Rebuttal Report at 6. AT&amp;T also cannot complain, because AT&amp;T itself used the NPA-NXX counts.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For purposes of calculating damages, this decision uses the following inputs:</w:t>
      </w:r>
    </w:p>
    <w:p>
      <w:pPr>
        <w:spacing w:before="200" w:after="0" w:line="275" w:lineRule="atLeast"/>
        <w:ind w:left="400" w:right="0" w:hanging="200"/>
        <w:jc w:val="both"/>
      </w:pPr>
      <w:r>
        <w:rPr>
          <w:rFonts w:ascii="Times New Roman" w:hAnsi="Times New Roman"/>
          <w:color w:val="000000"/>
          <w:sz w:val="20"/>
        </w:rPr>
        <w:t xml:space="preserve">• The starting population of the Salem Market was 396,103 residents as of the beginning of 2010. </w:t>
      </w:r>
      <w:r>
        <w:rPr>
          <w:rFonts w:ascii="Times New Roman" w:hAnsi="Times New Roman"/>
          <w:i/>
          <w:color w:val="000000"/>
          <w:sz w:val="20"/>
        </w:rPr>
        <w:t>See</w:t>
      </w:r>
      <w:r>
        <w:rPr>
          <w:rFonts w:ascii="Times New Roman" w:hAnsi="Times New Roman"/>
          <w:color w:val="000000"/>
          <w:sz w:val="20"/>
        </w:rPr>
        <w:t xml:space="preserve"> Part II.C.4.a, </w:t>
      </w:r>
      <w:r>
        <w:rPr>
          <w:rFonts w:ascii="Times New Roman" w:hAnsi="Times New Roman"/>
          <w:i/>
          <w:color w:val="000000"/>
          <w:sz w:val="20"/>
        </w:rPr>
        <w:t>supra.</w:t>
      </w:r>
    </w:p>
    <w:p>
      <w:pPr>
        <w:spacing w:before="200" w:after="0" w:line="275" w:lineRule="atLeast"/>
        <w:ind w:left="400" w:right="0" w:hanging="200"/>
        <w:jc w:val="both"/>
      </w:pPr>
      <w:r>
        <w:rPr>
          <w:rFonts w:ascii="Times New Roman" w:hAnsi="Times New Roman"/>
          <w:color w:val="000000"/>
          <w:sz w:val="20"/>
        </w:rPr>
        <w:t xml:space="preserve">• The rate of population growth in the Salem Market was 1.5%, based on data from the Census Bureau. </w:t>
      </w:r>
      <w:r>
        <w:rPr>
          <w:rFonts w:ascii="Times New Roman" w:hAnsi="Times New Roman"/>
          <w:i/>
          <w:color w:val="000000"/>
          <w:sz w:val="20"/>
        </w:rPr>
        <w:t>See</w:t>
      </w:r>
      <w:r>
        <w:rPr>
          <w:rFonts w:ascii="Times New Roman" w:hAnsi="Times New Roman"/>
          <w:color w:val="000000"/>
          <w:sz w:val="20"/>
        </w:rPr>
        <w:t xml:space="preserve"> JX 3530, “Salem Subs Build” tab, Row 9; </w:t>
      </w:r>
      <w:r>
        <w:rPr>
          <w:rFonts w:ascii="Times New Roman" w:hAnsi="Times New Roman"/>
          <w:i/>
          <w:color w:val="000000"/>
          <w:sz w:val="20"/>
        </w:rPr>
        <w:t>see</w:t>
      </w:r>
      <w:r>
        <w:rPr>
          <w:rFonts w:ascii="Times New Roman" w:hAnsi="Times New Roman"/>
          <w:color w:val="000000"/>
          <w:sz w:val="20"/>
        </w:rPr>
        <w:t xml:space="preserve"> JX 1209 at ’029, ’212.</w:t>
      </w:r>
    </w:p>
    <w:p>
      <w:pPr>
        <w:spacing w:before="200" w:after="0" w:line="275" w:lineRule="atLeast"/>
        <w:ind w:left="400" w:right="0" w:hanging="200"/>
        <w:jc w:val="both"/>
      </w:pPr>
      <w:r>
        <w:rPr>
          <w:rFonts w:ascii="Times New Roman" w:hAnsi="Times New Roman"/>
          <w:color w:val="000000"/>
          <w:sz w:val="20"/>
        </w:rPr>
        <w:t>• The wireless penetration rate for the Salem Market at the start of the model is 88%.</w:t>
      </w:r>
      <w:bookmarkStart w:id="169" w:name="co_fnRef_B00322055700832_ID0ETZEK_1"/>
      <w:hyperlink w:anchor="co_footnote_B00322055700832_1">
        <w:r>
          <w:rPr>
            <w:rFonts w:ascii="Times New Roman" w:hAnsi="Times New Roman"/>
            <w:color w:val="000000"/>
            <w:sz w:val="16"/>
            <w:vertAlign w:val="superscript"/>
          </w:rPr>
          <w:t>32</w:t>
        </w:r>
      </w:hyperlink>
      <w:bookmarkEnd w:id="169"/>
    </w:p>
    <w:p>
      <w:pPr>
        <w:spacing w:before="200" w:after="0" w:line="275" w:lineRule="atLeast"/>
        <w:ind w:left="400" w:right="0" w:hanging="200"/>
        <w:jc w:val="both"/>
      </w:pPr>
      <w:r>
        <w:rPr>
          <w:rFonts w:ascii="Times New Roman" w:hAnsi="Times New Roman"/>
          <w:color w:val="000000"/>
          <w:sz w:val="20"/>
        </w:rPr>
        <w:t xml:space="preserve">• The annual rates of increase in wireless penetration in the Salem Market are 3% for 2010, 2.5% for 2011–2013, 2.4% for 2014–2016, and 2.3% for 2017–2019. </w:t>
      </w:r>
      <w:r>
        <w:rPr>
          <w:rFonts w:ascii="Times New Roman" w:hAnsi="Times New Roman"/>
          <w:i/>
          <w:color w:val="000000"/>
          <w:sz w:val="20"/>
        </w:rPr>
        <w:t>See</w:t>
      </w:r>
      <w:r>
        <w:rPr>
          <w:rFonts w:ascii="Times New Roman" w:hAnsi="Times New Roman"/>
          <w:color w:val="000000"/>
          <w:sz w:val="20"/>
        </w:rPr>
        <w:t xml:space="preserve"> JX 1209 at ’079.</w:t>
      </w:r>
    </w:p>
    <w:p>
      <w:pPr>
        <w:spacing w:before="200" w:after="0" w:line="275" w:lineRule="atLeast"/>
        <w:jc w:val="both"/>
      </w:pPr>
      <w:r>
        <w:rPr>
          <w:rFonts w:ascii="Times New Roman" w:hAnsi="Times New Roman"/>
          <w:color w:val="000000"/>
          <w:sz w:val="20"/>
        </w:rPr>
        <w:t>Compared to PwC's and Taylor's model, these more realistic inputs increase the total number of subscribers in the Salem Market, raise the number of subscribers available to the Partnership, and result in the Partnership capturing more subscribers over time.</w:t>
      </w:r>
    </w:p>
    <w:p>
      <w:pPr>
        <w:spacing w:before="0" w:after="0" w:line="275" w:lineRule="atLeast"/>
        <w:jc w:val="both"/>
      </w:pPr>
      <w:r>
        <w:rPr>
          <w:rFonts w:ascii="Times New Roman" w:hAnsi="Times New Roman"/>
          <w:color w:val="000000"/>
          <w:sz w:val="20"/>
        </w:rPr>
        <w:t> </w:t>
      </w:r>
    </w:p>
    <w:bookmarkStart w:id="170" w:name="co_anchor_I8f32a4d1ace211ec8c80dd32e620"/>
    <w:p>
      <w:pPr>
        <w:spacing w:before="400" w:after="0" w:line="275" w:lineRule="atLeast"/>
        <w:jc w:val="center"/>
      </w:pPr>
      <w:r>
        <w:rPr>
          <w:rFonts w:ascii="Times New Roman" w:hAnsi="Times New Roman"/>
          <w:b/>
          <w:color w:val="000000"/>
          <w:sz w:val="20"/>
        </w:rPr>
        <w:t>a. Partnership Churn And Market Churn</w:t>
      </w:r>
    </w:p>
    <w:bookmarkEnd w:id="170"/>
    <w:p>
      <w:pPr>
        <w:spacing w:before="200" w:after="0" w:line="275" w:lineRule="atLeast"/>
        <w:jc w:val="both"/>
      </w:pPr>
      <w:bookmarkStart w:id="171" w:name="co_pp_sp_999_46_1"/>
      <w:r>
        <w:rPr>
          <w:rFonts w:ascii="Times New Roman" w:hAnsi="Times New Roman"/>
          <w:b/>
          <w:color w:val="000000"/>
          <w:sz w:val="20"/>
        </w:rPr>
        <w:t>*46</w:t>
      </w:r>
      <w:bookmarkEnd w:id="171"/>
      <w:r>
        <w:rPr>
          <w:rFonts w:ascii="Times New Roman" w:hAnsi="Times New Roman"/>
          <w:color w:val="000000"/>
          <w:sz w:val="20"/>
        </w:rPr>
        <w:t xml:space="preserve"> As discussed in the ruling on fairness, AT&amp;T failed to prove that Taylor's estimate of Partnership churn was reliable. Musey argued for using AT&amp;T's level of churn in the Portland-Salem market area, which was 0.98%. Musey Report at 45, Fig. 3-2. That figure was likely somewhat low, because churn in smaller markets usually exceeds churn in larger markets. Taylor Report at 74. The principal alternative, however, is AT&amp;T's national rate of 1.48%, which is even higher than the Portland-Salem rate. This decision uses the figure of 0.98%, which is a responsible estimate.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estimate of market churn is an easier issue. Taylor used PwC's estimates, but she rounded the percentages to the nearest tenth. </w:t>
      </w:r>
      <w:r>
        <w:rPr>
          <w:rFonts w:ascii="Times New Roman" w:hAnsi="Times New Roman"/>
          <w:i/>
          <w:color w:val="000000"/>
          <w:sz w:val="20"/>
        </w:rPr>
        <w:t>Compare</w:t>
      </w:r>
      <w:r>
        <w:rPr>
          <w:rFonts w:ascii="Times New Roman" w:hAnsi="Times New Roman"/>
          <w:color w:val="000000"/>
          <w:sz w:val="20"/>
        </w:rPr>
        <w:t xml:space="preserve"> JX 3530, “Salem Subs Build” tab, Row 22, </w:t>
      </w:r>
      <w:r>
        <w:rPr>
          <w:rFonts w:ascii="Times New Roman" w:hAnsi="Times New Roman"/>
          <w:i/>
          <w:color w:val="000000"/>
          <w:sz w:val="20"/>
        </w:rPr>
        <w:t>with</w:t>
      </w:r>
      <w:r>
        <w:rPr>
          <w:rFonts w:ascii="Times New Roman" w:hAnsi="Times New Roman"/>
          <w:color w:val="000000"/>
          <w:sz w:val="20"/>
        </w:rPr>
        <w:t xml:space="preserve"> JX 1215, “Sub build” tab, row 19. That choice caused her estimates to fluctuate within a tight range above and below PwC's estimates. </w:t>
      </w:r>
      <w:r>
        <w:rPr>
          <w:rFonts w:ascii="Times New Roman" w:hAnsi="Times New Roman"/>
          <w:i/>
          <w:color w:val="000000"/>
          <w:sz w:val="20"/>
        </w:rPr>
        <w:t>Compare</w:t>
      </w:r>
      <w:r>
        <w:rPr>
          <w:rFonts w:ascii="Times New Roman" w:hAnsi="Times New Roman"/>
          <w:color w:val="000000"/>
          <w:sz w:val="20"/>
        </w:rPr>
        <w:t xml:space="preserve"> JX 3530, “Salem Subs Build” tab, Row 25, </w:t>
      </w:r>
      <w:r>
        <w:rPr>
          <w:rFonts w:ascii="Times New Roman" w:hAnsi="Times New Roman"/>
          <w:i/>
          <w:color w:val="000000"/>
          <w:sz w:val="20"/>
        </w:rPr>
        <w:t>with</w:t>
      </w:r>
      <w:r>
        <w:rPr>
          <w:rFonts w:ascii="Times New Roman" w:hAnsi="Times New Roman"/>
          <w:color w:val="000000"/>
          <w:sz w:val="20"/>
        </w:rPr>
        <w:t xml:space="preserve"> JX 1215, “Sub build” tab, row 24. Although the impact was small, it negatively affected the value of the Partnership. </w:t>
      </w:r>
      <w:r>
        <w:rPr>
          <w:rFonts w:ascii="Times New Roman" w:hAnsi="Times New Roman"/>
          <w:color w:val="000000"/>
          <w:sz w:val="20"/>
        </w:rPr>
        <w:t>Taylor did not offer a convincing reason for the change, which exemplifies the type of small adjustment that a valuator can make to influence the output. This decision reverts to PwC's estimates for market churn.</w:t>
      </w:r>
    </w:p>
    <w:p>
      <w:pPr>
        <w:spacing w:before="0" w:after="0" w:line="275" w:lineRule="atLeast"/>
        <w:jc w:val="both"/>
      </w:pPr>
      <w:r>
        <w:rPr>
          <w:rFonts w:ascii="Times New Roman" w:hAnsi="Times New Roman"/>
          <w:color w:val="000000"/>
          <w:sz w:val="20"/>
        </w:rPr>
        <w:t> </w:t>
      </w:r>
    </w:p>
    <w:bookmarkStart w:id="172" w:name="co_anchor_I8f33dd51ace211ec8c80dd32e620"/>
    <w:p>
      <w:pPr>
        <w:spacing w:before="400" w:after="0" w:line="275" w:lineRule="atLeast"/>
        <w:jc w:val="center"/>
      </w:pPr>
      <w:r>
        <w:rPr>
          <w:rFonts w:ascii="Times New Roman" w:hAnsi="Times New Roman"/>
          <w:b/>
          <w:color w:val="000000"/>
          <w:sz w:val="20"/>
        </w:rPr>
        <w:t>b. Gross Adds</w:t>
      </w:r>
    </w:p>
    <w:bookmarkEnd w:id="172"/>
    <w:p>
      <w:pPr>
        <w:spacing w:before="200" w:after="0" w:line="275" w:lineRule="atLeast"/>
        <w:jc w:val="both"/>
      </w:pPr>
      <w:r>
        <w:rPr>
          <w:rFonts w:ascii="Times New Roman" w:hAnsi="Times New Roman"/>
          <w:color w:val="000000"/>
          <w:sz w:val="20"/>
        </w:rPr>
        <w:t xml:space="preserve">Taylor adopted PwC's forecast for the Partnership's share of gross adds. </w:t>
      </w:r>
      <w:r>
        <w:rPr>
          <w:rFonts w:ascii="Times New Roman" w:hAnsi="Times New Roman"/>
          <w:i/>
          <w:color w:val="000000"/>
          <w:sz w:val="20"/>
        </w:rPr>
        <w:t>Compare</w:t>
      </w:r>
      <w:r>
        <w:rPr>
          <w:rFonts w:ascii="Times New Roman" w:hAnsi="Times New Roman"/>
          <w:color w:val="000000"/>
          <w:sz w:val="20"/>
        </w:rPr>
        <w:t xml:space="preserve"> JX 3530, “Salem Subs Build” tab, Row 31, </w:t>
      </w:r>
      <w:r>
        <w:rPr>
          <w:rFonts w:ascii="Times New Roman" w:hAnsi="Times New Roman"/>
          <w:i/>
          <w:color w:val="000000"/>
          <w:sz w:val="20"/>
        </w:rPr>
        <w:t>with</w:t>
      </w:r>
      <w:r>
        <w:rPr>
          <w:rFonts w:ascii="Times New Roman" w:hAnsi="Times New Roman"/>
          <w:color w:val="000000"/>
          <w:sz w:val="20"/>
        </w:rPr>
        <w:t xml:space="preserve"> JX 1215, “Sub Build” tab, Row 43. PwC estimated the Partnership's share of gross adds to be 22.8% for 2010. PwC then gradually decreased the Partnership's share of gross adds to a floor of 21.1% in 2014 and maintained that estimate for the remainder of the discrete projection period.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Musey criticized PwC's estimate because it appeared to be based solely on the Partnership's gross adds in 2009. Musey noted that “[i]nternal PwC emails indicate flowshare should equal market share,” but that PwC's model set flowshare significantly lower than PwC's estimate of the Partnership's market share of 32.4%. Musey Report at 41; </w:t>
      </w:r>
      <w:r>
        <w:rPr>
          <w:rFonts w:ascii="Times New Roman" w:hAnsi="Times New Roman"/>
          <w:i/>
          <w:color w:val="000000"/>
          <w:sz w:val="20"/>
        </w:rPr>
        <w:t>see</w:t>
      </w:r>
      <w:r>
        <w:rPr>
          <w:rFonts w:ascii="Times New Roman" w:hAnsi="Times New Roman"/>
          <w:color w:val="000000"/>
          <w:sz w:val="20"/>
        </w:rPr>
        <w:t xml:space="preserve"> JX 1209 at ’033.</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explanation lies in the fact that PwC and Taylor underestimated the population in the Salem Market. </w:t>
      </w:r>
      <w:r>
        <w:rPr>
          <w:rFonts w:ascii="Times New Roman" w:hAnsi="Times New Roman"/>
          <w:i/>
          <w:color w:val="000000"/>
          <w:sz w:val="20"/>
        </w:rPr>
        <w:t>See</w:t>
      </w:r>
      <w:r>
        <w:rPr>
          <w:rFonts w:ascii="Times New Roman" w:hAnsi="Times New Roman"/>
          <w:color w:val="000000"/>
          <w:sz w:val="20"/>
        </w:rPr>
        <w:t xml:space="preserve"> Part II. As a result, they underestimated the number of subscribers and the Partnership's market share. </w:t>
      </w:r>
      <w:r>
        <w:rPr>
          <w:rFonts w:ascii="Times New Roman" w:hAnsi="Times New Roman"/>
          <w:i/>
          <w:color w:val="000000"/>
          <w:sz w:val="20"/>
        </w:rPr>
        <w:t>See generally</w:t>
      </w:r>
      <w:r>
        <w:rPr>
          <w:rFonts w:ascii="Times New Roman" w:hAnsi="Times New Roman"/>
          <w:color w:val="000000"/>
          <w:sz w:val="20"/>
        </w:rPr>
        <w:t xml:space="preserve"> Taylor Tr. 941–42. This decision corrects those errors and therefore does not make any further adjustment to gross adds.</w:t>
      </w:r>
    </w:p>
    <w:p>
      <w:pPr>
        <w:spacing w:before="0" w:after="0" w:line="275" w:lineRule="atLeast"/>
        <w:jc w:val="both"/>
      </w:pPr>
      <w:r>
        <w:rPr>
          <w:rFonts w:ascii="Times New Roman" w:hAnsi="Times New Roman"/>
          <w:color w:val="000000"/>
          <w:sz w:val="20"/>
        </w:rPr>
        <w:t> </w:t>
      </w:r>
    </w:p>
    <w:bookmarkStart w:id="173" w:name="co_anchor_I8f3515d1ace211ec8c80dd32e620"/>
    <w:p>
      <w:pPr>
        <w:spacing w:before="400" w:after="0" w:line="275" w:lineRule="atLeast"/>
        <w:jc w:val="center"/>
      </w:pPr>
      <w:r>
        <w:rPr>
          <w:rFonts w:ascii="Times New Roman" w:hAnsi="Times New Roman"/>
          <w:b/>
          <w:color w:val="000000"/>
          <w:sz w:val="20"/>
        </w:rPr>
        <w:t>c. ARPUs And Subscriber Mix</w:t>
      </w:r>
    </w:p>
    <w:bookmarkEnd w:id="173"/>
    <w:p>
      <w:pPr>
        <w:spacing w:before="200" w:after="0" w:line="275" w:lineRule="atLeast"/>
        <w:jc w:val="both"/>
      </w:pPr>
      <w:r>
        <w:rPr>
          <w:rFonts w:ascii="Times New Roman" w:hAnsi="Times New Roman"/>
          <w:color w:val="000000"/>
          <w:sz w:val="20"/>
        </w:rPr>
        <w:t>The final step in correcting the flowshare model involves adjusting the Partnership's subscriber mix and ARPUs. As discussed in the preceding section, Taylor failed to justify her inputs.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Taylor's ARPUs assumed without sufficient basis that the Partnership would underperform AT&amp;T's national ARPUs indefinitely. It seems reasonable to assume that the Partnership's weighted average ARPUs would converge toward AT&amp;T's, but neither party presented a calculation that operationalizes that intuition. Changing the Partnership's weighted average ARPUs to equal AT&amp;T's would increase the ARPUs abruptly at the beginning of the discrete projection period, when in reality the change likely would have been more gradual.</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Taylor also failed to justify her changes in the Partnership's subscriber mix. She claimed to have followed the trends in the Partnership's subscriber mix in the years leading up to the Freeze-Out, but her projections did not match any recognizable trends in the data. Her projections also were less favorable than the changes AT&amp;T projected for its overall wireless business.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These errors are difficult to correct. To approximate the value Taylor excluded, this decision leaves the subscriber mix projections unchanged but adopts the ARPUs implied by AT&amp;T's national averages. Using AT&amp;T's national averages recognizes that by the time of the Freeze-Out, AT&amp;T had adopted uniform rate plans on a nationwide basis, making it likely that Partnership ARPUs would converge to AT&amp;T's nationwide ARPUs. This choice results in an abrupt increase in Partnership ARPUs at the beginning of the projection period. While that choice favors the plaintiffs, it is offset in part by leaving in place Taylor's unfavorable projections for subscriber mix. The resulting approach generates a responsible estimate on an issue where further precision is not possible.</w:t>
      </w:r>
    </w:p>
    <w:p>
      <w:pPr>
        <w:spacing w:before="0" w:after="0" w:line="275" w:lineRule="atLeast"/>
        <w:jc w:val="both"/>
      </w:pPr>
      <w:r>
        <w:rPr>
          <w:rFonts w:ascii="Times New Roman" w:hAnsi="Times New Roman"/>
          <w:color w:val="000000"/>
          <w:sz w:val="20"/>
        </w:rPr>
        <w:t> </w:t>
      </w:r>
    </w:p>
    <w:bookmarkStart w:id="174" w:name="co_anchor_I8f369c71ace211ec8c80dd32e620"/>
    <w:p>
      <w:pPr>
        <w:spacing w:before="400" w:after="0" w:line="275" w:lineRule="atLeast"/>
        <w:jc w:val="center"/>
      </w:pPr>
      <w:r>
        <w:rPr>
          <w:rFonts w:ascii="Times New Roman" w:hAnsi="Times New Roman"/>
          <w:b/>
          <w:color w:val="000000"/>
          <w:sz w:val="20"/>
        </w:rPr>
        <w:t>d. Other Revenue Sources</w:t>
      </w:r>
    </w:p>
    <w:bookmarkEnd w:id="174"/>
    <w:p>
      <w:pPr>
        <w:spacing w:before="200" w:after="0" w:line="275" w:lineRule="atLeast"/>
        <w:jc w:val="both"/>
      </w:pPr>
      <w:bookmarkStart w:id="175" w:name="co_pp_sp_999_47_1"/>
      <w:r>
        <w:rPr>
          <w:rFonts w:ascii="Times New Roman" w:hAnsi="Times New Roman"/>
          <w:b/>
          <w:color w:val="000000"/>
          <w:sz w:val="20"/>
        </w:rPr>
        <w:t>*47</w:t>
      </w:r>
      <w:bookmarkEnd w:id="175"/>
      <w:r>
        <w:rPr>
          <w:rFonts w:ascii="Times New Roman" w:hAnsi="Times New Roman"/>
          <w:color w:val="000000"/>
          <w:sz w:val="20"/>
        </w:rPr>
        <w:t xml:space="preserve"> The adjusted flowshare model generates responsible estimates of revenue for voice and data services. It does not address three additional sources of revenue: Connected Devices, voice roaming, and data roaming.</w:t>
      </w:r>
    </w:p>
    <w:p>
      <w:pPr>
        <w:spacing w:before="0" w:after="0" w:line="275" w:lineRule="atLeast"/>
        <w:jc w:val="both"/>
      </w:pPr>
      <w:r>
        <w:rPr>
          <w:rFonts w:ascii="Times New Roman" w:hAnsi="Times New Roman"/>
          <w:color w:val="000000"/>
          <w:sz w:val="20"/>
        </w:rPr>
        <w:t> </w:t>
      </w:r>
    </w:p>
    <w:bookmarkStart w:id="176" w:name="co_anchor_I8f36ea91ace211ec8c80dd32e620"/>
    <w:p>
      <w:pPr>
        <w:spacing w:before="400" w:after="0" w:line="275" w:lineRule="atLeast"/>
        <w:jc w:val="center"/>
      </w:pPr>
      <w:r>
        <w:rPr>
          <w:rFonts w:ascii="Times New Roman" w:hAnsi="Times New Roman"/>
          <w:b/>
          <w:color w:val="000000"/>
          <w:sz w:val="20"/>
        </w:rPr>
        <w:t>i. Connected Devices</w:t>
      </w:r>
    </w:p>
    <w:bookmarkEnd w:id="176"/>
    <w:p>
      <w:pPr>
        <w:spacing w:before="200" w:after="0" w:line="275" w:lineRule="atLeast"/>
        <w:jc w:val="both"/>
      </w:pPr>
      <w:r>
        <w:rPr>
          <w:rFonts w:ascii="Times New Roman" w:hAnsi="Times New Roman"/>
          <w:color w:val="000000"/>
          <w:sz w:val="20"/>
        </w:rPr>
        <w:t xml:space="preserve">As discussed in the preceding section, AT&amp;T failed to prove that Taylor's DCF model adequately accounted for revenue from Connected Devices. </w:t>
      </w:r>
      <w:r>
        <w:rPr>
          <w:rFonts w:ascii="Times New Roman" w:hAnsi="Times New Roman"/>
          <w:color w:val="000000"/>
          <w:sz w:val="20"/>
        </w:rPr>
        <w:t>It is therefore necessary to estimate the amount of omitted revenue.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Musey provided his own forecast for Connected Devices, but Musey did not explain how he derived his calculations. The court therefore will not use his figures.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It is possible to approximate the number of Connected Devices not captured by Taylor's projections. The 2009 Ten-Year Plan projects a total of 118.33 million AT&amp;T subscribers by 2019. JX 725, “Subscriber Report” tab, Cell CL16. The 2010 Ten-Year Plan projects 95.76 million traditional subscribers by 2019.</w:t>
      </w:r>
      <w:bookmarkStart w:id="177" w:name="co_fnRef_B00332055700832_ID0EAGFK_1"/>
      <w:hyperlink w:anchor="co_footnote_B00332055700832_1">
        <w:r>
          <w:rPr>
            <w:rFonts w:ascii="Times New Roman" w:hAnsi="Times New Roman"/>
            <w:color w:val="000000"/>
            <w:sz w:val="16"/>
            <w:vertAlign w:val="superscript"/>
          </w:rPr>
          <w:t>33</w:t>
        </w:r>
      </w:hyperlink>
      <w:bookmarkEnd w:id="177"/>
      <w:r>
        <w:rPr>
          <w:rFonts w:ascii="Times New Roman" w:hAnsi="Times New Roman"/>
          <w:color w:val="000000"/>
          <w:sz w:val="20"/>
        </w:rPr>
        <w:t xml:space="preserve"> The additional 22.57 million subscribers represent the sum of (i) the number of subscribers who did not have NPA-NXX numbers in 2009 that AT&amp;T gained the ability to track in 2010 and (ii) an upward revision that AT&amp;T made for additional growth in Connected Devices.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To include the value of the additional Connected Devices, this decision adds the resulting revenue as an overlay to the Partnership's services revenue. That approach avoids the difficulties Taylor identified with disaggregating Connected Devices and reconfiguring subscriber ARPUs. </w:t>
      </w:r>
      <w:r>
        <w:rPr>
          <w:rFonts w:ascii="Times New Roman" w:hAnsi="Times New Roman"/>
          <w:i/>
          <w:color w:val="000000"/>
          <w:sz w:val="20"/>
        </w:rPr>
        <w:t>See</w:t>
      </w:r>
      <w:r>
        <w:rPr>
          <w:rFonts w:ascii="Times New Roman" w:hAnsi="Times New Roman"/>
          <w:color w:val="000000"/>
          <w:sz w:val="20"/>
        </w:rPr>
        <w:t xml:space="preserve"> Taylor Report at 72–73.</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For simplicity, this decision calculates the additional Connected Devices on a national level as a percentage of overall AT&amp;T subscribers. It then multiplies the resulting percentage by the total Partnership subscribers on the date of the Freeze-Out to estimate the additional Connected Devices that should have been attributed to the Partnership. It then multiplies the number of subscribers by the ARPU for Connected Devices from the 2010 Ten-Year Plan to estimate incremental Connected Device revenue.</w:t>
      </w:r>
      <w:bookmarkStart w:id="178" w:name="co_fnRef_B00342055700832_ID0EZHFK_1"/>
      <w:hyperlink w:anchor="co_footnote_B00342055700832_1">
        <w:r>
          <w:rPr>
            <w:rFonts w:ascii="Times New Roman" w:hAnsi="Times New Roman"/>
            <w:color w:val="000000"/>
            <w:sz w:val="16"/>
            <w:vertAlign w:val="superscript"/>
          </w:rPr>
          <w:t>34</w:t>
        </w:r>
      </w:hyperlink>
      <w:bookmarkEnd w:id="178"/>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79" w:name="co_pp_sp_999_48_1"/>
      <w:r>
        <w:rPr>
          <w:rFonts w:ascii="Times New Roman" w:hAnsi="Times New Roman"/>
          <w:b/>
          <w:color w:val="000000"/>
          <w:sz w:val="20"/>
        </w:rPr>
        <w:t>*48</w:t>
      </w:r>
      <w:bookmarkEnd w:id="179"/>
      <w:r>
        <w:rPr>
          <w:rFonts w:ascii="Times New Roman" w:hAnsi="Times New Roman"/>
          <w:color w:val="000000"/>
          <w:sz w:val="20"/>
        </w:rPr>
        <w:t xml:space="preserve"> The following table depicts these calculations:</w:t>
      </w:r>
    </w:p>
    <w:p>
      <w:pPr>
        <w:spacing w:before="0" w:after="0" w:line="275" w:lineRule="atLeast"/>
        <w:jc w:val="both"/>
      </w:pPr>
      <w:r>
        <w:rPr>
          <w:rFonts w:ascii="Times New Roman" w:hAnsi="Times New Roman"/>
          <w:color w:val="000000"/>
          <w:sz w:val="20"/>
        </w:rPr>
        <w:t> </w:t>
      </w:r>
    </w:p>
    <w:bookmarkStart w:id="180" w:name="co_anchor_I8e6b5d30ace211ec8c80dd32e620"/>
    <w:p>
      <w:pPr>
        <w:spacing w:before="0" w:after="0" w:line="275" w:lineRule="atLeast"/>
        <w:jc w:val="both"/>
      </w:pPr>
      <w:hyperlink r:id="r94">
        <w:r>
          <w:rPr>
            <w:rFonts w:ascii="Times New Roman" w:hAnsi="Times New Roman"/>
            <w:color w:val="000000"/>
            <w:sz w:val="66"/>
          </w:rPr>
          <w:drawing>
            <wp:inline>
              <wp:extent cx="2943225" cy="2346885"/>
              <wp:docPr id="3" name="Picture 2" descr="Image 2 within In re Cellular Telephone Partnership Litigation"/>
              <a:graphic>
                <a:graphicData uri="http://schemas.openxmlformats.org/drawingml/2006/picture">
                  <p:pic>
                    <p:nvPicPr>
                      <p:cNvPr id="4" name="Picture 2" descr="Image 2 within In re Cellular Telephone Partnership Litigation"/>
                      <p:cNvPicPr/>
                    </p:nvPicPr>
                    <p:blipFill>
                      <a:blip r:embed="r96"/>
                      <a:srcRect/>
                      <a:stretch>
                        <a:fillRect/>
                      </a:stretch>
                    </p:blipFill>
                    <p:spPr>
                      <a:xfrm>
                        <a:off x="0" y="0"/>
                        <a:ext cx="2943225" cy="2346885"/>
                      </a:xfrm>
                      <a:prstGeom prst="rect"/>
                    </p:spPr>
                  </p:pic>
                </a:graphicData>
              </a:graphic>
            </wp:inline>
          </w:drawing>
        </w:r>
      </w:hyperlink>
      <w:hyperlink r:id="r95">
        <w:r>
          <w:rPr>
            <w:rFonts w:ascii="Times New Roman" w:hAnsi="Times New Roman"/>
            <w:color w:val="000000"/>
            <w:sz w:val="20"/>
          </w:rPr>
          <w:t>​</w:t>
        </w:r>
      </w:hyperlink>
    </w:p>
    <w:bookmarkEnd w:id="180"/>
    <w:p>
      <w:pPr>
        <w:spacing w:before="200" w:after="0" w:line="275" w:lineRule="atLeast"/>
        <w:jc w:val="both"/>
      </w:pPr>
      <w:r>
        <w:rPr>
          <w:rFonts w:ascii="Times New Roman" w:hAnsi="Times New Roman"/>
          <w:color w:val="000000"/>
          <w:sz w:val="20"/>
        </w:rPr>
        <w:t xml:space="preserve">This estimate is conservative and has minimal effect on the Partnership's cash flows. It also uses a lower initial estimate of low-ARPU Connected Devices as a percentage of all subscribers (2.1%) than Taylor used (8%). </w:t>
      </w:r>
      <w:r>
        <w:rPr>
          <w:rFonts w:ascii="Times New Roman" w:hAnsi="Times New Roman"/>
          <w:i/>
          <w:color w:val="000000"/>
          <w:sz w:val="20"/>
        </w:rPr>
        <w:t>See</w:t>
      </w:r>
      <w:r>
        <w:rPr>
          <w:rFonts w:ascii="Times New Roman" w:hAnsi="Times New Roman"/>
          <w:color w:val="000000"/>
          <w:sz w:val="20"/>
        </w:rPr>
        <w:t xml:space="preserve"> Taylor Report at 45.</w:t>
      </w:r>
    </w:p>
    <w:bookmarkStart w:id="181" w:name="co_anchor_I8f3ba581ace211ec8c80dd32e620"/>
    <w:p>
      <w:pPr>
        <w:spacing w:before="400" w:after="0" w:line="275" w:lineRule="atLeast"/>
        <w:jc w:val="center"/>
      </w:pPr>
      <w:r>
        <w:rPr>
          <w:rFonts w:ascii="Times New Roman" w:hAnsi="Times New Roman"/>
          <w:b/>
          <w:color w:val="000000"/>
          <w:sz w:val="20"/>
        </w:rPr>
        <w:t>ii. Voice Roaming</w:t>
      </w:r>
    </w:p>
    <w:bookmarkEnd w:id="181"/>
    <w:p>
      <w:pPr>
        <w:spacing w:before="200" w:after="0" w:line="275" w:lineRule="atLeast"/>
        <w:jc w:val="both"/>
      </w:pPr>
      <w:r>
        <w:rPr>
          <w:rFonts w:ascii="Times New Roman" w:hAnsi="Times New Roman"/>
          <w:color w:val="000000"/>
          <w:sz w:val="20"/>
        </w:rPr>
        <w:t xml:space="preserve">The cash flow projections also must account for net revenue from voice roaming. By the time of the Freeze-Out, AT&amp;T had implemented an arrangement under which market entities like the Partnership earned and were charged a flat rate per minute for both intra-carrier and inter-carrier voice roaming. </w:t>
      </w:r>
      <w:r>
        <w:rPr>
          <w:rFonts w:ascii="Times New Roman" w:hAnsi="Times New Roman"/>
          <w:i/>
          <w:color w:val="000000"/>
          <w:sz w:val="20"/>
        </w:rPr>
        <w:t>See</w:t>
      </w:r>
      <w:r>
        <w:rPr>
          <w:rFonts w:ascii="Times New Roman" w:hAnsi="Times New Roman"/>
          <w:color w:val="000000"/>
          <w:sz w:val="20"/>
        </w:rPr>
        <w:t xml:space="preserve"> JX 1209 at ’032.</w:t>
      </w:r>
      <w:bookmarkStart w:id="182" w:name="co_fnRef_B00352055700832_ID0EHMFK_1"/>
      <w:hyperlink w:anchor="co_footnote_B00352055700832_1">
        <w:r>
          <w:rPr>
            <w:rFonts w:ascii="Times New Roman" w:hAnsi="Times New Roman"/>
            <w:color w:val="000000"/>
            <w:sz w:val="16"/>
            <w:vertAlign w:val="superscript"/>
          </w:rPr>
          <w:t>35</w:t>
        </w:r>
      </w:hyperlink>
      <w:bookmarkEnd w:id="182"/>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Taylor incorporated AT&amp;T's system into her DCF model. The plaintiffs and their experts generally did not contest Taylor's calculations for voice roaming. Musey used a different approach, but Taylor persuasively critiqued it as depending on a non-existent relationship between outcollect roaming revenues and wireless service revenues. Taylor Rebuttal Report at 33. For purposes of the damages calculation, this decision adopts Taylor's projections for voice roaming.</w:t>
      </w:r>
    </w:p>
    <w:p>
      <w:pPr>
        <w:spacing w:before="0" w:after="0" w:line="275" w:lineRule="atLeast"/>
        <w:jc w:val="both"/>
      </w:pPr>
      <w:r>
        <w:rPr>
          <w:rFonts w:ascii="Times New Roman" w:hAnsi="Times New Roman"/>
          <w:color w:val="000000"/>
          <w:sz w:val="20"/>
        </w:rPr>
        <w:t> </w:t>
      </w:r>
    </w:p>
    <w:bookmarkStart w:id="183" w:name="co_anchor_I8f3d7a41ace211ec8c80dd32e620"/>
    <w:p>
      <w:pPr>
        <w:spacing w:before="400" w:after="0" w:line="275" w:lineRule="atLeast"/>
        <w:jc w:val="center"/>
      </w:pPr>
      <w:r>
        <w:rPr>
          <w:rFonts w:ascii="Times New Roman" w:hAnsi="Times New Roman"/>
          <w:b/>
          <w:color w:val="000000"/>
          <w:sz w:val="20"/>
        </w:rPr>
        <w:t>iii. Data Roaming</w:t>
      </w:r>
    </w:p>
    <w:bookmarkEnd w:id="183"/>
    <w:p>
      <w:pPr>
        <w:spacing w:before="200" w:after="0" w:line="275" w:lineRule="atLeast"/>
        <w:jc w:val="both"/>
      </w:pPr>
      <w:r>
        <w:rPr>
          <w:rFonts w:ascii="Times New Roman" w:hAnsi="Times New Roman"/>
          <w:color w:val="000000"/>
          <w:sz w:val="20"/>
        </w:rPr>
        <w:t>The final source for revenue that the cash flow projections must address is data roaming.</w:t>
      </w:r>
      <w:bookmarkStart w:id="184" w:name="co_fnRef_B00362055700832_ID0ETPFK_1"/>
      <w:hyperlink w:anchor="co_footnote_B00362055700832_1">
        <w:r>
          <w:rPr>
            <w:rFonts w:ascii="Times New Roman" w:hAnsi="Times New Roman"/>
            <w:color w:val="000000"/>
            <w:sz w:val="16"/>
            <w:vertAlign w:val="superscript"/>
          </w:rPr>
          <w:t>36</w:t>
        </w:r>
      </w:hyperlink>
      <w:bookmarkEnd w:id="184"/>
      <w:r>
        <w:rPr>
          <w:rFonts w:ascii="Times New Roman" w:hAnsi="Times New Roman"/>
          <w:color w:val="000000"/>
          <w:sz w:val="20"/>
        </w:rPr>
        <w:t xml:space="preserve"> Taylor annualized the Partnership's results from the first nine months of 2010, then applied growth rates from the 2010 Ten-Year Plan. </w:t>
      </w:r>
      <w:r>
        <w:rPr>
          <w:rFonts w:ascii="Times New Roman" w:hAnsi="Times New Roman"/>
          <w:i/>
          <w:color w:val="000000"/>
          <w:sz w:val="20"/>
        </w:rPr>
        <w:t>See</w:t>
      </w:r>
      <w:r>
        <w:rPr>
          <w:rFonts w:ascii="Times New Roman" w:hAnsi="Times New Roman"/>
          <w:color w:val="000000"/>
          <w:sz w:val="20"/>
        </w:rPr>
        <w:t xml:space="preserve"> Taylor Report at 81; JX 3530, “Salem Revenue Build” tab, Row 41; JX 1598a, “P&amp;L” tab, Row 5. That approach underestimated intra-carrier data roaming revenue because it used the excessively conservative growth rates implied by the 2010 Ten-Year Plan. This decision has found that the Three-Year Plan provides a more realistic picture of AT&amp;T's expectations for data services revenue, and it therefore uses the growth rates from the Three-Year Plan. That modification remains conservative, because this decision does not extend those higher growth rates beyond 2013.</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85" w:name="co_pp_sp_999_49_1"/>
      <w:r>
        <w:rPr>
          <w:rFonts w:ascii="Times New Roman" w:hAnsi="Times New Roman"/>
          <w:b/>
          <w:color w:val="000000"/>
          <w:sz w:val="20"/>
        </w:rPr>
        <w:t>*49</w:t>
      </w:r>
      <w:bookmarkEnd w:id="185"/>
      <w:r>
        <w:rPr>
          <w:rFonts w:ascii="Times New Roman" w:hAnsi="Times New Roman"/>
          <w:color w:val="000000"/>
          <w:sz w:val="20"/>
        </w:rPr>
        <w:t xml:space="preserve"> The Three-Year Plan's higher estimates for data roaming applied to AT&amp;T's system as a whole. Some of that increased data roaming would manifest as increased in-collect revenue for the Partnership. But some of that increased data roaming would result from the Partnership's subscribers using the network elsewhere and manifest as increased outcollect expense for the Partnership. This decision therefore also increases the anticipated growth rates in intra-carrier data roaming expense for the years covered by the Three-Year Plan by an amount equal to the difference between Taylor's growth estimates and the Three-Year Plan's growth estimates. The following table shows the calculations:</w:t>
      </w:r>
    </w:p>
    <w:p>
      <w:pPr>
        <w:spacing w:before="0" w:after="0" w:line="275" w:lineRule="atLeast"/>
        <w:jc w:val="both"/>
      </w:pPr>
      <w:r>
        <w:rPr>
          <w:rFonts w:ascii="Times New Roman" w:hAnsi="Times New Roman"/>
          <w:color w:val="000000"/>
          <w:sz w:val="20"/>
        </w:rPr>
        <w:t> </w:t>
      </w:r>
    </w:p>
    <w:p>
      <w:pPr>
        <w:sectPr>
          <w:pgSz w:w="12240" w:h="15840"/>
          <w:pgMar w:top="1800" w:bottom="1080" w:left="1080" w:right="1080" w:header="720" w:footer="720" w:gutter="0"/>
          <w:pgNumType w:fmt="decimal"/>
          <w:cols w:num="2" w:space="240"/>
        </w:sectPr>
      </w:pPr>
    </w:p>
    <w:tbl>
      <w:tblPr>
        <w:tblInd w:w="36" w:type="dxa"/>
        <w:tblLayout w:type="fixed"/>
      </w:tblPr>
      <w:tblGrid>
        <w:gridCol w:w="5265"/>
        <w:gridCol w:w="1590"/>
        <w:gridCol w:w="1590"/>
        <w:gridCol w:w="1590"/>
      </w:tblGrid>
      <w:tr>
        <w:tblPrEx/>
        <w:trPr/>
        <w:tc>
          <w:tcPr>
            <w:tcBorders>
              <w:bottom w:val="single" w:sz="6" w:color="cccccc"/>
            </w:tcBorders>
            <w:tcMar>
              <w:left w:w="36" w:type="dxa"/>
              <w:right w:w="36" w:type="dxa"/>
            </w:tcMar>
            <w:vAlign w:val="top"/>
          </w:tcPr>
          <w:p>
            <w:pPr>
              <w:spacing w:before="0" w:after="0" w:line="240" w:lineRule="auto"/>
              <w:rPr>
                <w:rFonts w:ascii="Times New Roman" w:hAnsi="Times New Roman"/>
                <w:color w:val="000000"/>
                <w:sz w:val="24"/>
              </w:rPr>
            </w:pPr>
          </w:p>
        </w:tc>
        <w:tc>
          <w:tcPr>
            <w:tcBorders>
              <w:bottom w:val="single" w:sz="6" w:color="cccccc"/>
            </w:tcBorders>
            <w:tcMar>
              <w:left w:w="36" w:type="dxa"/>
              <w:right w:w="36" w:type="dxa"/>
            </w:tcMar>
            <w:vAlign w:val="top"/>
          </w:tcPr>
          <w:p>
            <w:pPr>
              <w:spacing w:before="0" w:after="0" w:line="235" w:lineRule="atLeast"/>
            </w:pPr>
            <w:r>
              <w:rPr>
                <w:rFonts w:ascii="Times New Roman" w:hAnsi="Times New Roman"/>
                <w:b/>
                <w:color w:val="000000"/>
                <w:sz w:val="24"/>
              </w:rPr>
              <w:t>2011</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pPr>
            <w:r>
              <w:rPr>
                <w:rFonts w:ascii="Times New Roman" w:hAnsi="Times New Roman"/>
                <w:b/>
                <w:color w:val="000000"/>
                <w:sz w:val="24"/>
              </w:rPr>
              <w:t>2012</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pPr>
            <w:r>
              <w:rPr>
                <w:rFonts w:ascii="Times New Roman" w:hAnsi="Times New Roman"/>
                <w:b/>
                <w:color w:val="000000"/>
                <w:sz w:val="24"/>
              </w:rPr>
              <w:t>2013</w:t>
            </w:r>
          </w:p>
          <w:p>
            <w:pPr>
              <w:spacing w:before="0" w:after="0" w:line="235" w:lineRule="atLeast"/>
            </w:pPr>
            <w:r>
              <w:rPr>
                <w:rFonts w:ascii="Times New Roman" w:hAnsi="Times New Roman"/>
                <w:color w:val="000000"/>
                <w:sz w:val="24"/>
              </w:rPr>
              <w:t> </w:t>
            </w:r>
          </w:p>
        </w:tc>
      </w:tr>
      <w:tr>
        <w:tblPrEx/>
        <w:trPr/>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Taylor Revenue Growth Rate</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20.66%</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17.29%</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15.91%</w:t>
            </w:r>
          </w:p>
          <w:p>
            <w:pPr>
              <w:spacing w:before="0" w:after="0" w:line="235" w:lineRule="atLeast"/>
            </w:pPr>
            <w:r>
              <w:rPr>
                <w:rFonts w:ascii="Times New Roman" w:hAnsi="Times New Roman"/>
                <w:color w:val="000000"/>
                <w:sz w:val="24"/>
              </w:rPr>
              <w:t> </w:t>
            </w:r>
          </w:p>
        </w:tc>
      </w:tr>
      <w:tr>
        <w:tblPrEx/>
        <w:trPr/>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3YP Revenue Growth Rate</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9.74%</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11.13%</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11.41%</w:t>
            </w:r>
          </w:p>
          <w:p>
            <w:pPr>
              <w:spacing w:before="0" w:after="0" w:line="235" w:lineRule="atLeast"/>
            </w:pPr>
            <w:r>
              <w:rPr>
                <w:rFonts w:ascii="Times New Roman" w:hAnsi="Times New Roman"/>
                <w:color w:val="000000"/>
                <w:sz w:val="24"/>
              </w:rPr>
              <w:t> </w:t>
            </w:r>
          </w:p>
        </w:tc>
      </w:tr>
      <w:tr>
        <w:tblPrEx/>
        <w:trPr/>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Difference</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10.92%</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6.16%</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4.50%</w:t>
            </w:r>
          </w:p>
          <w:p>
            <w:pPr>
              <w:spacing w:before="0" w:after="0" w:line="235" w:lineRule="atLeast"/>
            </w:pPr>
            <w:r>
              <w:rPr>
                <w:rFonts w:ascii="Times New Roman" w:hAnsi="Times New Roman"/>
                <w:color w:val="000000"/>
                <w:sz w:val="24"/>
              </w:rPr>
              <w:t> </w:t>
            </w:r>
          </w:p>
        </w:tc>
      </w:tr>
      <w:tr>
        <w:tblPrEx/>
        <w:trPr/>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Taylor Expense Growth Rate</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6.39%</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8.43%</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8.14%</w:t>
            </w:r>
          </w:p>
          <w:p>
            <w:pPr>
              <w:spacing w:before="0" w:after="0" w:line="235" w:lineRule="atLeast"/>
            </w:pPr>
            <w:r>
              <w:rPr>
                <w:rFonts w:ascii="Times New Roman" w:hAnsi="Times New Roman"/>
                <w:color w:val="000000"/>
                <w:sz w:val="24"/>
              </w:rPr>
              <w:t> </w:t>
            </w:r>
          </w:p>
        </w:tc>
      </w:tr>
      <w:tr>
        <w:tblPrEx/>
        <w:trPr/>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Modified Expense Growth Rate</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17.31%</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14.59%</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12.64%</w:t>
            </w:r>
          </w:p>
          <w:p>
            <w:pPr>
              <w:spacing w:before="0" w:after="0" w:line="235" w:lineRule="atLeast"/>
            </w:pPr>
            <w:r>
              <w:rPr>
                <w:rFonts w:ascii="Times New Roman" w:hAnsi="Times New Roman"/>
                <w:color w:val="000000"/>
                <w:sz w:val="24"/>
              </w:rPr>
              <w:t> </w:t>
            </w:r>
          </w:p>
        </w:tc>
      </w:tr>
    </w:tbl>
    <w:p>
      <w:pPr>
        <w:sectPr>
          <w:pgSz w:w="12240" w:h="15840"/>
          <w:pgMar w:top="1800" w:bottom="1080" w:left="1080" w:right="1080" w:header="720" w:footer="720" w:gutter="0"/>
          <w:pgNumType w:fmt="decimal"/>
        </w:sectPr>
      </w:pPr>
    </w:p>
    <w:p>
      <w:pPr>
        <w:spacing w:before="200" w:after="0" w:line="275" w:lineRule="atLeast"/>
        <w:jc w:val="both"/>
      </w:pPr>
      <w:r>
        <w:rPr>
          <w:rFonts w:ascii="Times New Roman" w:hAnsi="Times New Roman"/>
          <w:color w:val="000000"/>
          <w:sz w:val="20"/>
        </w:rPr>
        <w:t>The Partnership was a net loser on roaming, so the effect of this change is to increase the Partnership's loss position on roaming and decrease the value of the Partnership.</w:t>
      </w:r>
    </w:p>
    <w:p>
      <w:pPr>
        <w:spacing w:before="0" w:after="0" w:line="275" w:lineRule="atLeast"/>
        <w:jc w:val="both"/>
      </w:pPr>
      <w:r>
        <w:rPr>
          <w:rFonts w:ascii="Times New Roman" w:hAnsi="Times New Roman"/>
          <w:color w:val="000000"/>
          <w:sz w:val="20"/>
        </w:rPr>
        <w:t>The record does not provide any basis to incorporate inter-carrier data roaming. AT&amp;T did not track inter-carrier data roaming in the period leading up to the Freeze-Out. Taylor did not model inter-carrier data roaming at all, and Musey and Barrick modeled all roaming together using an unpersuasive methodology. The damages award therefore omits any amount for inter-carrier data roaming.</w:t>
      </w:r>
    </w:p>
    <w:p>
      <w:pPr>
        <w:spacing w:before="0" w:after="0" w:line="275" w:lineRule="atLeast"/>
        <w:jc w:val="both"/>
      </w:pPr>
      <w:r>
        <w:rPr>
          <w:rFonts w:ascii="Times New Roman" w:hAnsi="Times New Roman"/>
          <w:color w:val="000000"/>
          <w:sz w:val="20"/>
        </w:rPr>
        <w:t> </w:t>
      </w:r>
    </w:p>
    <w:bookmarkStart w:id="187" w:name="co_anchor_I8f4198f1ace211ec8c80dd32e620"/>
    <w:bookmarkStart w:id="188" w:name="co_anchor_I8f4198f1ace211ec8c80dd32e2"/>
    <w:p>
      <w:pPr>
        <w:pBdr>
          <w:left w:val="none" w:space="10"/>
        </w:pBdr>
        <w:spacing w:before="400" w:after="0" w:line="275" w:lineRule="atLeast"/>
        <w:ind w:left="200" w:right="0" w:firstLine="0"/>
      </w:pPr>
      <w:r>
        <w:rPr>
          <w:rFonts w:ascii="Times New Roman" w:hAnsi="Times New Roman"/>
          <w:b/>
          <w:color w:val="000000"/>
          <w:sz w:val="20"/>
        </w:rPr>
        <w:t>4. The Tax Rate</w:t>
      </w:r>
    </w:p>
    <w:bookmarkEnd w:id="188"/>
    <w:bookmarkEnd w:id="187"/>
    <w:p>
      <w:pPr>
        <w:spacing w:before="0" w:after="0" w:line="275" w:lineRule="atLeast"/>
        <w:jc w:val="both"/>
      </w:pPr>
      <w:r>
        <w:rPr>
          <w:rFonts w:ascii="Times New Roman" w:hAnsi="Times New Roman"/>
          <w:color w:val="000000"/>
          <w:sz w:val="20"/>
        </w:rPr>
        <w:t>In a dispute with significant implications for the damages award, the parties disagreed over the tax rate to apply to the Partnership's projected cash flows. As discussed in the previous section, AT&amp;T failed to prove that using AT&amp;T's corporate tax rate was fair given that the Partnership was a pass-through entity for tax purposes. That finding does not address how the pass-through status of the Partnership should be handled.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As noted, this court has recognized the need to account for the value of pass-through entity status. In </w:t>
      </w:r>
      <w:r>
        <w:rPr>
          <w:rFonts w:ascii="Times New Roman" w:hAnsi="Times New Roman"/>
          <w:i/>
          <w:color w:val="000000"/>
          <w:sz w:val="20"/>
        </w:rPr>
        <w:t>Radiology</w:t>
      </w:r>
      <w:r>
        <w:rPr>
          <w:rFonts w:ascii="Times New Roman" w:hAnsi="Times New Roman"/>
          <w:color w:val="000000"/>
          <w:sz w:val="20"/>
        </w:rPr>
        <w:t xml:space="preserve"> </w:t>
      </w:r>
      <w:r>
        <w:rPr>
          <w:rFonts w:ascii="Times New Roman" w:hAnsi="Times New Roman"/>
          <w:i/>
          <w:color w:val="000000"/>
          <w:sz w:val="20"/>
        </w:rPr>
        <w:t>Associates</w:t>
      </w:r>
      <w:r>
        <w:rPr>
          <w:rFonts w:ascii="Times New Roman" w:hAnsi="Times New Roman"/>
          <w:color w:val="000000"/>
          <w:sz w:val="20"/>
        </w:rPr>
        <w:t xml:space="preserve">, this court declined to deduct any taxes from a pass-through entity's cash flows. </w:t>
      </w:r>
      <w:hyperlink r:id="r97">
        <w:r>
          <w:rPr>
            <w:rFonts w:ascii="Times New Roman" w:hAnsi="Times New Roman"/>
            <w:color w:val="000000"/>
            <w:sz w:val="20"/>
          </w:rPr>
          <w:t>611 A.2d at 494–95</w:t>
        </w:r>
      </w:hyperlink>
      <w:r>
        <w:rPr>
          <w:rFonts w:ascii="Times New Roman" w:hAnsi="Times New Roman"/>
          <w:color w:val="000000"/>
          <w:sz w:val="20"/>
        </w:rPr>
        <w:t xml:space="preserve">. The court valued the entity based on its operative reality as a stand-alone entity, in which the entity did not pay taxes before making distributions to investors. </w:t>
      </w:r>
      <w:r>
        <w:rPr>
          <w:rFonts w:ascii="Times New Roman" w:hAnsi="Times New Roman"/>
          <w:i/>
          <w:color w:val="000000"/>
          <w:sz w:val="20"/>
        </w:rPr>
        <w:t>Id.</w:t>
      </w:r>
      <w:r>
        <w:rPr>
          <w:rFonts w:ascii="Times New Roman" w:hAnsi="Times New Roman"/>
          <w:color w:val="000000"/>
          <w:sz w:val="20"/>
        </w:rPr>
        <w:t xml:space="preserve"> The court concluded that in light of that operative reality, the plaintiff “failed to prove that the adjustment is ‘generally considered acceptable in the financial community.’ ” </w:t>
      </w:r>
      <w:r>
        <w:rPr>
          <w:rFonts w:ascii="Times New Roman" w:hAnsi="Times New Roman"/>
          <w:i/>
          <w:color w:val="000000"/>
          <w:sz w:val="20"/>
        </w:rPr>
        <w:t>Id.</w:t>
      </w:r>
      <w:r>
        <w:rPr>
          <w:rFonts w:ascii="Times New Roman" w:hAnsi="Times New Roman"/>
          <w:color w:val="000000"/>
          <w:sz w:val="20"/>
        </w:rPr>
        <w:t xml:space="preserve"> (quoting </w:t>
      </w:r>
      <w:hyperlink r:id="r98">
        <w:r>
          <w:rPr>
            <w:rFonts w:ascii="Times New Roman" w:hAnsi="Times New Roman"/>
            <w:i/>
            <w:color w:val="000000"/>
            <w:sz w:val="20"/>
          </w:rPr>
          <w:t>Weinberger</w:t>
        </w:r>
        <w:r>
          <w:rPr>
            <w:rFonts w:ascii="Times New Roman" w:hAnsi="Times New Roman"/>
            <w:color w:val="000000"/>
            <w:sz w:val="20"/>
          </w:rPr>
          <w:t>, 457 A.2d at 713</w:t>
        </w:r>
      </w:hyperlink>
      <w:r>
        <w:rPr>
          <w:rFonts w:ascii="Times New Roman" w:hAnsi="Times New Roman"/>
          <w:color w:val="000000"/>
          <w:sz w:val="20"/>
        </w:rPr>
        <w: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Fifteen years later, the court took a different approach. This time, the court valued the entity based on what an acquirer would pay for the business. </w:t>
      </w:r>
      <w:hyperlink r:id="r99">
        <w:r>
          <w:rPr>
            <w:rFonts w:ascii="Times New Roman" w:hAnsi="Times New Roman"/>
            <w:i/>
            <w:color w:val="000000"/>
            <w:sz w:val="20"/>
          </w:rPr>
          <w:t>Del. Open MRI</w:t>
        </w:r>
        <w:r>
          <w:rPr>
            <w:rFonts w:ascii="Times New Roman" w:hAnsi="Times New Roman"/>
            <w:color w:val="000000"/>
            <w:sz w:val="20"/>
          </w:rPr>
          <w:t>, 898 A.2d at 329</w:t>
        </w:r>
      </w:hyperlink>
      <w:r>
        <w:rPr>
          <w:rFonts w:ascii="Times New Roman" w:hAnsi="Times New Roman"/>
          <w:color w:val="000000"/>
          <w:sz w:val="20"/>
        </w:rPr>
        <w:t xml:space="preserve">. The court concluded that when applying that metric, it needed to consider the personal taxes that the investors paid, because “[t]o ignore personal taxes would overestimate the value ... and would lead to a value that no rational investor would be willing to pay to acquire control.” </w:t>
      </w:r>
      <w:r>
        <w:rPr>
          <w:rFonts w:ascii="Times New Roman" w:hAnsi="Times New Roman"/>
          <w:i/>
          <w:color w:val="000000"/>
          <w:sz w:val="20"/>
        </w:rPr>
        <w:t>Id.</w:t>
      </w:r>
      <w:r>
        <w:rPr>
          <w:rFonts w:ascii="Times New Roman" w:hAnsi="Times New Roman"/>
          <w:color w:val="000000"/>
          <w:sz w:val="20"/>
        </w:rPr>
        <w:t xml:space="preserve"> The court therefore derived an implied tax rate by starting with the amount of cash that the investors in the pass-through entity retained in their personal capacities after paying personal taxes. </w:t>
      </w:r>
      <w:hyperlink r:id="r100">
        <w:r>
          <w:rPr>
            <w:rFonts w:ascii="Times New Roman" w:hAnsi="Times New Roman"/>
            <w:i/>
            <w:color w:val="000000"/>
            <w:sz w:val="20"/>
          </w:rPr>
          <w:t>Id.</w:t>
        </w:r>
        <w:r>
          <w:rPr>
            <w:rFonts w:ascii="Times New Roman" w:hAnsi="Times New Roman"/>
            <w:color w:val="000000"/>
            <w:sz w:val="20"/>
          </w:rPr>
          <w:t xml:space="preserve"> at 327–30</w:t>
        </w:r>
      </w:hyperlink>
      <w:r>
        <w:rPr>
          <w:rFonts w:ascii="Times New Roman" w:hAnsi="Times New Roman"/>
          <w:color w:val="000000"/>
          <w:sz w:val="20"/>
        </w:rPr>
        <w:t>. Using that amount of cash, the court then calculated a synthetic “effective tax rate” that a corporate entity would pay to generate the same after-tax cash flows. The following chart depicts the analysis:</w:t>
      </w:r>
    </w:p>
    <w:p>
      <w:pPr>
        <w:spacing w:before="0" w:after="0" w:line="275" w:lineRule="atLeast"/>
        <w:jc w:val="both"/>
      </w:pPr>
      <w:r>
        <w:rPr>
          <w:rFonts w:ascii="Times New Roman" w:hAnsi="Times New Roman"/>
          <w:color w:val="000000"/>
          <w:sz w:val="20"/>
        </w:rPr>
        <w:t> </w:t>
      </w:r>
    </w:p>
    <w:p>
      <w:pPr>
        <w:sectPr>
          <w:pgSz w:w="12240" w:h="15840"/>
          <w:pgMar w:top="1800" w:bottom="1080" w:left="1080" w:right="1080" w:header="720" w:footer="720" w:gutter="0"/>
          <w:pgNumType w:fmt="decimal"/>
          <w:cols w:num="2" w:space="240"/>
        </w:sectPr>
      </w:pPr>
    </w:p>
    <w:tbl>
      <w:tblPr>
        <w:tblInd w:w="36" w:type="dxa"/>
        <w:tblLayout w:type="fixed"/>
      </w:tblPr>
      <w:tblGrid>
        <w:gridCol w:w="3405"/>
        <w:gridCol w:w="1200"/>
        <w:gridCol w:w="2055"/>
        <w:gridCol w:w="3405"/>
      </w:tblGrid>
      <w:tr>
        <w:tblPrEx/>
        <w:trPr/>
        <w:tc>
          <w:tcPr>
            <w:tcBorders>
              <w:bottom w:val="single" w:sz="6" w:color="cccccc"/>
            </w:tcBorders>
            <w:tcMar>
              <w:left w:w="36" w:type="dxa"/>
              <w:right w:w="36" w:type="dxa"/>
            </w:tcMar>
            <w:vAlign w:val="top"/>
          </w:tcPr>
          <w:p>
            <w:pPr>
              <w:spacing w:before="0" w:after="0" w:line="240" w:lineRule="auto"/>
              <w:rPr>
                <w:rFonts w:ascii="Times New Roman" w:hAnsi="Times New Roman"/>
                <w:color w:val="000000"/>
                <w:sz w:val="24"/>
              </w:rPr>
            </w:pPr>
          </w:p>
        </w:tc>
        <w:tc>
          <w:tcPr>
            <w:tcBorders>
              <w:bottom w:val="single" w:sz="6" w:color="cccccc"/>
            </w:tcBorders>
            <w:tcMar>
              <w:left w:w="36" w:type="dxa"/>
              <w:right w:w="36" w:type="dxa"/>
            </w:tcMar>
            <w:vAlign w:val="top"/>
          </w:tcPr>
          <w:p>
            <w:pPr>
              <w:spacing w:before="0" w:after="0" w:line="235" w:lineRule="atLeast"/>
              <w:jc w:val="center"/>
            </w:pPr>
            <w:r>
              <w:rPr>
                <w:rFonts w:ascii="Times New Roman" w:hAnsi="Times New Roman"/>
                <w:b/>
                <w:color w:val="000000"/>
                <w:sz w:val="24"/>
              </w:rPr>
              <w:t>C Corp.</w:t>
            </w:r>
          </w:p>
          <w:p>
            <w:pPr>
              <w:spacing w:before="0" w:after="0" w:line="235" w:lineRule="atLeast"/>
              <w:jc w:val="center"/>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center"/>
            </w:pPr>
            <w:r>
              <w:rPr>
                <w:rFonts w:ascii="Times New Roman" w:hAnsi="Times New Roman"/>
                <w:b/>
                <w:color w:val="000000"/>
                <w:sz w:val="24"/>
              </w:rPr>
              <w:t>Pass-Through</w:t>
            </w:r>
          </w:p>
          <w:p>
            <w:pPr>
              <w:spacing w:before="0" w:after="0" w:line="235" w:lineRule="atLeast"/>
              <w:jc w:val="center"/>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center"/>
            </w:pPr>
            <w:r>
              <w:rPr>
                <w:rFonts w:ascii="Times New Roman" w:hAnsi="Times New Roman"/>
                <w:b/>
                <w:color w:val="000000"/>
                <w:sz w:val="24"/>
              </w:rPr>
              <w:t>Equivalent C-Corp. Tax Rate</w:t>
            </w:r>
          </w:p>
          <w:p>
            <w:pPr>
              <w:spacing w:before="0" w:after="0" w:line="235" w:lineRule="atLeast"/>
              <w:jc w:val="center"/>
            </w:pPr>
            <w:r>
              <w:rPr>
                <w:rFonts w:ascii="Times New Roman" w:hAnsi="Times New Roman"/>
                <w:color w:val="000000"/>
                <w:sz w:val="24"/>
              </w:rPr>
              <w:t> </w:t>
            </w:r>
          </w:p>
        </w:tc>
      </w:tr>
      <w:tr>
        <w:tblPrEx/>
        <w:trPr/>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Income Before Tax</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center"/>
            </w:pPr>
            <w:r>
              <w:rPr>
                <w:rFonts w:ascii="Times New Roman" w:hAnsi="Times New Roman"/>
                <w:color w:val="000000"/>
                <w:sz w:val="24"/>
              </w:rPr>
              <w:t>$100</w:t>
            </w:r>
          </w:p>
          <w:p>
            <w:pPr>
              <w:spacing w:before="0" w:after="0" w:line="235" w:lineRule="atLeast"/>
              <w:jc w:val="center"/>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center"/>
            </w:pPr>
            <w:r>
              <w:rPr>
                <w:rFonts w:ascii="Times New Roman" w:hAnsi="Times New Roman"/>
                <w:color w:val="000000"/>
                <w:sz w:val="24"/>
              </w:rPr>
              <w:t>$100</w:t>
            </w:r>
          </w:p>
          <w:p>
            <w:pPr>
              <w:spacing w:before="0" w:after="0" w:line="235" w:lineRule="atLeast"/>
              <w:jc w:val="center"/>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center"/>
            </w:pPr>
            <w:r>
              <w:rPr>
                <w:rFonts w:ascii="Times New Roman" w:hAnsi="Times New Roman"/>
                <w:color w:val="000000"/>
                <w:sz w:val="24"/>
              </w:rPr>
              <w:t>$100</w:t>
            </w:r>
          </w:p>
          <w:p>
            <w:pPr>
              <w:spacing w:before="0" w:after="0" w:line="235" w:lineRule="atLeast"/>
              <w:jc w:val="center"/>
            </w:pPr>
            <w:r>
              <w:rPr>
                <w:rFonts w:ascii="Times New Roman" w:hAnsi="Times New Roman"/>
                <w:color w:val="000000"/>
                <w:sz w:val="24"/>
              </w:rPr>
              <w:t> </w:t>
            </w:r>
          </w:p>
        </w:tc>
      </w:tr>
      <w:tr>
        <w:tblPrEx/>
        <w:trPr/>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Corporate Tax Rate</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center"/>
            </w:pPr>
            <w:r>
              <w:rPr>
                <w:rFonts w:ascii="Times New Roman" w:hAnsi="Times New Roman"/>
                <w:color w:val="000000"/>
                <w:sz w:val="24"/>
              </w:rPr>
              <w:t>40%</w:t>
            </w:r>
          </w:p>
          <w:p>
            <w:pPr>
              <w:spacing w:before="0" w:after="0" w:line="235" w:lineRule="atLeast"/>
              <w:jc w:val="center"/>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center"/>
            </w:pPr>
            <w:r>
              <w:rPr>
                <w:rFonts w:ascii="Times New Roman" w:hAnsi="Times New Roman"/>
                <w:color w:val="000000"/>
                <w:sz w:val="24"/>
              </w:rPr>
              <w:t>–</w:t>
            </w:r>
          </w:p>
          <w:p>
            <w:pPr>
              <w:spacing w:before="0" w:after="0" w:line="235" w:lineRule="atLeast"/>
              <w:jc w:val="center"/>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center"/>
            </w:pPr>
            <w:r>
              <w:rPr>
                <w:rFonts w:ascii="Times New Roman" w:hAnsi="Times New Roman"/>
                <w:b/>
                <w:color w:val="000000"/>
                <w:sz w:val="24"/>
              </w:rPr>
              <w:t>29.4%</w:t>
            </w:r>
          </w:p>
          <w:p>
            <w:pPr>
              <w:spacing w:before="0" w:after="0" w:line="235" w:lineRule="atLeast"/>
              <w:jc w:val="center"/>
            </w:pPr>
            <w:r>
              <w:rPr>
                <w:rFonts w:ascii="Times New Roman" w:hAnsi="Times New Roman"/>
                <w:color w:val="000000"/>
                <w:sz w:val="24"/>
              </w:rPr>
              <w:t> </w:t>
            </w:r>
          </w:p>
        </w:tc>
      </w:tr>
      <w:tr>
        <w:tblPrEx/>
        <w:trPr/>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Available Earnings</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center"/>
            </w:pPr>
            <w:r>
              <w:rPr>
                <w:rFonts w:ascii="Times New Roman" w:hAnsi="Times New Roman"/>
                <w:color w:val="000000"/>
                <w:sz w:val="24"/>
              </w:rPr>
              <w:t>$60</w:t>
            </w:r>
          </w:p>
          <w:p>
            <w:pPr>
              <w:spacing w:before="0" w:after="0" w:line="235" w:lineRule="atLeast"/>
              <w:jc w:val="center"/>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center"/>
            </w:pPr>
            <w:r>
              <w:rPr>
                <w:rFonts w:ascii="Times New Roman" w:hAnsi="Times New Roman"/>
                <w:color w:val="000000"/>
                <w:sz w:val="24"/>
              </w:rPr>
              <w:t>$100</w:t>
            </w:r>
          </w:p>
          <w:p>
            <w:pPr>
              <w:spacing w:before="0" w:after="0" w:line="235" w:lineRule="atLeast"/>
              <w:jc w:val="center"/>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center"/>
            </w:pPr>
            <w:r>
              <w:rPr>
                <w:rFonts w:ascii="Times New Roman" w:hAnsi="Times New Roman"/>
                <w:color w:val="000000"/>
                <w:sz w:val="24"/>
              </w:rPr>
              <w:t>$70.60</w:t>
            </w:r>
          </w:p>
          <w:p>
            <w:pPr>
              <w:spacing w:before="0" w:after="0" w:line="235" w:lineRule="atLeast"/>
              <w:jc w:val="center"/>
            </w:pPr>
            <w:r>
              <w:rPr>
                <w:rFonts w:ascii="Times New Roman" w:hAnsi="Times New Roman"/>
                <w:color w:val="000000"/>
                <w:sz w:val="24"/>
              </w:rPr>
              <w:t> </w:t>
            </w:r>
          </w:p>
        </w:tc>
      </w:tr>
      <w:tr>
        <w:tblPrEx/>
        <w:trPr/>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Dividend or Personal Income Tax Rate</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center"/>
            </w:pPr>
            <w:r>
              <w:rPr>
                <w:rFonts w:ascii="Times New Roman" w:hAnsi="Times New Roman"/>
                <w:color w:val="000000"/>
                <w:sz w:val="24"/>
              </w:rPr>
              <w:t>15%</w:t>
            </w:r>
          </w:p>
          <w:p>
            <w:pPr>
              <w:spacing w:before="0" w:after="0" w:line="235" w:lineRule="atLeast"/>
              <w:jc w:val="center"/>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center"/>
            </w:pPr>
            <w:r>
              <w:rPr>
                <w:rFonts w:ascii="Times New Roman" w:hAnsi="Times New Roman"/>
                <w:color w:val="000000"/>
                <w:sz w:val="24"/>
              </w:rPr>
              <w:t>40%</w:t>
            </w:r>
          </w:p>
          <w:p>
            <w:pPr>
              <w:spacing w:before="0" w:after="0" w:line="235" w:lineRule="atLeast"/>
              <w:jc w:val="center"/>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center"/>
            </w:pPr>
            <w:r>
              <w:rPr>
                <w:rFonts w:ascii="Times New Roman" w:hAnsi="Times New Roman"/>
                <w:color w:val="000000"/>
                <w:sz w:val="24"/>
              </w:rPr>
              <w:t>15%</w:t>
            </w:r>
          </w:p>
          <w:p>
            <w:pPr>
              <w:spacing w:before="0" w:after="0" w:line="235" w:lineRule="atLeast"/>
              <w:jc w:val="center"/>
            </w:pPr>
            <w:r>
              <w:rPr>
                <w:rFonts w:ascii="Times New Roman" w:hAnsi="Times New Roman"/>
                <w:color w:val="000000"/>
                <w:sz w:val="24"/>
              </w:rPr>
              <w:t> </w:t>
            </w:r>
          </w:p>
        </w:tc>
      </w:tr>
      <w:tr>
        <w:tblPrEx/>
        <w:trPr/>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Available After Dividends</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center"/>
            </w:pPr>
            <w:r>
              <w:rPr>
                <w:rFonts w:ascii="Times New Roman" w:hAnsi="Times New Roman"/>
                <w:color w:val="000000"/>
                <w:sz w:val="24"/>
              </w:rPr>
              <w:t>$51</w:t>
            </w:r>
          </w:p>
          <w:p>
            <w:pPr>
              <w:spacing w:before="0" w:after="0" w:line="235" w:lineRule="atLeast"/>
              <w:jc w:val="center"/>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center"/>
            </w:pPr>
            <w:r>
              <w:rPr>
                <w:rFonts w:ascii="Times New Roman" w:hAnsi="Times New Roman"/>
                <w:color w:val="000000"/>
                <w:sz w:val="24"/>
              </w:rPr>
              <w:t>$60</w:t>
            </w:r>
          </w:p>
          <w:p>
            <w:pPr>
              <w:spacing w:before="0" w:after="0" w:line="235" w:lineRule="atLeast"/>
              <w:jc w:val="center"/>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center"/>
            </w:pPr>
            <w:r>
              <w:rPr>
                <w:rFonts w:ascii="Times New Roman" w:hAnsi="Times New Roman"/>
                <w:color w:val="000000"/>
                <w:sz w:val="24"/>
              </w:rPr>
              <w:t>$60</w:t>
            </w:r>
          </w:p>
          <w:p>
            <w:pPr>
              <w:spacing w:before="0" w:after="0" w:line="235" w:lineRule="atLeast"/>
              <w:jc w:val="center"/>
            </w:pPr>
            <w:r>
              <w:rPr>
                <w:rFonts w:ascii="Times New Roman" w:hAnsi="Times New Roman"/>
                <w:color w:val="000000"/>
                <w:sz w:val="24"/>
              </w:rPr>
              <w:t> </w:t>
            </w:r>
          </w:p>
        </w:tc>
      </w:tr>
    </w:tbl>
    <w:p>
      <w:pPr>
        <w:sectPr>
          <w:pgSz w:w="12240" w:h="15840"/>
          <w:pgMar w:top="1800" w:bottom="1080" w:left="1080" w:right="1080" w:header="720" w:footer="720" w:gutter="0"/>
          <w:pgNumType w:fmt="decimal"/>
        </w:sectPr>
      </w:pPr>
    </w:p>
    <w:p>
      <w:pPr>
        <w:spacing w:before="200" w:after="0" w:line="275" w:lineRule="atLeast"/>
        <w:jc w:val="both"/>
      </w:pPr>
      <w:r>
        <w:rPr>
          <w:rFonts w:ascii="Times New Roman" w:hAnsi="Times New Roman"/>
          <w:i/>
          <w:color w:val="000000"/>
          <w:sz w:val="20"/>
        </w:rPr>
        <w:t>Id.</w:t>
      </w:r>
      <w:r>
        <w:rPr>
          <w:rFonts w:ascii="Times New Roman" w:hAnsi="Times New Roman"/>
          <w:color w:val="000000"/>
          <w:sz w:val="20"/>
        </w:rPr>
        <w:t xml:space="preserve"> at 330 (formatting added). As the chart shows, the investors in the pass-through entity netted $60 after paying no tax at the entity level but 40% tax at the personal level. To generate the same amount of after-tax proceeds, the taxable corporation would have to pay tax at 29.4%, rather than at its actual marginal rate of 40%. The court therefore used the synthetic tax rate of 29.4% in its DCF model to value the firm. </w:t>
      </w:r>
      <w:r>
        <w:rPr>
          <w:rFonts w:ascii="Times New Roman" w:hAnsi="Times New Roman"/>
          <w:i/>
          <w:color w:val="000000"/>
          <w:sz w:val="20"/>
        </w:rPr>
        <w:t>Id.</w:t>
      </w:r>
    </w:p>
    <w:p>
      <w:pPr>
        <w:spacing w:before="0" w:after="0" w:line="275" w:lineRule="atLeast"/>
        <w:jc w:val="both"/>
      </w:pPr>
      <w:bookmarkStart w:id="190" w:name="co_pp_sp_999_50_1"/>
      <w:r>
        <w:rPr>
          <w:rFonts w:ascii="Times New Roman" w:hAnsi="Times New Roman"/>
          <w:b/>
          <w:color w:val="000000"/>
          <w:sz w:val="20"/>
        </w:rPr>
        <w:t>*50</w:t>
      </w:r>
      <w:bookmarkEnd w:id="190"/>
      <w:r>
        <w:rPr>
          <w:rFonts w:ascii="Times New Roman" w:hAnsi="Times New Roman"/>
          <w:color w:val="000000"/>
          <w:sz w:val="20"/>
        </w:rPr>
        <w:t xml:space="preserve"> The </w:t>
      </w:r>
      <w:r>
        <w:rPr>
          <w:rFonts w:ascii="Times New Roman" w:hAnsi="Times New Roman"/>
          <w:i/>
          <w:color w:val="000000"/>
          <w:sz w:val="20"/>
        </w:rPr>
        <w:t>Delaware Open MRI</w:t>
      </w:r>
      <w:r>
        <w:rPr>
          <w:rFonts w:ascii="Times New Roman" w:hAnsi="Times New Roman"/>
          <w:color w:val="000000"/>
          <w:sz w:val="20"/>
        </w:rPr>
        <w:t xml:space="preserve"> method is one way of approximating the benefits of pass-through entity status in a judicial valuation. This court adopted the </w:t>
      </w:r>
      <w:r>
        <w:rPr>
          <w:rFonts w:ascii="Times New Roman" w:hAnsi="Times New Roman"/>
          <w:i/>
          <w:color w:val="000000"/>
          <w:sz w:val="20"/>
        </w:rPr>
        <w:t>Delaware Open MRI</w:t>
      </w:r>
      <w:r>
        <w:rPr>
          <w:rFonts w:ascii="Times New Roman" w:hAnsi="Times New Roman"/>
          <w:color w:val="000000"/>
          <w:sz w:val="20"/>
        </w:rPr>
        <w:t xml:space="preserve"> method in </w:t>
      </w:r>
      <w:r>
        <w:rPr>
          <w:rFonts w:ascii="Times New Roman" w:hAnsi="Times New Roman"/>
          <w:i/>
          <w:color w:val="000000"/>
          <w:sz w:val="20"/>
        </w:rPr>
        <w:t>B&amp;L Cellular</w:t>
      </w:r>
      <w:r>
        <w:rPr>
          <w:rFonts w:ascii="Times New Roman" w:hAnsi="Times New Roman"/>
          <w:color w:val="000000"/>
          <w:sz w:val="20"/>
        </w:rPr>
        <w:t xml:space="preserve">, which was an appraisal proceeding involving a similar market-level entity. </w:t>
      </w:r>
      <w:r>
        <w:rPr>
          <w:rFonts w:ascii="Times New Roman" w:hAnsi="Times New Roman"/>
          <w:i/>
          <w:color w:val="000000"/>
          <w:sz w:val="20"/>
        </w:rPr>
        <w:t>See</w:t>
      </w:r>
      <w:r>
        <w:rPr>
          <w:rFonts w:ascii="Times New Roman" w:hAnsi="Times New Roman"/>
          <w:color w:val="000000"/>
          <w:sz w:val="20"/>
        </w:rPr>
        <w:t xml:space="preserve"> </w:t>
      </w:r>
      <w:hyperlink r:id="r101">
        <w:r>
          <w:rPr>
            <w:rFonts w:ascii="Times New Roman" w:hAnsi="Times New Roman"/>
            <w:color w:val="000000"/>
            <w:sz w:val="20"/>
          </w:rPr>
          <w:t>2014 WL 5342715, at *3</w:t>
        </w:r>
      </w:hyperlink>
      <w:r>
        <w:rPr>
          <w:rFonts w:ascii="Times New Roman" w:hAnsi="Times New Roman"/>
          <w:color w:val="000000"/>
          <w:sz w:val="20"/>
        </w:rPr>
        <w:t xml:space="preserve">. But the fact that the court applied a valuation principle previously does not create a rule of law. Valuing an entity is “at bottom, a fact finding exercise.” </w:t>
      </w:r>
      <w:hyperlink r:id="r102">
        <w:r>
          <w:rPr>
            <w:rFonts w:ascii="Times New Roman" w:hAnsi="Times New Roman"/>
            <w:i/>
            <w:color w:val="000000"/>
            <w:sz w:val="20"/>
          </w:rPr>
          <w:t>In re Appraisal of Jarden Corp.</w:t>
        </w:r>
        <w:r>
          <w:rPr>
            <w:rFonts w:ascii="Times New Roman" w:hAnsi="Times New Roman"/>
            <w:color w:val="000000"/>
            <w:sz w:val="20"/>
          </w:rPr>
          <w:t>, 2019 WL 3244085, at *1 (Del. Ch. July 19, 2019)</w:t>
        </w:r>
      </w:hyperlink>
      <w:r>
        <w:rPr>
          <w:rFonts w:ascii="Times New Roman" w:hAnsi="Times New Roman"/>
          <w:color w:val="000000"/>
          <w:sz w:val="20"/>
        </w:rPr>
        <w:t xml:space="preserve">, </w:t>
      </w:r>
      <w:r>
        <w:rPr>
          <w:rFonts w:ascii="Times New Roman" w:hAnsi="Times New Roman"/>
          <w:i/>
          <w:color w:val="000000"/>
          <w:sz w:val="20"/>
        </w:rPr>
        <w:t>aff'd sub nom.</w:t>
      </w:r>
      <w:r>
        <w:rPr>
          <w:rFonts w:ascii="Times New Roman" w:hAnsi="Times New Roman"/>
          <w:color w:val="000000"/>
          <w:sz w:val="20"/>
        </w:rPr>
        <w:t xml:space="preserve"> </w:t>
      </w:r>
      <w:hyperlink r:id="r103">
        <w:r>
          <w:rPr>
            <w:rFonts w:ascii="Times New Roman" w:hAnsi="Times New Roman"/>
            <w:i/>
            <w:color w:val="000000"/>
            <w:sz w:val="20"/>
          </w:rPr>
          <w:t>Fir Tree Value Master Fund, LP v. Jarden Corp.</w:t>
        </w:r>
        <w:r>
          <w:rPr>
            <w:rFonts w:ascii="Times New Roman" w:hAnsi="Times New Roman"/>
            <w:color w:val="000000"/>
            <w:sz w:val="20"/>
          </w:rPr>
          <w:t>, 236 A.3d 313, 322 (Del. 2020)</w:t>
        </w:r>
      </w:hyperlink>
      <w:r>
        <w:rPr>
          <w:rFonts w:ascii="Times New Roman" w:hAnsi="Times New Roman"/>
          <w:color w:val="000000"/>
          <w:sz w:val="20"/>
        </w:rPr>
        <w:t xml:space="preserve">. “[B]y functional imperative, the evidence, including expert evidence, in one [valuation] case will be different from the evidence presented in any other [valuation] case. Different evidence, of course, can lead to different decision paths and different outcomes.” </w:t>
      </w:r>
      <w:r>
        <w:rPr>
          <w:rFonts w:ascii="Times New Roman" w:hAnsi="Times New Roman"/>
          <w:i/>
          <w:color w:val="000000"/>
          <w:sz w:val="20"/>
        </w:rPr>
        <w:t>Id.</w:t>
      </w:r>
      <w:r>
        <w:rPr>
          <w:rFonts w:ascii="Times New Roman" w:hAnsi="Times New Roman"/>
          <w:color w:val="000000"/>
          <w:sz w:val="20"/>
        </w:rPr>
        <w:t xml:space="preserve">; </w:t>
      </w:r>
      <w:r>
        <w:rPr>
          <w:rFonts w:ascii="Times New Roman" w:hAnsi="Times New Roman"/>
          <w:i/>
          <w:color w:val="000000"/>
          <w:sz w:val="20"/>
        </w:rPr>
        <w:t>accord</w:t>
      </w:r>
      <w:r>
        <w:rPr>
          <w:rFonts w:ascii="Times New Roman" w:hAnsi="Times New Roman"/>
          <w:color w:val="000000"/>
          <w:sz w:val="20"/>
        </w:rPr>
        <w:t xml:space="preserve"> </w:t>
      </w:r>
      <w:hyperlink r:id="r104">
        <w:r>
          <w:rPr>
            <w:rFonts w:ascii="Times New Roman" w:hAnsi="Times New Roman"/>
            <w:i/>
            <w:color w:val="000000"/>
            <w:sz w:val="20"/>
          </w:rPr>
          <w:t>Merion Cap. L.P. v. Lender Processing Servs., Inc.</w:t>
        </w:r>
        <w:r>
          <w:rPr>
            <w:rFonts w:ascii="Times New Roman" w:hAnsi="Times New Roman"/>
            <w:color w:val="000000"/>
            <w:sz w:val="20"/>
          </w:rPr>
          <w:t>, 2016 WL 7324170, at *16 (Del. Ch. Dec. 16, 2016)</w:t>
        </w:r>
      </w:hyperlink>
      <w:r>
        <w:rPr>
          <w:rFonts w:ascii="Times New Roman" w:hAnsi="Times New Roman"/>
          <w:color w:val="000000"/>
          <w:sz w:val="20"/>
        </w:rPr>
        <w:t xml:space="preserve"> (noting that an argument which succeeds in one case “may not prevail in another case if the proponents fail to generate a similarly persuasive level of probative evidence or if the opponents respond effectively”).</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In this case, both sides have advanced persuasive reasons for not following </w:t>
      </w:r>
      <w:r>
        <w:rPr>
          <w:rFonts w:ascii="Times New Roman" w:hAnsi="Times New Roman"/>
          <w:i/>
          <w:color w:val="000000"/>
          <w:sz w:val="20"/>
        </w:rPr>
        <w:t>Delaware Open MRI</w:t>
      </w:r>
      <w:r>
        <w:rPr>
          <w:rFonts w:ascii="Times New Roman" w:hAnsi="Times New Roman"/>
          <w:color w:val="000000"/>
          <w:sz w:val="20"/>
        </w:rPr>
        <w:t xml:space="preserve">. AT&amp;T and Taylor explained that the method is fact-specific and subjective, because the synthetic tax rate will vary based on the marginal tax rates of the investors. Dkt. 614 at 52. In </w:t>
      </w:r>
      <w:r>
        <w:rPr>
          <w:rFonts w:ascii="Times New Roman" w:hAnsi="Times New Roman"/>
          <w:i/>
          <w:color w:val="000000"/>
          <w:sz w:val="20"/>
        </w:rPr>
        <w:t>Delaware Open MRI</w:t>
      </w:r>
      <w:r>
        <w:rPr>
          <w:rFonts w:ascii="Times New Roman" w:hAnsi="Times New Roman"/>
          <w:color w:val="000000"/>
          <w:sz w:val="20"/>
        </w:rPr>
        <w:t xml:space="preserve">, the court was valuing a small and closely held entity, operating exclusively in Delaware, owned by similarly situated physicians who all paid federal and state taxes at the maximum rate. With that homogenous investor base, the court could construct a responsible model of the after-tax cash flows that the investors would receive, then use those cash flows to calculate what a buyer paying corporate-level tax would pay to acquire those tax flows in an arm's-length sale. AT&amp;T points out that the plaintiffs in this case “included individuals, trusts, corporations, and other pass-through entities located in numerous states and with vastly different tax circumstances.” Dkt. 614 at 53. AT&amp;T concludes that </w:t>
      </w:r>
      <w:r>
        <w:rPr>
          <w:rFonts w:ascii="Times New Roman" w:hAnsi="Times New Roman"/>
          <w:i/>
          <w:color w:val="000000"/>
          <w:sz w:val="20"/>
        </w:rPr>
        <w:t>Delaware Open MRI</w:t>
      </w:r>
      <w:r>
        <w:rPr>
          <w:rFonts w:ascii="Times New Roman" w:hAnsi="Times New Roman"/>
          <w:color w:val="000000"/>
          <w:sz w:val="20"/>
        </w:rPr>
        <w:t xml:space="preserve"> should not apply as a general principle, particularly to an entity like the Partnership where the various investors pay taxes at different and unknown rates.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AT&amp;T's criticisms are valid, but while AT&amp;T advanced them in an effort to justify using AT&amp;T's corporate tax rate, they instead point in favor of recognizing that the investors in the Partnership, including AT&amp;T, receive distributions from the Partnership free of entity-level tax. Whether they paid any investor level tax depended on their individual tax situations, which could vary widely. The Partnership as an entity, however, did not pay taxes. For purposes of a remedial calculation, those criticisms point in favor of the approach taken in </w:t>
      </w:r>
      <w:r>
        <w:rPr>
          <w:rFonts w:ascii="Times New Roman" w:hAnsi="Times New Roman"/>
          <w:i/>
          <w:color w:val="000000"/>
          <w:sz w:val="20"/>
        </w:rPr>
        <w:t>Radiology Associates</w:t>
      </w:r>
      <w:r>
        <w:rPr>
          <w:rFonts w:ascii="Times New Roman" w:hAnsi="Times New Roman"/>
          <w:color w:val="000000"/>
          <w:sz w:val="20"/>
        </w:rPr>
        <w:t>, where the court valued the entity in its operative reality, not based on what a hypothetical buyer would pay, and did not tax-effect the cash flows of the entity.</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For their part, the plaintiffs also object to the use of </w:t>
      </w:r>
      <w:r>
        <w:rPr>
          <w:rFonts w:ascii="Times New Roman" w:hAnsi="Times New Roman"/>
          <w:i/>
          <w:color w:val="000000"/>
          <w:sz w:val="20"/>
        </w:rPr>
        <w:t>Delaware Open MRI</w:t>
      </w:r>
      <w:r>
        <w:rPr>
          <w:rFonts w:ascii="Times New Roman" w:hAnsi="Times New Roman"/>
          <w:color w:val="000000"/>
          <w:sz w:val="20"/>
        </w:rPr>
        <w:t>. They contend that the court should apply no tax rate at all because the court is calculating damages, not conducting an appraisal, and “damage awards are given pre-tax.” Dkt. 626 at 63–64 (quoting Barrick Tr. 1286). The plaintiffs then pay tax on the damages award based on their individual tax situations. Not tax effecting the cash flows thus does not mean that the plaintiffs will not pay tax on what they receive; it only means they will not pay effectively two levels of tax on the damages award when they only paid one level of tax before the Freeze-Out. That argument has considerable force.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plaintiffs also advance a persuasive policy criticism of </w:t>
      </w:r>
      <w:r>
        <w:rPr>
          <w:rFonts w:ascii="Times New Roman" w:hAnsi="Times New Roman"/>
          <w:i/>
          <w:color w:val="000000"/>
          <w:sz w:val="20"/>
        </w:rPr>
        <w:t>Delaware Open MRI</w:t>
      </w:r>
      <w:r>
        <w:rPr>
          <w:rFonts w:ascii="Times New Roman" w:hAnsi="Times New Roman"/>
          <w:color w:val="000000"/>
          <w:sz w:val="20"/>
        </w:rPr>
        <w:t>, which applies all the more strongly to PwC and Taylor's decision to use AT&amp;T's corporate tax rate. Under the Partnership's operative reality at the time of the Freeze-Out, the investors in the Partnership could expect to receive distributions into perpetuity from an entity that did not pay entity-level tax. An approach that permits a controller to apply a higher tax rate for purposes of a freeze-out results in a lower value for the interests held by the eliminated investors relative to the entity's operative reality. But the value of the entity's pass through status does not disappear. Through the Freeze-Out, the controller retains that value and enjoys distributions from the entity without paying entity-level tax. Applying a tax rate to the pass-through entity for purposes of the valuation in the Freeze-Out thus transfers value from the eliminated minority to the controller. It enables the controller to profit from its wrongdoing, contrary to settled remedial principles.</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91" w:name="co_pp_sp_999_51_1"/>
      <w:r>
        <w:rPr>
          <w:rFonts w:ascii="Times New Roman" w:hAnsi="Times New Roman"/>
          <w:b/>
          <w:color w:val="000000"/>
          <w:sz w:val="20"/>
        </w:rPr>
        <w:t>*51</w:t>
      </w:r>
      <w:bookmarkEnd w:id="191"/>
      <w:r>
        <w:rPr>
          <w:rFonts w:ascii="Times New Roman" w:hAnsi="Times New Roman"/>
          <w:color w:val="000000"/>
          <w:sz w:val="20"/>
        </w:rPr>
        <w:t xml:space="preserve"> The </w:t>
      </w:r>
      <w:r>
        <w:rPr>
          <w:rFonts w:ascii="Times New Roman" w:hAnsi="Times New Roman"/>
          <w:i/>
          <w:color w:val="000000"/>
          <w:sz w:val="20"/>
        </w:rPr>
        <w:t>Delaware Open MRI</w:t>
      </w:r>
      <w:r>
        <w:rPr>
          <w:rFonts w:ascii="Times New Roman" w:hAnsi="Times New Roman"/>
          <w:color w:val="000000"/>
          <w:sz w:val="20"/>
        </w:rPr>
        <w:t xml:space="preserve"> method also fails to account for the fact that the acquirer obtains tax benefits from acquiring the minority interest. When evaluating the Freeze-Out, AT&amp;T considered the value it would receive from the step-up in the tax basis of the Partnership's assets. Dkt. 626 at 31–32 (citing JX 3514 at ’580). Using a range of discount rates, AT&amp;T valued the tax benefits of the freeze-outs at between $16 million and $18.9 million, translating to a tax benefit in the range of 21% to 24% of the total purchase price. JX 3514 at ’580.</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In an effort to respond to these criticisms, Taylor and PwC argue that “in the hypothetical willing buyer/willing seller valuation context, the only realistic willing buyers for the Partnerships would be other corporate entities” that would have similar tax characteristics as AT&amp;T. Taylor Report at 91–92. But the hypothetical sale standard is not the test. The court is crafting a damages award for a breach of the duty of loyalty, resulting in an inquiry that looks to whether the eliminated investors received the “substantial equivalent in value of what he had before.” </w:t>
      </w:r>
      <w:hyperlink r:id="r105">
        <w:r>
          <w:rPr>
            <w:rFonts w:ascii="Times New Roman" w:hAnsi="Times New Roman"/>
            <w:i/>
            <w:color w:val="000000"/>
            <w:sz w:val="20"/>
          </w:rPr>
          <w:t>Sterling</w:t>
        </w:r>
        <w:r>
          <w:rPr>
            <w:rFonts w:ascii="Times New Roman" w:hAnsi="Times New Roman"/>
            <w:color w:val="000000"/>
            <w:sz w:val="20"/>
          </w:rPr>
          <w:t>, 93 A.2d at 114</w:t>
        </w:r>
      </w:hyperlink>
      <w:r>
        <w:rPr>
          <w:rFonts w:ascii="Times New Roman" w:hAnsi="Times New Roman"/>
          <w:color w:val="000000"/>
          <w:sz w:val="20"/>
        </w:rPr>
        <w:t>. The test does not look to fair market value, but rather the value of what was taken from the beneficiary.</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It is true that this court has looked to what a third party would pay when relevant to determining whether the controller paid a price that was too low. </w:t>
      </w:r>
      <w:r>
        <w:rPr>
          <w:rFonts w:ascii="Times New Roman" w:hAnsi="Times New Roman"/>
          <w:i/>
          <w:color w:val="000000"/>
          <w:sz w:val="20"/>
        </w:rPr>
        <w:t>See</w:t>
      </w:r>
      <w:r>
        <w:rPr>
          <w:rFonts w:ascii="Times New Roman" w:hAnsi="Times New Roman"/>
          <w:color w:val="000000"/>
          <w:sz w:val="20"/>
        </w:rPr>
        <w:t xml:space="preserve"> </w:t>
      </w:r>
      <w:hyperlink r:id="r106">
        <w:r>
          <w:rPr>
            <w:rFonts w:ascii="Times New Roman" w:hAnsi="Times New Roman"/>
            <w:i/>
            <w:color w:val="000000"/>
            <w:sz w:val="20"/>
          </w:rPr>
          <w:t>Reis</w:t>
        </w:r>
        <w:r>
          <w:rPr>
            <w:rFonts w:ascii="Times New Roman" w:hAnsi="Times New Roman"/>
            <w:color w:val="000000"/>
            <w:sz w:val="20"/>
          </w:rPr>
          <w:t>, 28 A.3d at 466</w:t>
        </w:r>
      </w:hyperlink>
      <w:r>
        <w:rPr>
          <w:rFonts w:ascii="Times New Roman" w:hAnsi="Times New Roman"/>
          <w:color w:val="000000"/>
          <w:sz w:val="20"/>
        </w:rPr>
        <w:t xml:space="preserve">; </w:t>
      </w:r>
      <w:hyperlink r:id="r107">
        <w:r>
          <w:rPr>
            <w:rFonts w:ascii="Times New Roman" w:hAnsi="Times New Roman"/>
            <w:i/>
            <w:color w:val="000000"/>
            <w:sz w:val="20"/>
          </w:rPr>
          <w:t>Kahn v. Tremont Corp.</w:t>
        </w:r>
        <w:r>
          <w:rPr>
            <w:rFonts w:ascii="Times New Roman" w:hAnsi="Times New Roman"/>
            <w:color w:val="000000"/>
            <w:sz w:val="20"/>
          </w:rPr>
          <w:t>, 1996 WL 145452, at *1 (Del. Ch. Mar. 21, 1996)</w:t>
        </w:r>
      </w:hyperlink>
      <w:r>
        <w:rPr>
          <w:rFonts w:ascii="Times New Roman" w:hAnsi="Times New Roman"/>
          <w:color w:val="000000"/>
          <w:sz w:val="20"/>
        </w:rPr>
        <w:t xml:space="preserve"> (Allen, C.), </w:t>
      </w:r>
      <w:r>
        <w:rPr>
          <w:rFonts w:ascii="Times New Roman" w:hAnsi="Times New Roman"/>
          <w:i/>
          <w:color w:val="000000"/>
          <w:sz w:val="20"/>
        </w:rPr>
        <w:t>rev'd on other grounds</w:t>
      </w:r>
      <w:r>
        <w:rPr>
          <w:rFonts w:ascii="Times New Roman" w:hAnsi="Times New Roman"/>
          <w:color w:val="000000"/>
          <w:sz w:val="20"/>
        </w:rPr>
        <w:t xml:space="preserve">, </w:t>
      </w:r>
      <w:hyperlink r:id="r108">
        <w:r>
          <w:rPr>
            <w:rFonts w:ascii="Times New Roman" w:hAnsi="Times New Roman"/>
            <w:color w:val="000000"/>
            <w:sz w:val="20"/>
          </w:rPr>
          <w:t>694 A.2d 422 (Del. 1997)</w:t>
        </w:r>
      </w:hyperlink>
      <w:r>
        <w:rPr>
          <w:rFonts w:ascii="Times New Roman" w:hAnsi="Times New Roman"/>
          <w:color w:val="000000"/>
          <w:sz w:val="20"/>
        </w:rPr>
        <w:t xml:space="preserve">; </w:t>
      </w:r>
      <w:hyperlink r:id="r109">
        <w:r>
          <w:rPr>
            <w:rFonts w:ascii="Times New Roman" w:hAnsi="Times New Roman"/>
            <w:i/>
            <w:color w:val="000000"/>
            <w:sz w:val="20"/>
          </w:rPr>
          <w:t>Cinerama, Inc. v. Technicolor, Inc.</w:t>
        </w:r>
        <w:r>
          <w:rPr>
            <w:rFonts w:ascii="Times New Roman" w:hAnsi="Times New Roman"/>
            <w:color w:val="000000"/>
            <w:sz w:val="20"/>
          </w:rPr>
          <w:t>, 663 A.2d 1134, 1143 (Del. Ch. 1994)</w:t>
        </w:r>
      </w:hyperlink>
      <w:r>
        <w:rPr>
          <w:rFonts w:ascii="Times New Roman" w:hAnsi="Times New Roman"/>
          <w:color w:val="000000"/>
          <w:sz w:val="20"/>
        </w:rPr>
        <w:t xml:space="preserve"> (Allen, C.), </w:t>
      </w:r>
      <w:r>
        <w:rPr>
          <w:rFonts w:ascii="Times New Roman" w:hAnsi="Times New Roman"/>
          <w:i/>
          <w:color w:val="000000"/>
          <w:sz w:val="20"/>
        </w:rPr>
        <w:t>aff'd</w:t>
      </w:r>
      <w:r>
        <w:rPr>
          <w:rFonts w:ascii="Times New Roman" w:hAnsi="Times New Roman"/>
          <w:color w:val="000000"/>
          <w:sz w:val="20"/>
        </w:rPr>
        <w:t xml:space="preserve">, </w:t>
      </w:r>
      <w:hyperlink r:id="r110">
        <w:r>
          <w:rPr>
            <w:rFonts w:ascii="Times New Roman" w:hAnsi="Times New Roman"/>
            <w:color w:val="000000"/>
            <w:sz w:val="20"/>
          </w:rPr>
          <w:t>663 A.2d 1156 (Del. 1995)</w:t>
        </w:r>
      </w:hyperlink>
      <w:r>
        <w:rPr>
          <w:rFonts w:ascii="Times New Roman" w:hAnsi="Times New Roman"/>
          <w:color w:val="000000"/>
          <w:sz w:val="20"/>
        </w:rPr>
        <w:t>. That reference point is not a license for controllers to impose prices that might be justifiable by a third-party metric but which ignore important attributes of the operative reality of the entity in question. The court's ultimate task is not to value the plaintiffs’ interest based on a hypothetical arm's-length sale of the Partnership. Such an approach would treat the Partnership as if it were an isolated standalone entity, operating a tiny legacy wireless business in the Salem Market. The court's task is to value a hypothetical alternative in which the investors could remain holders of Partnership interests based on the operative reality of the Partnership at the time of the Freeze-Out. In that operative reality, the Partnership was an integral part of AT&amp;T's nationwide network, and the plaintiffs received distributions from an entity that did not pay entity-level tax.</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Both sides thus advanced compelling arguments against applying </w:t>
      </w:r>
      <w:r>
        <w:rPr>
          <w:rFonts w:ascii="Times New Roman" w:hAnsi="Times New Roman"/>
          <w:i/>
          <w:color w:val="000000"/>
          <w:sz w:val="20"/>
        </w:rPr>
        <w:t>Delaware Open MRI</w:t>
      </w:r>
      <w:r>
        <w:rPr>
          <w:rFonts w:ascii="Times New Roman" w:hAnsi="Times New Roman"/>
          <w:color w:val="000000"/>
          <w:sz w:val="20"/>
        </w:rPr>
        <w:t xml:space="preserve"> on the facts of this case. The principal alternative method is to follow </w:t>
      </w:r>
      <w:r>
        <w:rPr>
          <w:rFonts w:ascii="Times New Roman" w:hAnsi="Times New Roman"/>
          <w:i/>
          <w:color w:val="000000"/>
          <w:sz w:val="20"/>
        </w:rPr>
        <w:t>Radiology Associates</w:t>
      </w:r>
      <w:r>
        <w:rPr>
          <w:rFonts w:ascii="Times New Roman" w:hAnsi="Times New Roman"/>
          <w:color w:val="000000"/>
          <w:sz w:val="20"/>
        </w:rPr>
        <w:t xml:space="preserve">. Declining to introduce entity-level tax for purposes of the damages calculation is consistent with the Partnership's status as a tax-free entity. The resulting damages award risks overstating the value of the Partnership, but it generates a responsible estimate, and “once a breach of duty is established, uncertainties in awarding damages are generally resolved against the wrongdoer.” </w:t>
      </w:r>
      <w:hyperlink r:id="r111">
        <w:r>
          <w:rPr>
            <w:rFonts w:ascii="Times New Roman" w:hAnsi="Times New Roman"/>
            <w:i/>
            <w:color w:val="000000"/>
            <w:sz w:val="20"/>
          </w:rPr>
          <w:t>Thorpe</w:t>
        </w:r>
        <w:r>
          <w:rPr>
            <w:rFonts w:ascii="Times New Roman" w:hAnsi="Times New Roman"/>
            <w:color w:val="000000"/>
            <w:sz w:val="20"/>
          </w:rPr>
          <w:t>, 1993 WL 443406, at *12</w:t>
        </w:r>
      </w:hyperlink>
      <w:r>
        <w:rPr>
          <w:rFonts w:ascii="Times New Roman" w:hAnsi="Times New Roman"/>
          <w:color w:val="000000"/>
          <w:sz w:val="20"/>
        </w:rPr>
        <w: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Using the </w:t>
      </w:r>
      <w:r>
        <w:rPr>
          <w:rFonts w:ascii="Times New Roman" w:hAnsi="Times New Roman"/>
          <w:i/>
          <w:color w:val="000000"/>
          <w:sz w:val="20"/>
        </w:rPr>
        <w:t>Radiology Associates</w:t>
      </w:r>
      <w:r>
        <w:rPr>
          <w:rFonts w:ascii="Times New Roman" w:hAnsi="Times New Roman"/>
          <w:color w:val="000000"/>
          <w:sz w:val="20"/>
        </w:rPr>
        <w:t xml:space="preserve"> approach also is consistent with the maxim that “[o]nce disloyalty has been established,” the court's remedy should seek to ensure “that a fiduciary not profit” from its actions “and that the beneficiary not be harmed.” </w:t>
      </w:r>
      <w:hyperlink r:id="r112">
        <w:r>
          <w:rPr>
            <w:rFonts w:ascii="Times New Roman" w:hAnsi="Times New Roman"/>
            <w:i/>
            <w:color w:val="000000"/>
            <w:sz w:val="20"/>
          </w:rPr>
          <w:t>Thorpe</w:t>
        </w:r>
        <w:r>
          <w:rPr>
            <w:rFonts w:ascii="Times New Roman" w:hAnsi="Times New Roman"/>
            <w:color w:val="000000"/>
            <w:sz w:val="20"/>
          </w:rPr>
          <w:t>, 676 A.2d at 445</w:t>
        </w:r>
      </w:hyperlink>
      <w:r>
        <w:rPr>
          <w:rFonts w:ascii="Times New Roman" w:hAnsi="Times New Roman"/>
          <w:color w:val="000000"/>
          <w:sz w:val="20"/>
        </w:rPr>
        <w:t>. In this case, AT&amp;T reaped significant benefits through the Freeze-Out, including from the step-up in basis. By imposing a tax-free damages award on AT&amp;T, this decision assures that AT&amp;T will not enjoy the benefit that the Freeze-Out created.</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92" w:name="co_pp_sp_999_52_1"/>
      <w:r>
        <w:rPr>
          <w:rFonts w:ascii="Times New Roman" w:hAnsi="Times New Roman"/>
          <w:b/>
          <w:color w:val="000000"/>
          <w:sz w:val="20"/>
        </w:rPr>
        <w:t>*52</w:t>
      </w:r>
      <w:bookmarkEnd w:id="192"/>
      <w:r>
        <w:rPr>
          <w:rFonts w:ascii="Times New Roman" w:hAnsi="Times New Roman"/>
          <w:color w:val="000000"/>
          <w:sz w:val="20"/>
        </w:rPr>
        <w:t xml:space="preserve"> This decision therefore follows </w:t>
      </w:r>
      <w:r>
        <w:rPr>
          <w:rFonts w:ascii="Times New Roman" w:hAnsi="Times New Roman"/>
          <w:i/>
          <w:color w:val="000000"/>
          <w:sz w:val="20"/>
        </w:rPr>
        <w:t>Radiology Associates</w:t>
      </w:r>
      <w:r>
        <w:rPr>
          <w:rFonts w:ascii="Times New Roman" w:hAnsi="Times New Roman"/>
          <w:color w:val="000000"/>
          <w:sz w:val="20"/>
        </w:rPr>
        <w:t xml:space="preserve"> when awarding damages. Operationally for purposes of the DCF model, that means a tax rate of 0%.</w:t>
      </w:r>
    </w:p>
    <w:p>
      <w:pPr>
        <w:spacing w:before="0" w:after="0" w:line="275" w:lineRule="atLeast"/>
        <w:jc w:val="both"/>
      </w:pPr>
      <w:r>
        <w:rPr>
          <w:rFonts w:ascii="Times New Roman" w:hAnsi="Times New Roman"/>
          <w:color w:val="000000"/>
          <w:sz w:val="20"/>
        </w:rPr>
        <w:t> </w:t>
      </w:r>
    </w:p>
    <w:bookmarkStart w:id="193" w:name="co_anchor_I8f4e9141ace211ec8c80dd32e620"/>
    <w:bookmarkStart w:id="194" w:name="co_anchor_I8f4e9141ace211ec8c80dd32e2"/>
    <w:p>
      <w:pPr>
        <w:spacing w:before="400" w:after="0" w:line="275" w:lineRule="atLeast"/>
      </w:pPr>
      <w:r>
        <w:rPr>
          <w:rFonts w:ascii="Times New Roman" w:hAnsi="Times New Roman"/>
          <w:b/>
          <w:color w:val="000000"/>
          <w:sz w:val="20"/>
        </w:rPr>
        <w:t>B. The Discount Rate</w:t>
      </w:r>
    </w:p>
    <w:bookmarkEnd w:id="194"/>
    <w:bookmarkEnd w:id="193"/>
    <w:p>
      <w:pPr>
        <w:spacing w:before="0" w:after="0" w:line="275" w:lineRule="atLeast"/>
        <w:jc w:val="both"/>
      </w:pPr>
      <w:r>
        <w:rPr>
          <w:rFonts w:ascii="Times New Roman" w:hAnsi="Times New Roman"/>
          <w:color w:val="000000"/>
          <w:sz w:val="20"/>
        </w:rPr>
        <w:t>The next step in the damages calculation is to calculate a discount rate. The experts for both sides used the Partnership's after-tax weighted average cost of capital (the “WACC”).</w:t>
      </w:r>
      <w:bookmarkStart w:id="195" w:name="co_fnRef_B00372055700832_ID0E3YGK_1"/>
      <w:hyperlink w:anchor="co_footnote_B00372055700832_1">
        <w:r>
          <w:rPr>
            <w:rFonts w:ascii="Times New Roman" w:hAnsi="Times New Roman"/>
            <w:color w:val="000000"/>
            <w:sz w:val="16"/>
            <w:vertAlign w:val="superscript"/>
          </w:rPr>
          <w:t>37</w:t>
        </w:r>
      </w:hyperlink>
      <w:bookmarkEnd w:id="195"/>
      <w:r>
        <w:rPr>
          <w:rFonts w:ascii="Times New Roman" w:hAnsi="Times New Roman"/>
          <w:color w:val="000000"/>
          <w:sz w:val="20"/>
        </w:rPr>
        <w:t xml:space="preserve"> Taylor derived a WACC of 8.5%. Barrick derived a WACC of 6.3%. The parties disagreed about five components: (i) the pre-tax cost of debt, (ii) the equity risk premium, (iii) whether to include a size premium, (iv) the Partnership's beta, and (v) the after-tax cost of debt.</w:t>
      </w:r>
      <w:bookmarkStart w:id="196" w:name="co_fnRef_B00382055700832_ID0EJZGK_1"/>
      <w:hyperlink w:anchor="co_footnote_B00382055700832_1">
        <w:r>
          <w:rPr>
            <w:rFonts w:ascii="Times New Roman" w:hAnsi="Times New Roman"/>
            <w:color w:val="000000"/>
            <w:sz w:val="16"/>
            <w:vertAlign w:val="superscript"/>
          </w:rPr>
          <w:t>38</w:t>
        </w:r>
      </w:hyperlink>
      <w:bookmarkEnd w:id="196"/>
    </w:p>
    <w:p>
      <w:pPr>
        <w:spacing w:before="0" w:after="0" w:line="275" w:lineRule="atLeast"/>
        <w:jc w:val="both"/>
      </w:pPr>
      <w:r>
        <w:rPr>
          <w:rFonts w:ascii="Times New Roman" w:hAnsi="Times New Roman"/>
          <w:color w:val="000000"/>
          <w:sz w:val="20"/>
        </w:rPr>
        <w:t> </w:t>
      </w:r>
    </w:p>
    <w:bookmarkStart w:id="197" w:name="co_anchor_I8f51eca1ace211ec8c80dd32e620"/>
    <w:p>
      <w:pPr>
        <w:spacing w:before="400" w:after="0" w:line="275" w:lineRule="atLeast"/>
        <w:jc w:val="center"/>
      </w:pPr>
      <w:r>
        <w:rPr>
          <w:rFonts w:ascii="Times New Roman" w:hAnsi="Times New Roman"/>
          <w:b/>
          <w:color w:val="000000"/>
          <w:sz w:val="20"/>
        </w:rPr>
        <w:t>a. The Pre-Tax Cost Of Debt</w:t>
      </w:r>
    </w:p>
    <w:bookmarkEnd w:id="197"/>
    <w:p>
      <w:pPr>
        <w:spacing w:before="200" w:after="0" w:line="275" w:lineRule="atLeast"/>
        <w:jc w:val="both"/>
      </w:pPr>
      <w:r>
        <w:rPr>
          <w:rFonts w:ascii="Times New Roman" w:hAnsi="Times New Roman"/>
          <w:color w:val="000000"/>
          <w:sz w:val="20"/>
        </w:rPr>
        <w:t>When calculating the Partnership's pre-tax cost of debt. Barrick followed PwC and used the Moody's average bond yield on A-rated debt securities, which Barrick estimated to be 5.7%. Barrick Report at 33. AT&amp;T had an A credit rating, so AT&amp;T could borrow at that rate. Taylor used the Moody's average bond yield on Ba1-rated corporate borrowers, which was 5.4% at the time of the Freeze-Out. Taylor Report at 97, 98 n.222, 100. Normally, the yield on a Ba1-rated bond would be higher than the rating on an A-rated bond, but Barrick calculated the cost of debt using AT&amp;T's anticipated average cost of debt over the next five years per AT&amp;T's 2009 Form 10K, while Taylor simply used the yield on a Ba1-rated bond on the date of the Freeze-Out.</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198" w:name="co_pp_sp_999_53_1"/>
      <w:r>
        <w:rPr>
          <w:rFonts w:ascii="Times New Roman" w:hAnsi="Times New Roman"/>
          <w:b/>
          <w:color w:val="000000"/>
          <w:sz w:val="20"/>
        </w:rPr>
        <w:t>*53</w:t>
      </w:r>
      <w:bookmarkEnd w:id="198"/>
      <w:r>
        <w:rPr>
          <w:rFonts w:ascii="Times New Roman" w:hAnsi="Times New Roman"/>
          <w:color w:val="000000"/>
          <w:sz w:val="20"/>
        </w:rPr>
        <w:t xml:space="preserve"> Damages should be measured at the time of the Freeze-Out, so this decision does not use Barrick's pre-tax cost of debt. </w:t>
      </w:r>
      <w:r>
        <w:rPr>
          <w:rFonts w:ascii="Times New Roman" w:hAnsi="Times New Roman"/>
          <w:color w:val="000000"/>
          <w:sz w:val="20"/>
        </w:rPr>
        <w:t xml:space="preserve">This decision also rejects Taylor's number, which is based on a fictional credit rating for AT&amp;T. This decision uses a pre-tax cost of debt for AT&amp;T of 5.2%. That figure appears in PwC's valuation report for a different partnership that was prepared on June 30, 2010, approximately ten weeks before the Freeze-Out. </w:t>
      </w:r>
      <w:r>
        <w:rPr>
          <w:rFonts w:ascii="Times New Roman" w:hAnsi="Times New Roman"/>
          <w:i/>
          <w:color w:val="000000"/>
          <w:sz w:val="20"/>
        </w:rPr>
        <w:t>See</w:t>
      </w:r>
      <w:r>
        <w:rPr>
          <w:rFonts w:ascii="Times New Roman" w:hAnsi="Times New Roman"/>
          <w:color w:val="000000"/>
          <w:sz w:val="20"/>
        </w:rPr>
        <w:t xml:space="preserve"> JX 1752 at ’673.</w:t>
      </w:r>
    </w:p>
    <w:p>
      <w:pPr>
        <w:spacing w:before="0" w:after="0" w:line="275" w:lineRule="atLeast"/>
        <w:jc w:val="both"/>
      </w:pPr>
      <w:r>
        <w:rPr>
          <w:rFonts w:ascii="Times New Roman" w:hAnsi="Times New Roman"/>
          <w:color w:val="000000"/>
          <w:sz w:val="20"/>
        </w:rPr>
        <w:t> </w:t>
      </w:r>
    </w:p>
    <w:bookmarkStart w:id="199" w:name="co_anchor_I8f532521ace211ec8c80dd32e620"/>
    <w:p>
      <w:pPr>
        <w:spacing w:before="400" w:after="0" w:line="275" w:lineRule="atLeast"/>
        <w:jc w:val="center"/>
      </w:pPr>
      <w:r>
        <w:rPr>
          <w:rFonts w:ascii="Times New Roman" w:hAnsi="Times New Roman"/>
          <w:b/>
          <w:color w:val="000000"/>
          <w:sz w:val="20"/>
        </w:rPr>
        <w:t>b. Equity Risk Premium</w:t>
      </w:r>
    </w:p>
    <w:bookmarkEnd w:id="199"/>
    <w:p>
      <w:pPr>
        <w:spacing w:before="200" w:after="0" w:line="275" w:lineRule="atLeast"/>
        <w:jc w:val="both"/>
      </w:pPr>
      <w:r>
        <w:rPr>
          <w:rFonts w:ascii="Times New Roman" w:hAnsi="Times New Roman"/>
          <w:color w:val="000000"/>
          <w:sz w:val="20"/>
        </w:rPr>
        <w:t xml:space="preserve">For purposes of an equity risk premium, each expert ironically used a figure that was more favorable to the other side. Taylor adopted a risk premium of 5.2% from the 2010 Ibbotson SBBI Yearbook. Taylor Report at 95 &amp; n.221; </w:t>
      </w:r>
      <w:r>
        <w:rPr>
          <w:rFonts w:ascii="Times New Roman" w:hAnsi="Times New Roman"/>
          <w:i/>
          <w:color w:val="000000"/>
          <w:sz w:val="20"/>
        </w:rPr>
        <w:t>see</w:t>
      </w:r>
      <w:r>
        <w:rPr>
          <w:rFonts w:ascii="Times New Roman" w:hAnsi="Times New Roman"/>
          <w:color w:val="000000"/>
          <w:sz w:val="20"/>
        </w:rPr>
        <w:t xml:space="preserve"> JX 668 at 3. Barrick adopted a risk premium of 6% from the 2011 Ibbotson SBBI Yearbook. Barrick Report at 29–30; </w:t>
      </w:r>
      <w:r>
        <w:rPr>
          <w:rFonts w:ascii="Times New Roman" w:hAnsi="Times New Roman"/>
          <w:i/>
          <w:color w:val="000000"/>
          <w:sz w:val="20"/>
        </w:rPr>
        <w:t>see</w:t>
      </w:r>
      <w:r>
        <w:rPr>
          <w:rFonts w:ascii="Times New Roman" w:hAnsi="Times New Roman"/>
          <w:color w:val="000000"/>
          <w:sz w:val="20"/>
        </w:rPr>
        <w:t xml:space="preserve"> JX 1793 at 3. Damages must be calculated as of the date of the Freeze-Out. The 2011 Ibbotson SBBI Yearbook reported 2010 data, so the equity risk premium it reported was in effect when the Freeze-Out took place. This decision therefore uses Barrick's figure.</w:t>
      </w:r>
    </w:p>
    <w:p>
      <w:pPr>
        <w:spacing w:before="0" w:after="0" w:line="275" w:lineRule="atLeast"/>
        <w:jc w:val="both"/>
      </w:pPr>
      <w:r>
        <w:rPr>
          <w:rFonts w:ascii="Times New Roman" w:hAnsi="Times New Roman"/>
          <w:color w:val="000000"/>
          <w:sz w:val="20"/>
        </w:rPr>
        <w:t> </w:t>
      </w:r>
    </w:p>
    <w:bookmarkStart w:id="200" w:name="co_anchor_I8f53c161ace211ec8c80dd32e620"/>
    <w:p>
      <w:pPr>
        <w:spacing w:before="400" w:after="0" w:line="275" w:lineRule="atLeast"/>
        <w:jc w:val="center"/>
      </w:pPr>
      <w:r>
        <w:rPr>
          <w:rFonts w:ascii="Times New Roman" w:hAnsi="Times New Roman"/>
          <w:b/>
          <w:color w:val="000000"/>
          <w:sz w:val="20"/>
        </w:rPr>
        <w:t>c. Beta</w:t>
      </w:r>
    </w:p>
    <w:bookmarkEnd w:id="200"/>
    <w:p>
      <w:pPr>
        <w:spacing w:before="200" w:after="0" w:line="275" w:lineRule="atLeast"/>
        <w:jc w:val="both"/>
      </w:pPr>
      <w:r>
        <w:rPr>
          <w:rFonts w:ascii="Times New Roman" w:hAnsi="Times New Roman"/>
          <w:color w:val="000000"/>
          <w:sz w:val="20"/>
        </w:rPr>
        <w:t>To calculate beta, Taylor averaged the five-year weekly unlevered beta of a set of comparable companies, then relevered the result using AT&amp;T's capital structure for a beta of 0.78. Taylor Report at 96, Ex. 31. In her opening report, Barrick argued for a beta of 0.66, which she claimed to have calculated using AT&amp;T's five-year weekly levered beta. Barrick Report at 30–31. In her rebuttal report, Barrick agreed on using a five-year weekly beta but argued that Taylor's methodology was incorrect because “[t]he operative reality of the Partnerships is that they are a part of AT&amp;T as a whole and it is AT&amp;T's cost of capital that is relevant.” Barrick Rebuttal Report at 24–25. Barrick noted that Taylor had calculated AT&amp;T's five-year weekly beta to be 0.75 and appeared to suggest that 0.75 was correct, even though Barrick had calculated a figure of 0.66.</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court agrees that the Partnership was so intertwined with AT&amp;T as to warrant using AT&amp;T's five-year weekly beta. In the </w:t>
      </w:r>
      <w:r>
        <w:rPr>
          <w:rFonts w:ascii="Times New Roman" w:hAnsi="Times New Roman"/>
          <w:i/>
          <w:color w:val="000000"/>
          <w:sz w:val="20"/>
        </w:rPr>
        <w:t>AMWOH</w:t>
      </w:r>
      <w:r>
        <w:rPr>
          <w:rFonts w:ascii="Times New Roman" w:hAnsi="Times New Roman"/>
          <w:color w:val="000000"/>
          <w:sz w:val="20"/>
        </w:rPr>
        <w:t xml:space="preserve"> decision, this court used AT&amp;T's beta in a valuation of market-level entities to “reflect[ ] the reality that the Companies were operated as part of Mobility, which in turn is part of AT&amp;T.” </w:t>
      </w:r>
      <w:hyperlink r:id="r113">
        <w:r>
          <w:rPr>
            <w:rFonts w:ascii="Times New Roman" w:hAnsi="Times New Roman"/>
            <w:color w:val="000000"/>
            <w:sz w:val="20"/>
          </w:rPr>
          <w:t>2013 WL 3865099, at *4</w:t>
        </w:r>
      </w:hyperlink>
      <w:r>
        <w:rPr>
          <w:rFonts w:ascii="Times New Roman" w:hAnsi="Times New Roman"/>
          <w:color w:val="000000"/>
          <w:sz w:val="20"/>
        </w:rPr>
        <w:t>. The same reasoning applies here. The Partnership was a market-level entity that operated as part of AT&amp;T's nationwide business.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experts generated different figures for the five-year weekly beta. The court confirmed the accuracy of Taylor's figure. This decision therefore uses a beta of 0.75.</w:t>
      </w:r>
    </w:p>
    <w:p>
      <w:pPr>
        <w:spacing w:before="0" w:after="0" w:line="275" w:lineRule="atLeast"/>
        <w:jc w:val="both"/>
      </w:pPr>
      <w:r>
        <w:rPr>
          <w:rFonts w:ascii="Times New Roman" w:hAnsi="Times New Roman"/>
          <w:color w:val="000000"/>
          <w:sz w:val="20"/>
        </w:rPr>
        <w:t> </w:t>
      </w:r>
    </w:p>
    <w:bookmarkStart w:id="201" w:name="co_anchor_I8f5520f1ace211ec8c80dd32e620"/>
    <w:p>
      <w:pPr>
        <w:spacing w:before="400" w:after="0" w:line="275" w:lineRule="atLeast"/>
        <w:jc w:val="center"/>
      </w:pPr>
      <w:r>
        <w:rPr>
          <w:rFonts w:ascii="Times New Roman" w:hAnsi="Times New Roman"/>
          <w:b/>
          <w:color w:val="000000"/>
          <w:sz w:val="20"/>
        </w:rPr>
        <w:t>d. Size Premium</w:t>
      </w:r>
    </w:p>
    <w:bookmarkEnd w:id="201"/>
    <w:p>
      <w:pPr>
        <w:spacing w:before="200" w:after="0" w:line="275" w:lineRule="atLeast"/>
        <w:jc w:val="both"/>
      </w:pPr>
      <w:r>
        <w:rPr>
          <w:rFonts w:ascii="Times New Roman" w:hAnsi="Times New Roman"/>
          <w:color w:val="000000"/>
          <w:sz w:val="20"/>
        </w:rPr>
        <w:t>In a debate with significant implications for the damages award, the parties disagreed over whether to apply a size premium. Taylor applied a size premium of 2.99%. PwC did not apply a size premium. Neither did Barrick. This decision adopts Taylor's size premium.</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 size premium increases the subject company's cost of equity, increasing the discount rate. That in turn lowers the present value of cash flows and results in a lower valuation estimate.</w:t>
      </w:r>
      <w:bookmarkStart w:id="202" w:name="co_fnRef_B00392055700832_ID0EGGHK_1"/>
      <w:hyperlink w:anchor="co_footnote_B00392055700832_1">
        <w:r>
          <w:rPr>
            <w:rFonts w:ascii="Times New Roman" w:hAnsi="Times New Roman"/>
            <w:color w:val="000000"/>
            <w:sz w:val="16"/>
            <w:vertAlign w:val="superscript"/>
          </w:rPr>
          <w:t>39</w:t>
        </w:r>
      </w:hyperlink>
      <w:bookmarkEnd w:id="202"/>
      <w:r>
        <w:rPr>
          <w:rFonts w:ascii="Times New Roman" w:hAnsi="Times New Roman"/>
          <w:color w:val="000000"/>
          <w:sz w:val="20"/>
        </w:rPr>
        <w:t xml:space="preserve"> The rationale is that a small business faces greater overall risk than a larger, more diversified one. Pratt, </w:t>
      </w:r>
      <w:r>
        <w:rPr>
          <w:rFonts w:ascii="Times New Roman" w:hAnsi="Times New Roman"/>
          <w:i/>
          <w:color w:val="000000"/>
          <w:sz w:val="20"/>
        </w:rPr>
        <w:t>supra</w:t>
      </w:r>
      <w:r>
        <w:rPr>
          <w:rFonts w:ascii="Times New Roman" w:hAnsi="Times New Roman"/>
          <w:color w:val="000000"/>
          <w:sz w:val="20"/>
        </w:rPr>
        <w:t xml:space="preserve">, at 193–94. The proponent of a size premium must “prove the amount” of the premium. </w:t>
      </w:r>
      <w:hyperlink r:id="r114">
        <w:r>
          <w:rPr>
            <w:rFonts w:ascii="Times New Roman" w:hAnsi="Times New Roman"/>
            <w:i/>
            <w:color w:val="000000"/>
            <w:sz w:val="20"/>
          </w:rPr>
          <w:t>ONTI, Inc. v. Integra Bank</w:t>
        </w:r>
        <w:r>
          <w:rPr>
            <w:rFonts w:ascii="Times New Roman" w:hAnsi="Times New Roman"/>
            <w:color w:val="000000"/>
            <w:sz w:val="20"/>
          </w:rPr>
          <w:t>, 751 A.2d 904, 921 (Del. Ch. 1999)</w:t>
        </w:r>
      </w:hyperlink>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hyperlink r:id="r115">
        <w:r>
          <w:rPr>
            <w:rFonts w:ascii="Times New Roman" w:hAnsi="Times New Roman"/>
            <w:i/>
            <w:color w:val="000000"/>
            <w:sz w:val="20"/>
          </w:rPr>
          <w:t>Orchard</w:t>
        </w:r>
        <w:r>
          <w:rPr>
            <w:rFonts w:ascii="Times New Roman" w:hAnsi="Times New Roman"/>
            <w:color w:val="000000"/>
            <w:sz w:val="20"/>
          </w:rPr>
          <w:t>, 2012 WL 2923305, at *21</w:t>
        </w:r>
      </w:hyperlink>
      <w:r>
        <w:rPr>
          <w:rFonts w:ascii="Times New Roman" w:hAnsi="Times New Roman"/>
          <w:color w:val="000000"/>
          <w:sz w:val="20"/>
        </w:rPr>
        <w:t>.</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203" w:name="co_pp_sp_999_54_1"/>
      <w:r>
        <w:rPr>
          <w:rFonts w:ascii="Times New Roman" w:hAnsi="Times New Roman"/>
          <w:b/>
          <w:color w:val="000000"/>
          <w:sz w:val="20"/>
        </w:rPr>
        <w:t>*54</w:t>
      </w:r>
      <w:bookmarkEnd w:id="203"/>
      <w:r>
        <w:rPr>
          <w:rFonts w:ascii="Times New Roman" w:hAnsi="Times New Roman"/>
          <w:color w:val="000000"/>
          <w:sz w:val="20"/>
        </w:rPr>
        <w:t xml:space="preserve"> Whether to apply a size premium in this case presents a close question. It is undeniable that the Partnership and its sister entities were small entities that operated in geographically discrete areas. At the same time, AT&amp;T managed the Partnership and its sister entities as integral parts of its nationwide wireless business. </w:t>
      </w:r>
      <w:r>
        <w:rPr>
          <w:rFonts w:ascii="Times New Roman" w:hAnsi="Times New Roman"/>
          <w:color w:val="000000"/>
          <w:sz w:val="20"/>
        </w:rPr>
        <w:t>A strong argument can be made that each of the determinants of the Partnership's cost of capital in a DCF model should reflect the reality that AT&amp;T was its capital provider. For example, the experts agreed on using AT&amp;T's capital structure when calculating the WACC, and both used AT&amp;T's cost of debt. Due to the imperative of controlling spectrum to support a nationwide network, AT&amp;T was highly unlikely to sell a market-level entity voluntarily. Using a size premium thus fails to reflect their operative reality as permanent parts of AT&amp;T's national wireless business.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In two earlier appraisal cases involving similar market-level entities, the court made different findings. In </w:t>
      </w:r>
      <w:r>
        <w:rPr>
          <w:rFonts w:ascii="Times New Roman" w:hAnsi="Times New Roman"/>
          <w:i/>
          <w:color w:val="000000"/>
          <w:sz w:val="20"/>
        </w:rPr>
        <w:t>AMWOH</w:t>
      </w:r>
      <w:r>
        <w:rPr>
          <w:rFonts w:ascii="Times New Roman" w:hAnsi="Times New Roman"/>
          <w:color w:val="000000"/>
          <w:sz w:val="20"/>
        </w:rPr>
        <w:t xml:space="preserve">, Taylor and AT&amp;T failed to convince the court to apply a size premium of 3.99%. The court acknowledged that a size premium “may be appropriate to capture the additional risk associated with the unique risk factors of small entities,” but the court found that “PwC's determination not to use a small company risk premium is more persuasive and recognizes that the Companies operated as part of a larger entity.” </w:t>
      </w:r>
      <w:hyperlink r:id="r116">
        <w:r>
          <w:rPr>
            <w:rFonts w:ascii="Times New Roman" w:hAnsi="Times New Roman"/>
            <w:color w:val="000000"/>
            <w:sz w:val="20"/>
          </w:rPr>
          <w:t>2013 WL 3865099, at *4</w:t>
        </w:r>
      </w:hyperlink>
      <w:r>
        <w:rPr>
          <w:rFonts w:ascii="Times New Roman" w:hAnsi="Times New Roman"/>
          <w:color w:val="000000"/>
          <w:sz w:val="20"/>
        </w:rPr>
        <w:t xml:space="preserve">. In </w:t>
      </w:r>
      <w:r>
        <w:rPr>
          <w:rFonts w:ascii="Times New Roman" w:hAnsi="Times New Roman"/>
          <w:i/>
          <w:color w:val="000000"/>
          <w:sz w:val="20"/>
        </w:rPr>
        <w:t>B&amp;L Cellular</w:t>
      </w:r>
      <w:r>
        <w:rPr>
          <w:rFonts w:ascii="Times New Roman" w:hAnsi="Times New Roman"/>
          <w:color w:val="000000"/>
          <w:sz w:val="20"/>
        </w:rPr>
        <w:t xml:space="preserve">, by contrast, the local partnership was operated as part of United States Cellular. Taylor provided a persuasive explanation for a size premium of 1.85%, and the court adopted it. </w:t>
      </w:r>
      <w:hyperlink r:id="r117">
        <w:r>
          <w:rPr>
            <w:rFonts w:ascii="Times New Roman" w:hAnsi="Times New Roman"/>
            <w:color w:val="000000"/>
            <w:sz w:val="20"/>
          </w:rPr>
          <w:t>2014 WL 6882207, at *2</w:t>
        </w:r>
      </w:hyperlink>
      <w:r>
        <w:rPr>
          <w:rFonts w:ascii="Times New Roman" w:hAnsi="Times New Roman"/>
          <w:color w:val="000000"/>
          <w:sz w:val="20"/>
        </w:rPr>
        <w: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Here, Taylor and AT&amp;T contend that a size premium of 2.99% is appropriate. Taylor explained that the small size of the Partnership and its sister entities put them at “greater risk of significant variability in financial results.” Taylor Report at 96–97. Speaking of the partnerships as a group, she cited possibilities such as “a Partnership experiencing unique competition differences such as Metro or Leap launching in their territory with much lower prices, or a severe weather event impacting the city, or a major employer in the city leaving.” </w:t>
      </w:r>
      <w:r>
        <w:rPr>
          <w:rFonts w:ascii="Times New Roman" w:hAnsi="Times New Roman"/>
          <w:i/>
          <w:color w:val="000000"/>
          <w:sz w:val="20"/>
        </w:rPr>
        <w:t>Id.</w:t>
      </w:r>
      <w:r>
        <w:rPr>
          <w:rFonts w:ascii="Times New Roman" w:hAnsi="Times New Roman"/>
          <w:color w:val="000000"/>
          <w:sz w:val="20"/>
        </w:rPr>
        <w:t xml:space="preserve"> at 97. At the same time, Taylor opined that it was “important to recognize that the Partnerships have benefitted from being part of the larger AT&amp;T, which suggests that the Partnerships would be viewed as less risky than independent companies of similar size given a stabilizing factor from their relationship as part of AT&amp;T.” </w:t>
      </w:r>
      <w:r>
        <w:rPr>
          <w:rFonts w:ascii="Times New Roman" w:hAnsi="Times New Roman"/>
          <w:i/>
          <w:color w:val="000000"/>
          <w:sz w:val="20"/>
        </w:rPr>
        <w:t>Id.</w:t>
      </w:r>
      <w:r>
        <w:rPr>
          <w:rFonts w:ascii="Times New Roman" w:hAnsi="Times New Roman"/>
          <w:color w:val="000000"/>
          <w:sz w:val="20"/>
        </w:rPr>
        <w:t xml:space="preserve"> To account for these competing considerations, Taylor started with the 3.99% premium indicated by the “micro-cap” decile from the 2010 Ibbotson SBBI Yearbook, then subtracted 1% to reflect AT&amp;T's involvement for a total size premium of 2.99%. </w:t>
      </w:r>
      <w:r>
        <w:rPr>
          <w:rFonts w:ascii="Times New Roman" w:hAnsi="Times New Roman"/>
          <w:i/>
          <w:color w:val="000000"/>
          <w:sz w:val="20"/>
        </w:rPr>
        <w:t>Id.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Taylor's approach accounted for the operative reality of the Partnership and its sister entities. They were small companies operating in non-diversified local markets. Their revenues in particular were vulnerable to competitive and economic conditions within their geographic footprints. Compared to an integrated telecommunications business, the partnerships lacked diversification. They therefore carried higher risk than larger entities.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 the same time, the entities were part of AT&amp;T, which managed them as part of its nationwide wireless network. This decision has accounted for that fact by using AT&amp;T's financial metrics for other components of the WACC, such as AT&amp;T's capital structure, cost of debt, and beta. AT&amp;T's support did not eliminate the Partnership's dependence on its local market for revenue, making a size premium appropriate. Taylor also made a reasoned judgment to reduce her size premium by 1% to reflect AT&amp;T's support.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plaintiffs note that PwC declined to use a size premium. That is true, but PwC achieved a similar result through a higher beta. </w:t>
      </w:r>
      <w:r>
        <w:rPr>
          <w:rFonts w:ascii="Times New Roman" w:hAnsi="Times New Roman"/>
          <w:i/>
          <w:color w:val="000000"/>
          <w:sz w:val="20"/>
        </w:rPr>
        <w:t>See</w:t>
      </w:r>
      <w:r>
        <w:rPr>
          <w:rFonts w:ascii="Times New Roman" w:hAnsi="Times New Roman"/>
          <w:color w:val="000000"/>
          <w:sz w:val="20"/>
        </w:rPr>
        <w:t xml:space="preserve"> JX 1209 at ’060. A higher beta indicates that a company is relatively more sensitive to systemic risk than a diversified portfolio of securities. Shannon P. Pratt &amp; Roger Grabowski, </w:t>
      </w:r>
      <w:r>
        <w:rPr>
          <w:rFonts w:ascii="Times New Roman" w:hAnsi="Times New Roman"/>
          <w:i/>
          <w:color w:val="000000"/>
          <w:sz w:val="20"/>
        </w:rPr>
        <w:t>Cost of Capital: Applications and Examples</w:t>
      </w:r>
      <w:r>
        <w:rPr>
          <w:rFonts w:ascii="Times New Roman" w:hAnsi="Times New Roman"/>
          <w:color w:val="000000"/>
          <w:sz w:val="20"/>
        </w:rPr>
        <w:t xml:space="preserve"> 187–88 (4th ed. 2010). A size premium attempts to account for greater sensitivity to risk due to firm size. Although not equivalent, both increase the subject company's cost of capital to account for attributes that make the company riskier than a diversified portfolio. As Taylor explained, PwC first calculated a beta of 0.80, then “subjectively increased the AT&amp;T Inc. beta by 0.2 to account for the fact that pure-play wireless companies have historically demonstrated higher systematic risk than diversified telecoms (such as AT&amp;T Inc.).” Taylor Report at 95; </w:t>
      </w:r>
      <w:r>
        <w:rPr>
          <w:rFonts w:ascii="Times New Roman" w:hAnsi="Times New Roman"/>
          <w:i/>
          <w:color w:val="000000"/>
          <w:sz w:val="20"/>
        </w:rPr>
        <w:t>see</w:t>
      </w:r>
      <w:r>
        <w:rPr>
          <w:rFonts w:ascii="Times New Roman" w:hAnsi="Times New Roman"/>
          <w:color w:val="000000"/>
          <w:sz w:val="20"/>
        </w:rPr>
        <w:t xml:space="preserve"> JX 1209 at ’060 (“Given our observation of higher betas for pure wireless companies, we selected 1.0 as the unlevered beta for the WACC calculation.”). That adjustment was an alternative approach to applying a size premium.</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204" w:name="co_pp_sp_999_55_1"/>
      <w:r>
        <w:rPr>
          <w:rFonts w:ascii="Times New Roman" w:hAnsi="Times New Roman"/>
          <w:b/>
          <w:color w:val="000000"/>
          <w:sz w:val="20"/>
        </w:rPr>
        <w:t>*55</w:t>
      </w:r>
      <w:bookmarkEnd w:id="204"/>
      <w:r>
        <w:rPr>
          <w:rFonts w:ascii="Times New Roman" w:hAnsi="Times New Roman"/>
          <w:color w:val="000000"/>
          <w:sz w:val="20"/>
        </w:rPr>
        <w:t xml:space="preserve"> The plaintiffs have pointed out that the specific reasons Taylor cited in favor of a size premium did not necessarily apply to the Partnership. Taylor provided those reasons as examples. Small companies face greater risks, including risks that are unknown and unanticipated. The size premium accounts for that increased risk.</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This decision therefore applies Taylor's size premium when quantifying the damages award.</w:t>
      </w:r>
    </w:p>
    <w:p>
      <w:pPr>
        <w:spacing w:before="0" w:after="0" w:line="275" w:lineRule="atLeast"/>
        <w:jc w:val="both"/>
      </w:pPr>
      <w:r>
        <w:rPr>
          <w:rFonts w:ascii="Times New Roman" w:hAnsi="Times New Roman"/>
          <w:color w:val="000000"/>
          <w:sz w:val="20"/>
        </w:rPr>
        <w:t> </w:t>
      </w:r>
    </w:p>
    <w:bookmarkStart w:id="205" w:name="co_anchor_I8f5b3b71ace211ec8c80dd32e620"/>
    <w:p>
      <w:pPr>
        <w:spacing w:before="400" w:after="0" w:line="275" w:lineRule="atLeast"/>
        <w:jc w:val="center"/>
      </w:pPr>
      <w:r>
        <w:rPr>
          <w:rFonts w:ascii="Times New Roman" w:hAnsi="Times New Roman"/>
          <w:b/>
          <w:color w:val="000000"/>
          <w:sz w:val="20"/>
        </w:rPr>
        <w:t>e. After-Tax Cost Of Debt</w:t>
      </w:r>
    </w:p>
    <w:bookmarkEnd w:id="205"/>
    <w:p>
      <w:pPr>
        <w:spacing w:before="200" w:after="0" w:line="275" w:lineRule="atLeast"/>
        <w:jc w:val="both"/>
      </w:pPr>
      <w:r>
        <w:rPr>
          <w:rFonts w:ascii="Times New Roman" w:hAnsi="Times New Roman"/>
          <w:color w:val="000000"/>
          <w:sz w:val="20"/>
        </w:rPr>
        <w:t>The parties’ experts used different tax rates when calculating the after-tax cost of debt. Taylor used AT&amp;T's effective tax rate of 32.9% over a five-year period. Barrick used AT&amp;T's marginal tax rate of 38.5%. Valuation treatises generally support using the marginal tax rate of the borrower.</w:t>
      </w:r>
      <w:bookmarkStart w:id="206" w:name="co_fnRef_B00402055700832_ID0ELTHK_1"/>
      <w:hyperlink w:anchor="co_footnote_B00402055700832_1">
        <w:r>
          <w:rPr>
            <w:rFonts w:ascii="Times New Roman" w:hAnsi="Times New Roman"/>
            <w:color w:val="000000"/>
            <w:sz w:val="16"/>
            <w:vertAlign w:val="superscript"/>
          </w:rPr>
          <w:t>40</w:t>
        </w:r>
      </w:hyperlink>
      <w:bookmarkEnd w:id="206"/>
      <w:r>
        <w:rPr>
          <w:rFonts w:ascii="Times New Roman" w:hAnsi="Times New Roman"/>
          <w:color w:val="000000"/>
          <w:sz w:val="20"/>
        </w:rPr>
        <w:t xml:space="preserve"> Here, the borrower was AT&amp;T, which supplied capital to the Partnership. This decision therefore uses AT&amp;T's marginal tax rate of 38.5%.</w:t>
      </w:r>
    </w:p>
    <w:p>
      <w:pPr>
        <w:spacing w:before="0" w:after="0" w:line="275" w:lineRule="atLeast"/>
        <w:jc w:val="both"/>
      </w:pPr>
      <w:r>
        <w:rPr>
          <w:rFonts w:ascii="Times New Roman" w:hAnsi="Times New Roman"/>
          <w:color w:val="000000"/>
          <w:sz w:val="20"/>
        </w:rPr>
        <w:t> </w:t>
      </w:r>
    </w:p>
    <w:bookmarkStart w:id="207" w:name="co_anchor_I8f5d1031ace211ec8c80dd32e620"/>
    <w:p>
      <w:pPr>
        <w:spacing w:before="400" w:after="0" w:line="275" w:lineRule="atLeast"/>
        <w:jc w:val="center"/>
      </w:pPr>
      <w:r>
        <w:rPr>
          <w:rFonts w:ascii="Times New Roman" w:hAnsi="Times New Roman"/>
          <w:b/>
          <w:color w:val="000000"/>
          <w:sz w:val="20"/>
        </w:rPr>
        <w:t>f. The Finding Regarding The WACC</w:t>
      </w:r>
    </w:p>
    <w:bookmarkEnd w:id="207"/>
    <w:p>
      <w:pPr>
        <w:spacing w:before="200" w:after="0" w:line="275" w:lineRule="atLeast"/>
        <w:jc w:val="both"/>
      </w:pPr>
      <w:r>
        <w:rPr>
          <w:rFonts w:ascii="Times New Roman" w:hAnsi="Times New Roman"/>
          <w:color w:val="000000"/>
          <w:sz w:val="20"/>
        </w:rPr>
        <w:t>The ingredients of the WACC formula and the CAPM calculation are as follows:</w:t>
      </w:r>
    </w:p>
    <w:p>
      <w:pPr>
        <w:spacing w:before="200" w:after="0" w:line="275" w:lineRule="atLeast"/>
        <w:ind w:left="200" w:right="0" w:hanging="200"/>
        <w:jc w:val="both"/>
      </w:pPr>
      <w:r>
        <w:rPr>
          <w:rFonts w:ascii="Times New Roman" w:hAnsi="Times New Roman"/>
          <w:color w:val="000000"/>
          <w:sz w:val="20"/>
        </w:rPr>
        <w:t>• The Partnership's pre-tax cost of debt equals 5.2%.</w:t>
      </w:r>
    </w:p>
    <w:p>
      <w:pPr>
        <w:spacing w:before="200" w:after="0" w:line="275" w:lineRule="atLeast"/>
        <w:ind w:left="200" w:right="0" w:hanging="200"/>
        <w:jc w:val="both"/>
      </w:pPr>
      <w:r>
        <w:rPr>
          <w:rFonts w:ascii="Times New Roman" w:hAnsi="Times New Roman"/>
          <w:color w:val="000000"/>
          <w:sz w:val="20"/>
        </w:rPr>
        <w:t>• The Partnership's capital structure for purposes of the WACC calculation is 29.1% debt, 70.9% equity.</w:t>
      </w:r>
    </w:p>
    <w:p>
      <w:pPr>
        <w:spacing w:before="200" w:after="0" w:line="275" w:lineRule="atLeast"/>
        <w:ind w:left="200" w:right="0" w:hanging="200"/>
        <w:jc w:val="both"/>
      </w:pPr>
      <w:r>
        <w:rPr>
          <w:rFonts w:ascii="Times New Roman" w:hAnsi="Times New Roman"/>
          <w:color w:val="000000"/>
          <w:sz w:val="20"/>
        </w:rPr>
        <w:t>• The cost of equity is 10.89%, comprising a risk-free rate of 3.4%, an equity risk premium of 6.00%, a beta of 0.75, and a size premium of 2.99%.</w:t>
      </w:r>
    </w:p>
    <w:p>
      <w:pPr>
        <w:spacing w:before="200" w:after="0" w:line="275" w:lineRule="atLeast"/>
        <w:ind w:left="200" w:right="0" w:hanging="200"/>
        <w:jc w:val="both"/>
      </w:pPr>
      <w:r>
        <w:rPr>
          <w:rFonts w:ascii="Times New Roman" w:hAnsi="Times New Roman"/>
          <w:color w:val="000000"/>
          <w:sz w:val="20"/>
        </w:rPr>
        <w:t>• The tax rate for valuing the after-tax cost of debt equals 38.5%.</w:t>
      </w:r>
    </w:p>
    <w:p>
      <w:pPr>
        <w:spacing w:before="200" w:after="0" w:line="275" w:lineRule="atLeast"/>
        <w:jc w:val="both"/>
      </w:pPr>
      <w:r>
        <w:rPr>
          <w:rFonts w:ascii="Times New Roman" w:hAnsi="Times New Roman"/>
          <w:color w:val="000000"/>
          <w:sz w:val="20"/>
        </w:rPr>
        <w:t>Putting it all together, those calculations result in a WACC of 8.65%:</w:t>
      </w:r>
    </w:p>
    <w:p>
      <w:pPr>
        <w:spacing w:before="0" w:after="0" w:line="275" w:lineRule="atLeast"/>
        <w:jc w:val="both"/>
      </w:pPr>
      <w:r>
        <w:rPr>
          <w:rFonts w:ascii="Times New Roman" w:hAnsi="Times New Roman"/>
          <w:color w:val="000000"/>
          <w:sz w:val="20"/>
        </w:rPr>
        <w:t> </w:t>
      </w:r>
    </w:p>
    <w:p>
      <w:pPr>
        <w:sectPr>
          <w:pgSz w:w="12240" w:h="15840"/>
          <w:pgMar w:top="1800" w:bottom="1080" w:left="1080" w:right="1080" w:header="720" w:footer="720" w:gutter="0"/>
          <w:pgNumType w:fmt="decimal"/>
          <w:cols w:num="2" w:space="240"/>
        </w:sectPr>
      </w:pPr>
    </w:p>
    <w:tbl>
      <w:tblPr>
        <w:tblInd w:w="36" w:type="dxa"/>
        <w:tblLayout w:type="fixed"/>
      </w:tblPr>
      <w:tblGrid>
        <w:gridCol w:w="6705"/>
        <w:gridCol w:w="3345"/>
      </w:tblGrid>
      <w:tr>
        <w:tblPrEx/>
        <w:trPr/>
        <w:tc>
          <w:tcPr>
            <w:hMerge w:val="restart"/>
            <w:tcMar>
              <w:left w:w="36" w:type="dxa"/>
            </w:tcMar>
            <w:vAlign w:val="top"/>
          </w:tcPr>
          <w:p>
            <w:pPr>
              <w:spacing w:before="0" w:after="0" w:line="235" w:lineRule="atLeast"/>
            </w:pPr>
            <w:r>
              <w:rPr>
                <w:rFonts w:ascii="Times New Roman" w:hAnsi="Times New Roman"/>
                <w:b/>
                <w:i/>
                <w:color w:val="000000"/>
                <w:sz w:val="24"/>
              </w:rPr>
              <w:t>K</w:t>
            </w:r>
            <w:r>
              <w:rPr>
                <w:rFonts w:ascii="Times New Roman" w:hAnsi="Times New Roman"/>
                <w:b/>
                <w:i/>
                <w:color w:val="000000"/>
                <w:sz w:val="20"/>
                <w:vertAlign w:val="subscript"/>
              </w:rPr>
              <w:t>e</w:t>
            </w:r>
            <w:r>
              <w:rPr>
                <w:rFonts w:ascii="Times New Roman" w:hAnsi="Times New Roman"/>
                <w:b/>
                <w:color w:val="000000"/>
                <w:sz w:val="24"/>
              </w:rPr>
              <w:t xml:space="preserve"> = </w:t>
            </w:r>
            <w:r>
              <w:rPr>
                <w:rFonts w:ascii="Times New Roman" w:hAnsi="Times New Roman"/>
                <w:b/>
                <w:i/>
                <w:color w:val="000000"/>
                <w:sz w:val="24"/>
              </w:rPr>
              <w:t>R</w:t>
            </w:r>
            <w:r>
              <w:rPr>
                <w:rFonts w:ascii="Times New Roman" w:hAnsi="Times New Roman"/>
                <w:b/>
                <w:i/>
                <w:color w:val="000000"/>
                <w:sz w:val="20"/>
                <w:vertAlign w:val="subscript"/>
              </w:rPr>
              <w:t>f</w:t>
            </w:r>
            <w:r>
              <w:rPr>
                <w:rFonts w:ascii="Times New Roman" w:hAnsi="Times New Roman"/>
                <w:b/>
                <w:color w:val="000000"/>
                <w:sz w:val="24"/>
              </w:rPr>
              <w:t xml:space="preserve"> + (</w:t>
            </w:r>
            <w:r>
              <w:rPr>
                <w:rFonts w:ascii="Times New Roman" w:hAnsi="Times New Roman"/>
                <w:b/>
                <w:i/>
                <w:color w:val="000000"/>
                <w:sz w:val="24"/>
              </w:rPr>
              <w:t>ß</w:t>
            </w:r>
            <w:r>
              <w:rPr>
                <w:rFonts w:ascii="Times New Roman" w:hAnsi="Times New Roman"/>
                <w:b/>
                <w:color w:val="000000"/>
                <w:sz w:val="24"/>
              </w:rPr>
              <w:t xml:space="preserve"> * </w:t>
            </w:r>
            <w:r>
              <w:rPr>
                <w:rFonts w:ascii="Times New Roman" w:hAnsi="Times New Roman"/>
                <w:b/>
                <w:i/>
                <w:color w:val="000000"/>
                <w:sz w:val="24"/>
              </w:rPr>
              <w:t>R</w:t>
            </w:r>
            <w:r>
              <w:rPr>
                <w:rFonts w:ascii="Times New Roman" w:hAnsi="Times New Roman"/>
                <w:b/>
                <w:i/>
                <w:color w:val="000000"/>
                <w:sz w:val="20"/>
                <w:vertAlign w:val="subscript"/>
              </w:rPr>
              <w:t>m</w:t>
            </w:r>
            <w:r>
              <w:rPr>
                <w:rFonts w:ascii="Times New Roman" w:hAnsi="Times New Roman"/>
                <w:b/>
                <w:color w:val="000000"/>
                <w:sz w:val="24"/>
              </w:rPr>
              <w:t>) + Size Premium</w:t>
            </w:r>
          </w:p>
          <w:p>
            <w:pPr>
              <w:spacing w:before="0" w:after="0" w:line="235" w:lineRule="atLeast"/>
            </w:pPr>
            <w:r>
              <w:rPr>
                <w:rFonts w:ascii="Times New Roman" w:hAnsi="Times New Roman"/>
                <w:color w:val="000000"/>
                <w:sz w:val="24"/>
              </w:rPr>
              <w:t> </w:t>
            </w:r>
          </w:p>
        </w:tc>
        <w:tc>
          <w:tcPr>
            <w:hMerge w:val="continue"/>
            <w:tcMar>
              <w:right w:w="36" w:type="dxa"/>
            </w:tcMar>
            <w:vAlign w:val="top"/>
          </w:tcPr>
          <w:p>
            <w:pPr>
              <w:spacing w:before="0" w:after="0" w:line="240" w:lineRule="auto"/>
              <w:rPr>
                <w:rFonts w:ascii="Times New Roman" w:hAnsi="Times New Roman"/>
                <w:color w:val="000000"/>
                <w:sz w:val="24"/>
              </w:rPr>
            </w:pPr>
          </w:p>
        </w:tc>
      </w:tr>
      <w:tr>
        <w:tblPrEx/>
        <w:trPr/>
        <w:tc>
          <w:tcPr>
            <w:tcMar>
              <w:left w:w="36" w:type="dxa"/>
              <w:right w:w="36" w:type="dxa"/>
            </w:tcMar>
            <w:vAlign w:val="top"/>
          </w:tcPr>
          <w:p>
            <w:pPr>
              <w:spacing w:before="0" w:after="0" w:line="235" w:lineRule="atLeast"/>
            </w:pPr>
            <w:r>
              <w:rPr>
                <w:rFonts w:ascii="Times New Roman" w:hAnsi="Times New Roman"/>
                <w:i/>
                <w:color w:val="000000"/>
                <w:sz w:val="24"/>
              </w:rPr>
              <w:t>R</w:t>
            </w:r>
            <w:r>
              <w:rPr>
                <w:rFonts w:ascii="Times New Roman" w:hAnsi="Times New Roman"/>
                <w:i/>
                <w:color w:val="000000"/>
                <w:sz w:val="20"/>
                <w:vertAlign w:val="subscript"/>
              </w:rPr>
              <w:t>f</w:t>
            </w:r>
          </w:p>
          <w:p>
            <w:pPr>
              <w:spacing w:before="0" w:after="0" w:line="235" w:lineRule="atLeast"/>
            </w:pPr>
            <w:r>
              <w:rPr>
                <w:rFonts w:ascii="Times New Roman" w:hAnsi="Times New Roman"/>
                <w:color w:val="000000"/>
                <w:sz w:val="24"/>
              </w:rPr>
              <w:t> </w:t>
            </w:r>
          </w:p>
        </w:tc>
        <w:tc>
          <w:tcPr>
            <w:tcMar>
              <w:left w:w="36" w:type="dxa"/>
              <w:right w:w="36" w:type="dxa"/>
            </w:tcMar>
            <w:vAlign w:val="top"/>
          </w:tcPr>
          <w:p>
            <w:pPr>
              <w:spacing w:before="0" w:after="0" w:line="235" w:lineRule="atLeast"/>
              <w:jc w:val="right"/>
            </w:pPr>
            <w:r>
              <w:rPr>
                <w:rFonts w:ascii="Times New Roman" w:hAnsi="Times New Roman"/>
                <w:color w:val="000000"/>
                <w:sz w:val="24"/>
              </w:rPr>
              <w:t>3.40%</w:t>
            </w:r>
          </w:p>
          <w:p>
            <w:pPr>
              <w:spacing w:before="0" w:after="0" w:line="235" w:lineRule="atLeast"/>
              <w:jc w:val="right"/>
            </w:pPr>
            <w:r>
              <w:rPr>
                <w:rFonts w:ascii="Times New Roman" w:hAnsi="Times New Roman"/>
                <w:color w:val="000000"/>
                <w:sz w:val="24"/>
              </w:rPr>
              <w:t> </w:t>
            </w:r>
          </w:p>
        </w:tc>
      </w:tr>
      <w:tr>
        <w:tblPrEx/>
        <w:trPr/>
        <w:tc>
          <w:tcPr>
            <w:tcMar>
              <w:left w:w="36" w:type="dxa"/>
              <w:right w:w="36" w:type="dxa"/>
            </w:tcMar>
            <w:vAlign w:val="top"/>
          </w:tcPr>
          <w:p>
            <w:pPr>
              <w:spacing w:before="0" w:after="0" w:line="235" w:lineRule="atLeast"/>
            </w:pPr>
            <w:r>
              <w:rPr>
                <w:rFonts w:ascii="Times New Roman" w:hAnsi="Times New Roman"/>
                <w:i/>
                <w:color w:val="000000"/>
                <w:sz w:val="24"/>
              </w:rPr>
              <w:t>ß</w:t>
            </w:r>
          </w:p>
          <w:p>
            <w:pPr>
              <w:spacing w:before="0" w:after="0" w:line="235" w:lineRule="atLeast"/>
            </w:pPr>
            <w:r>
              <w:rPr>
                <w:rFonts w:ascii="Times New Roman" w:hAnsi="Times New Roman"/>
                <w:color w:val="000000"/>
                <w:sz w:val="24"/>
              </w:rPr>
              <w:t> </w:t>
            </w:r>
          </w:p>
        </w:tc>
        <w:tc>
          <w:tcPr>
            <w:tcMar>
              <w:left w:w="36" w:type="dxa"/>
              <w:right w:w="36" w:type="dxa"/>
            </w:tcMar>
            <w:vAlign w:val="top"/>
          </w:tcPr>
          <w:p>
            <w:pPr>
              <w:spacing w:before="0" w:after="0" w:line="235" w:lineRule="atLeast"/>
              <w:jc w:val="right"/>
            </w:pPr>
            <w:r>
              <w:rPr>
                <w:rFonts w:ascii="Times New Roman" w:hAnsi="Times New Roman"/>
                <w:color w:val="000000"/>
                <w:sz w:val="24"/>
              </w:rPr>
              <w:t>0.75</w:t>
            </w:r>
          </w:p>
          <w:p>
            <w:pPr>
              <w:spacing w:before="0" w:after="0" w:line="235" w:lineRule="atLeast"/>
              <w:jc w:val="right"/>
            </w:pPr>
            <w:r>
              <w:rPr>
                <w:rFonts w:ascii="Times New Roman" w:hAnsi="Times New Roman"/>
                <w:color w:val="000000"/>
                <w:sz w:val="24"/>
              </w:rPr>
              <w:t> </w:t>
            </w:r>
          </w:p>
        </w:tc>
      </w:tr>
      <w:tr>
        <w:tblPrEx/>
        <w:trPr/>
        <w:tc>
          <w:tcPr>
            <w:tcMar>
              <w:left w:w="36" w:type="dxa"/>
              <w:right w:w="36" w:type="dxa"/>
            </w:tcMar>
            <w:vAlign w:val="top"/>
          </w:tcPr>
          <w:p>
            <w:pPr>
              <w:spacing w:before="0" w:after="0" w:line="235" w:lineRule="atLeast"/>
            </w:pPr>
            <w:r>
              <w:rPr>
                <w:rFonts w:ascii="Times New Roman" w:hAnsi="Times New Roman"/>
                <w:i/>
                <w:color w:val="000000"/>
                <w:sz w:val="24"/>
              </w:rPr>
              <w:t>R</w:t>
            </w:r>
            <w:r>
              <w:rPr>
                <w:rFonts w:ascii="Times New Roman" w:hAnsi="Times New Roman"/>
                <w:i/>
                <w:color w:val="000000"/>
                <w:sz w:val="20"/>
                <w:vertAlign w:val="subscript"/>
              </w:rPr>
              <w:t>m</w:t>
            </w:r>
          </w:p>
          <w:p>
            <w:pPr>
              <w:spacing w:before="0" w:after="0" w:line="235" w:lineRule="atLeast"/>
            </w:pPr>
            <w:r>
              <w:rPr>
                <w:rFonts w:ascii="Times New Roman" w:hAnsi="Times New Roman"/>
                <w:color w:val="000000"/>
                <w:sz w:val="24"/>
              </w:rPr>
              <w:t> </w:t>
            </w:r>
          </w:p>
        </w:tc>
        <w:tc>
          <w:tcPr>
            <w:tcMar>
              <w:left w:w="36" w:type="dxa"/>
              <w:right w:w="36" w:type="dxa"/>
            </w:tcMar>
            <w:vAlign w:val="top"/>
          </w:tcPr>
          <w:p>
            <w:pPr>
              <w:spacing w:before="0" w:after="0" w:line="235" w:lineRule="atLeast"/>
              <w:jc w:val="right"/>
            </w:pPr>
            <w:r>
              <w:rPr>
                <w:rFonts w:ascii="Times New Roman" w:hAnsi="Times New Roman"/>
                <w:color w:val="000000"/>
                <w:sz w:val="24"/>
              </w:rPr>
              <w:t>6.00%</w:t>
            </w:r>
          </w:p>
          <w:p>
            <w:pPr>
              <w:spacing w:before="0" w:after="0" w:line="235" w:lineRule="atLeast"/>
              <w:jc w:val="right"/>
            </w:pPr>
            <w:r>
              <w:rPr>
                <w:rFonts w:ascii="Times New Roman" w:hAnsi="Times New Roman"/>
                <w:color w:val="000000"/>
                <w:sz w:val="24"/>
              </w:rPr>
              <w:t> </w:t>
            </w:r>
          </w:p>
        </w:tc>
      </w:tr>
      <w:tr>
        <w:tblPrEx/>
        <w:trPr/>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Size Premium</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right"/>
            </w:pPr>
            <w:r>
              <w:rPr>
                <w:rFonts w:ascii="Times New Roman" w:hAnsi="Times New Roman"/>
                <w:color w:val="000000"/>
                <w:sz w:val="24"/>
              </w:rPr>
              <w:t>2.99%</w:t>
            </w:r>
          </w:p>
          <w:p>
            <w:pPr>
              <w:spacing w:before="0" w:after="0" w:line="235" w:lineRule="atLeast"/>
              <w:jc w:val="right"/>
            </w:pPr>
            <w:r>
              <w:rPr>
                <w:rFonts w:ascii="Times New Roman" w:hAnsi="Times New Roman"/>
                <w:color w:val="000000"/>
                <w:sz w:val="24"/>
              </w:rPr>
              <w:t> </w:t>
            </w:r>
          </w:p>
        </w:tc>
      </w:tr>
      <w:tr>
        <w:tblPrEx/>
        <w:trPr/>
        <w:tc>
          <w:tcPr>
            <w:tcMar>
              <w:left w:w="36" w:type="dxa"/>
              <w:right w:w="36" w:type="dxa"/>
            </w:tcMar>
            <w:vAlign w:val="top"/>
          </w:tcPr>
          <w:p>
            <w:pPr>
              <w:spacing w:before="0" w:after="0" w:line="235" w:lineRule="atLeast"/>
            </w:pPr>
            <w:r>
              <w:rPr>
                <w:rFonts w:ascii="Times New Roman" w:hAnsi="Times New Roman"/>
                <w:b/>
                <w:i/>
                <w:color w:val="000000"/>
                <w:sz w:val="24"/>
              </w:rPr>
              <w:t>K</w:t>
            </w:r>
            <w:r>
              <w:rPr>
                <w:rFonts w:ascii="Times New Roman" w:hAnsi="Times New Roman"/>
                <w:b/>
                <w:i/>
                <w:color w:val="000000"/>
                <w:sz w:val="20"/>
                <w:vertAlign w:val="subscript"/>
              </w:rPr>
              <w:t>e</w:t>
            </w:r>
          </w:p>
          <w:p>
            <w:pPr>
              <w:spacing w:before="0" w:after="0" w:line="235" w:lineRule="atLeast"/>
            </w:pPr>
            <w:r>
              <w:rPr>
                <w:rFonts w:ascii="Times New Roman" w:hAnsi="Times New Roman"/>
                <w:color w:val="000000"/>
                <w:sz w:val="24"/>
              </w:rPr>
              <w:t> </w:t>
            </w:r>
          </w:p>
        </w:tc>
        <w:tc>
          <w:tcPr>
            <w:tcMar>
              <w:left w:w="36" w:type="dxa"/>
              <w:right w:w="36" w:type="dxa"/>
            </w:tcMar>
            <w:vAlign w:val="top"/>
          </w:tcPr>
          <w:p>
            <w:pPr>
              <w:spacing w:before="0" w:after="0" w:line="235" w:lineRule="atLeast"/>
              <w:jc w:val="right"/>
            </w:pPr>
            <w:r>
              <w:rPr>
                <w:rFonts w:ascii="Times New Roman" w:hAnsi="Times New Roman"/>
                <w:b/>
                <w:color w:val="000000"/>
                <w:sz w:val="24"/>
              </w:rPr>
              <w:t>10.89%</w:t>
            </w:r>
          </w:p>
          <w:p>
            <w:pPr>
              <w:spacing w:before="0" w:after="0" w:line="235" w:lineRule="atLeast"/>
              <w:jc w:val="right"/>
            </w:pPr>
            <w:r>
              <w:rPr>
                <w:rFonts w:ascii="Times New Roman" w:hAnsi="Times New Roman"/>
                <w:color w:val="000000"/>
                <w:sz w:val="24"/>
              </w:rPr>
              <w:t> </w:t>
            </w:r>
          </w:p>
        </w:tc>
      </w:tr>
      <w:tr>
        <w:tblPrEx/>
        <w:trPr/>
        <w:tc>
          <w:tcPr>
            <w:hMerge w:val="restart"/>
            <w:tcMar>
              <w:left w:w="36" w:type="dxa"/>
            </w:tcMar>
            <w:vAlign w:val="top"/>
          </w:tcPr>
          <w:p>
            <w:pPr>
              <w:spacing w:before="0" w:after="0" w:line="235" w:lineRule="atLeast"/>
            </w:pPr>
            <w:r>
              <w:rPr>
                <w:rFonts w:ascii="Times New Roman" w:hAnsi="Times New Roman"/>
                <w:b/>
                <w:color w:val="000000"/>
                <w:sz w:val="24"/>
              </w:rPr>
              <w:t xml:space="preserve">WACC = </w:t>
            </w:r>
            <w:r>
              <w:rPr>
                <w:rFonts w:ascii="Times New Roman" w:hAnsi="Times New Roman"/>
                <w:b/>
                <w:i/>
                <w:color w:val="000000"/>
                <w:sz w:val="24"/>
              </w:rPr>
              <w:t>K</w:t>
            </w:r>
            <w:r>
              <w:rPr>
                <w:rFonts w:ascii="Times New Roman" w:hAnsi="Times New Roman"/>
                <w:b/>
                <w:i/>
                <w:color w:val="000000"/>
                <w:sz w:val="20"/>
                <w:vertAlign w:val="subscript"/>
              </w:rPr>
              <w:t>d</w:t>
            </w:r>
            <w:r>
              <w:rPr>
                <w:rFonts w:ascii="Times New Roman" w:hAnsi="Times New Roman"/>
                <w:b/>
                <w:color w:val="000000"/>
                <w:sz w:val="24"/>
              </w:rPr>
              <w:t xml:space="preserve"> * (1 – </w:t>
            </w:r>
            <w:r>
              <w:rPr>
                <w:rFonts w:ascii="Times New Roman" w:hAnsi="Times New Roman"/>
                <w:b/>
                <w:i/>
                <w:color w:val="000000"/>
                <w:sz w:val="24"/>
              </w:rPr>
              <w:t>T</w:t>
            </w:r>
            <w:r>
              <w:rPr>
                <w:rFonts w:ascii="Times New Roman" w:hAnsi="Times New Roman"/>
                <w:b/>
                <w:color w:val="000000"/>
                <w:sz w:val="24"/>
              </w:rPr>
              <w:t>) (</w:t>
            </w:r>
            <w:r>
              <w:rPr>
                <w:rFonts w:ascii="Times New Roman" w:hAnsi="Times New Roman"/>
                <w:b/>
                <w:i/>
                <w:color w:val="000000"/>
                <w:sz w:val="24"/>
              </w:rPr>
              <w:t>D/V</w:t>
            </w:r>
            <w:r>
              <w:rPr>
                <w:rFonts w:ascii="Times New Roman" w:hAnsi="Times New Roman"/>
                <w:b/>
                <w:color w:val="000000"/>
                <w:sz w:val="24"/>
              </w:rPr>
              <w:t xml:space="preserve">) + </w:t>
            </w:r>
            <w:r>
              <w:rPr>
                <w:rFonts w:ascii="Times New Roman" w:hAnsi="Times New Roman"/>
                <w:b/>
                <w:i/>
                <w:color w:val="000000"/>
                <w:sz w:val="24"/>
              </w:rPr>
              <w:t>K</w:t>
            </w:r>
            <w:r>
              <w:rPr>
                <w:rFonts w:ascii="Times New Roman" w:hAnsi="Times New Roman"/>
                <w:b/>
                <w:i/>
                <w:color w:val="000000"/>
                <w:sz w:val="20"/>
                <w:vertAlign w:val="subscript"/>
              </w:rPr>
              <w:t>e</w:t>
            </w:r>
            <w:r>
              <w:rPr>
                <w:rFonts w:ascii="Times New Roman" w:hAnsi="Times New Roman"/>
                <w:b/>
                <w:color w:val="000000"/>
                <w:sz w:val="24"/>
              </w:rPr>
              <w:t xml:space="preserve"> * (</w:t>
            </w:r>
            <w:r>
              <w:rPr>
                <w:rFonts w:ascii="Times New Roman" w:hAnsi="Times New Roman"/>
                <w:b/>
                <w:i/>
                <w:color w:val="000000"/>
                <w:sz w:val="24"/>
              </w:rPr>
              <w:t>E/V</w:t>
            </w:r>
            <w:r>
              <w:rPr>
                <w:rFonts w:ascii="Times New Roman" w:hAnsi="Times New Roman"/>
                <w:b/>
                <w:color w:val="000000"/>
                <w:sz w:val="24"/>
              </w:rPr>
              <w:t>)</w:t>
            </w:r>
          </w:p>
          <w:p>
            <w:pPr>
              <w:spacing w:before="0" w:after="0" w:line="235" w:lineRule="atLeast"/>
            </w:pPr>
            <w:r>
              <w:rPr>
                <w:rFonts w:ascii="Times New Roman" w:hAnsi="Times New Roman"/>
                <w:color w:val="000000"/>
                <w:sz w:val="24"/>
              </w:rPr>
              <w:t> </w:t>
            </w:r>
          </w:p>
        </w:tc>
        <w:tc>
          <w:tcPr>
            <w:hMerge w:val="continue"/>
            <w:tcMar>
              <w:right w:w="36" w:type="dxa"/>
            </w:tcMar>
            <w:vAlign w:val="top"/>
          </w:tcPr>
          <w:p>
            <w:pPr>
              <w:spacing w:before="0" w:after="0" w:line="240" w:lineRule="auto"/>
              <w:rPr>
                <w:rFonts w:ascii="Times New Roman" w:hAnsi="Times New Roman"/>
                <w:color w:val="000000"/>
                <w:sz w:val="24"/>
              </w:rPr>
            </w:pPr>
          </w:p>
        </w:tc>
      </w:tr>
      <w:tr>
        <w:tblPrEx/>
        <w:trPr/>
        <w:tc>
          <w:tcPr>
            <w:tcMar>
              <w:left w:w="36" w:type="dxa"/>
              <w:right w:w="36" w:type="dxa"/>
            </w:tcMar>
            <w:vAlign w:val="top"/>
          </w:tcPr>
          <w:p>
            <w:pPr>
              <w:spacing w:before="0" w:after="0" w:line="235" w:lineRule="atLeast"/>
            </w:pPr>
            <w:r>
              <w:rPr>
                <w:rFonts w:ascii="Times New Roman" w:hAnsi="Times New Roman"/>
                <w:i/>
                <w:color w:val="000000"/>
                <w:sz w:val="24"/>
              </w:rPr>
              <w:t>K</w:t>
            </w:r>
            <w:r>
              <w:rPr>
                <w:rFonts w:ascii="Times New Roman" w:hAnsi="Times New Roman"/>
                <w:i/>
                <w:color w:val="000000"/>
                <w:sz w:val="20"/>
                <w:vertAlign w:val="subscript"/>
              </w:rPr>
              <w:t>d</w:t>
            </w:r>
          </w:p>
          <w:p>
            <w:pPr>
              <w:spacing w:before="0" w:after="0" w:line="235" w:lineRule="atLeast"/>
            </w:pPr>
            <w:r>
              <w:rPr>
                <w:rFonts w:ascii="Times New Roman" w:hAnsi="Times New Roman"/>
                <w:color w:val="000000"/>
                <w:sz w:val="24"/>
              </w:rPr>
              <w:t> </w:t>
            </w:r>
          </w:p>
        </w:tc>
        <w:tc>
          <w:tcPr>
            <w:tcMar>
              <w:left w:w="36" w:type="dxa"/>
              <w:right w:w="36" w:type="dxa"/>
            </w:tcMar>
            <w:vAlign w:val="top"/>
          </w:tcPr>
          <w:p>
            <w:pPr>
              <w:spacing w:before="0" w:after="0" w:line="235" w:lineRule="atLeast"/>
              <w:jc w:val="right"/>
            </w:pPr>
            <w:r>
              <w:rPr>
                <w:rFonts w:ascii="Times New Roman" w:hAnsi="Times New Roman"/>
                <w:color w:val="000000"/>
                <w:sz w:val="24"/>
              </w:rPr>
              <w:t>5.20%</w:t>
            </w:r>
          </w:p>
          <w:p>
            <w:pPr>
              <w:spacing w:before="0" w:after="0" w:line="235" w:lineRule="atLeast"/>
              <w:jc w:val="right"/>
            </w:pPr>
            <w:r>
              <w:rPr>
                <w:rFonts w:ascii="Times New Roman" w:hAnsi="Times New Roman"/>
                <w:color w:val="000000"/>
                <w:sz w:val="24"/>
              </w:rPr>
              <w:t> </w:t>
            </w:r>
          </w:p>
        </w:tc>
      </w:tr>
      <w:tr>
        <w:tblPrEx/>
        <w:trPr/>
        <w:tc>
          <w:tcPr>
            <w:tcMar>
              <w:left w:w="36" w:type="dxa"/>
              <w:right w:w="36" w:type="dxa"/>
            </w:tcMar>
            <w:vAlign w:val="top"/>
          </w:tcPr>
          <w:p>
            <w:pPr>
              <w:spacing w:before="0" w:after="0" w:line="235" w:lineRule="atLeast"/>
            </w:pPr>
            <w:r>
              <w:rPr>
                <w:rFonts w:ascii="Times New Roman" w:hAnsi="Times New Roman"/>
                <w:i/>
                <w:color w:val="000000"/>
                <w:sz w:val="24"/>
              </w:rPr>
              <w:t>T</w:t>
            </w:r>
          </w:p>
          <w:p>
            <w:pPr>
              <w:spacing w:before="0" w:after="0" w:line="235" w:lineRule="atLeast"/>
            </w:pPr>
            <w:r>
              <w:rPr>
                <w:rFonts w:ascii="Times New Roman" w:hAnsi="Times New Roman"/>
                <w:color w:val="000000"/>
                <w:sz w:val="24"/>
              </w:rPr>
              <w:t> </w:t>
            </w:r>
          </w:p>
        </w:tc>
        <w:tc>
          <w:tcPr>
            <w:tcMar>
              <w:left w:w="36" w:type="dxa"/>
              <w:right w:w="36" w:type="dxa"/>
            </w:tcMar>
            <w:vAlign w:val="top"/>
          </w:tcPr>
          <w:p>
            <w:pPr>
              <w:spacing w:before="0" w:after="0" w:line="235" w:lineRule="atLeast"/>
              <w:jc w:val="right"/>
            </w:pPr>
            <w:r>
              <w:rPr>
                <w:rFonts w:ascii="Times New Roman" w:hAnsi="Times New Roman"/>
                <w:color w:val="000000"/>
                <w:sz w:val="24"/>
              </w:rPr>
              <w:t>38.50%</w:t>
            </w:r>
          </w:p>
          <w:p>
            <w:pPr>
              <w:spacing w:before="0" w:after="0" w:line="235" w:lineRule="atLeast"/>
              <w:jc w:val="right"/>
            </w:pPr>
            <w:r>
              <w:rPr>
                <w:rFonts w:ascii="Times New Roman" w:hAnsi="Times New Roman"/>
                <w:color w:val="000000"/>
                <w:sz w:val="24"/>
              </w:rPr>
              <w:t> </w:t>
            </w:r>
          </w:p>
        </w:tc>
      </w:tr>
      <w:tr>
        <w:tblPrEx/>
        <w:trPr/>
        <w:tc>
          <w:tcPr>
            <w:tcMar>
              <w:left w:w="36" w:type="dxa"/>
              <w:right w:w="36" w:type="dxa"/>
            </w:tcMar>
            <w:vAlign w:val="top"/>
          </w:tcPr>
          <w:p>
            <w:pPr>
              <w:spacing w:before="0" w:after="0" w:line="235" w:lineRule="atLeast"/>
            </w:pPr>
            <w:r>
              <w:rPr>
                <w:rFonts w:ascii="Times New Roman" w:hAnsi="Times New Roman"/>
                <w:color w:val="000000"/>
                <w:sz w:val="24"/>
              </w:rPr>
              <w:t>(</w:t>
            </w:r>
            <w:r>
              <w:rPr>
                <w:rFonts w:ascii="Times New Roman" w:hAnsi="Times New Roman"/>
                <w:i/>
                <w:color w:val="000000"/>
                <w:sz w:val="24"/>
              </w:rPr>
              <w:t>D/V</w:t>
            </w:r>
            <w:r>
              <w:rPr>
                <w:rFonts w:ascii="Times New Roman" w:hAnsi="Times New Roman"/>
                <w:color w:val="000000"/>
                <w:sz w:val="24"/>
              </w:rPr>
              <w:t>)</w:t>
            </w:r>
          </w:p>
          <w:p>
            <w:pPr>
              <w:spacing w:before="0" w:after="0" w:line="235" w:lineRule="atLeast"/>
            </w:pPr>
            <w:r>
              <w:rPr>
                <w:rFonts w:ascii="Times New Roman" w:hAnsi="Times New Roman"/>
                <w:color w:val="000000"/>
                <w:sz w:val="24"/>
              </w:rPr>
              <w:t> </w:t>
            </w:r>
          </w:p>
        </w:tc>
        <w:tc>
          <w:tcPr>
            <w:tcMar>
              <w:left w:w="36" w:type="dxa"/>
              <w:right w:w="36" w:type="dxa"/>
            </w:tcMar>
            <w:vAlign w:val="top"/>
          </w:tcPr>
          <w:p>
            <w:pPr>
              <w:spacing w:before="0" w:after="0" w:line="235" w:lineRule="atLeast"/>
              <w:jc w:val="right"/>
            </w:pPr>
            <w:r>
              <w:rPr>
                <w:rFonts w:ascii="Times New Roman" w:hAnsi="Times New Roman"/>
                <w:color w:val="000000"/>
                <w:sz w:val="24"/>
              </w:rPr>
              <w:t>29.10%</w:t>
            </w:r>
          </w:p>
          <w:p>
            <w:pPr>
              <w:spacing w:before="0" w:after="0" w:line="235" w:lineRule="atLeast"/>
              <w:jc w:val="right"/>
            </w:pPr>
            <w:r>
              <w:rPr>
                <w:rFonts w:ascii="Times New Roman" w:hAnsi="Times New Roman"/>
                <w:color w:val="000000"/>
                <w:sz w:val="24"/>
              </w:rPr>
              <w:t> </w:t>
            </w:r>
          </w:p>
        </w:tc>
      </w:tr>
      <w:tr>
        <w:tblPrEx/>
        <w:trPr/>
        <w:tc>
          <w:tcPr>
            <w:tcMar>
              <w:left w:w="36" w:type="dxa"/>
              <w:right w:w="36" w:type="dxa"/>
            </w:tcMar>
            <w:vAlign w:val="top"/>
          </w:tcPr>
          <w:p>
            <w:pPr>
              <w:spacing w:before="0" w:after="0" w:line="235" w:lineRule="atLeast"/>
            </w:pPr>
            <w:r>
              <w:rPr>
                <w:rFonts w:ascii="Times New Roman" w:hAnsi="Times New Roman"/>
                <w:i/>
                <w:color w:val="000000"/>
                <w:sz w:val="24"/>
              </w:rPr>
              <w:t>K</w:t>
            </w:r>
            <w:r>
              <w:rPr>
                <w:rFonts w:ascii="Times New Roman" w:hAnsi="Times New Roman"/>
                <w:i/>
                <w:color w:val="000000"/>
                <w:sz w:val="20"/>
                <w:vertAlign w:val="subscript"/>
              </w:rPr>
              <w:t>e</w:t>
            </w:r>
          </w:p>
          <w:p>
            <w:pPr>
              <w:spacing w:before="0" w:after="0" w:line="235" w:lineRule="atLeast"/>
            </w:pPr>
            <w:r>
              <w:rPr>
                <w:rFonts w:ascii="Times New Roman" w:hAnsi="Times New Roman"/>
                <w:color w:val="000000"/>
                <w:sz w:val="24"/>
              </w:rPr>
              <w:t> </w:t>
            </w:r>
          </w:p>
        </w:tc>
        <w:tc>
          <w:tcPr>
            <w:tcMar>
              <w:left w:w="36" w:type="dxa"/>
              <w:right w:w="36" w:type="dxa"/>
            </w:tcMar>
            <w:vAlign w:val="top"/>
          </w:tcPr>
          <w:p>
            <w:pPr>
              <w:spacing w:before="0" w:after="0" w:line="235" w:lineRule="atLeast"/>
              <w:jc w:val="right"/>
            </w:pPr>
            <w:r>
              <w:rPr>
                <w:rFonts w:ascii="Times New Roman" w:hAnsi="Times New Roman"/>
                <w:color w:val="000000"/>
                <w:sz w:val="24"/>
              </w:rPr>
              <w:t>10.89%</w:t>
            </w:r>
          </w:p>
          <w:p>
            <w:pPr>
              <w:spacing w:before="0" w:after="0" w:line="235" w:lineRule="atLeast"/>
              <w:jc w:val="right"/>
            </w:pPr>
            <w:r>
              <w:rPr>
                <w:rFonts w:ascii="Times New Roman" w:hAnsi="Times New Roman"/>
                <w:color w:val="000000"/>
                <w:sz w:val="24"/>
              </w:rPr>
              <w:t> </w:t>
            </w:r>
          </w:p>
        </w:tc>
      </w:tr>
      <w:tr>
        <w:tblPrEx/>
        <w:trPr/>
        <w:tc>
          <w:tcPr>
            <w:tcBorders>
              <w:bottom w:val="single" w:sz="6" w:color="cccccc"/>
            </w:tcBorders>
            <w:tcMar>
              <w:left w:w="36" w:type="dxa"/>
              <w:right w:w="36" w:type="dxa"/>
            </w:tcMar>
            <w:vAlign w:val="top"/>
          </w:tcPr>
          <w:p>
            <w:pPr>
              <w:spacing w:before="0" w:after="0" w:line="235" w:lineRule="atLeast"/>
            </w:pPr>
            <w:r>
              <w:rPr>
                <w:rFonts w:ascii="Times New Roman" w:hAnsi="Times New Roman"/>
                <w:color w:val="000000"/>
                <w:sz w:val="24"/>
              </w:rPr>
              <w:t>(</w:t>
            </w:r>
            <w:r>
              <w:rPr>
                <w:rFonts w:ascii="Times New Roman" w:hAnsi="Times New Roman"/>
                <w:i/>
                <w:color w:val="000000"/>
                <w:sz w:val="24"/>
              </w:rPr>
              <w:t>E/V</w:t>
            </w:r>
            <w:r>
              <w:rPr>
                <w:rFonts w:ascii="Times New Roman" w:hAnsi="Times New Roman"/>
                <w:color w:val="000000"/>
                <w:sz w:val="24"/>
              </w:rPr>
              <w:t>)</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right"/>
            </w:pPr>
            <w:r>
              <w:rPr>
                <w:rFonts w:ascii="Times New Roman" w:hAnsi="Times New Roman"/>
                <w:color w:val="000000"/>
                <w:sz w:val="24"/>
              </w:rPr>
              <w:t>70.90%</w:t>
            </w:r>
          </w:p>
          <w:p>
            <w:pPr>
              <w:spacing w:before="0" w:after="0" w:line="235" w:lineRule="atLeast"/>
              <w:jc w:val="right"/>
            </w:pPr>
            <w:r>
              <w:rPr>
                <w:rFonts w:ascii="Times New Roman" w:hAnsi="Times New Roman"/>
                <w:color w:val="000000"/>
                <w:sz w:val="24"/>
              </w:rPr>
              <w:t> </w:t>
            </w:r>
          </w:p>
        </w:tc>
      </w:tr>
      <w:tr>
        <w:tblPrEx/>
        <w:trPr/>
        <w:tc>
          <w:tcPr>
            <w:tcBorders>
              <w:bottom w:val="single" w:sz="6" w:color="cccccc"/>
            </w:tcBorders>
            <w:tcMar>
              <w:left w:w="36" w:type="dxa"/>
              <w:right w:w="36" w:type="dxa"/>
            </w:tcMar>
            <w:vAlign w:val="top"/>
          </w:tcPr>
          <w:p>
            <w:pPr>
              <w:spacing w:before="0" w:after="0" w:line="235" w:lineRule="atLeast"/>
            </w:pPr>
            <w:r>
              <w:rPr>
                <w:rFonts w:ascii="Times New Roman" w:hAnsi="Times New Roman"/>
                <w:b/>
                <w:color w:val="000000"/>
                <w:sz w:val="24"/>
              </w:rPr>
              <w:t>WACC</w:t>
            </w:r>
          </w:p>
          <w:p>
            <w:pPr>
              <w:spacing w:before="0" w:after="0" w:line="235" w:lineRule="atLeast"/>
            </w:pPr>
            <w:r>
              <w:rPr>
                <w:rFonts w:ascii="Times New Roman" w:hAnsi="Times New Roman"/>
                <w:color w:val="000000"/>
                <w:sz w:val="24"/>
              </w:rPr>
              <w:t> </w:t>
            </w:r>
          </w:p>
        </w:tc>
        <w:tc>
          <w:tcPr>
            <w:tcBorders>
              <w:bottom w:val="single" w:sz="6" w:color="cccccc"/>
            </w:tcBorders>
            <w:tcMar>
              <w:left w:w="36" w:type="dxa"/>
              <w:right w:w="36" w:type="dxa"/>
            </w:tcMar>
            <w:vAlign w:val="top"/>
          </w:tcPr>
          <w:p>
            <w:pPr>
              <w:spacing w:before="0" w:after="0" w:line="235" w:lineRule="atLeast"/>
              <w:jc w:val="right"/>
            </w:pPr>
            <w:r>
              <w:rPr>
                <w:rFonts w:ascii="Times New Roman" w:hAnsi="Times New Roman"/>
                <w:b/>
                <w:color w:val="000000"/>
                <w:sz w:val="24"/>
              </w:rPr>
              <w:t>8.65%</w:t>
            </w:r>
          </w:p>
          <w:p>
            <w:pPr>
              <w:spacing w:before="0" w:after="0" w:line="235" w:lineRule="atLeast"/>
              <w:jc w:val="right"/>
            </w:pPr>
            <w:r>
              <w:rPr>
                <w:rFonts w:ascii="Times New Roman" w:hAnsi="Times New Roman"/>
                <w:color w:val="000000"/>
                <w:sz w:val="24"/>
              </w:rPr>
              <w:t> </w:t>
            </w:r>
          </w:p>
        </w:tc>
      </w:tr>
    </w:tbl>
    <w:p>
      <w:pPr>
        <w:sectPr>
          <w:pgSz w:w="12240" w:h="15840"/>
          <w:pgMar w:top="1800" w:bottom="1080" w:left="1080" w:right="1080" w:header="720" w:footer="720" w:gutter="0"/>
          <w:pgNumType w:fmt="decimal"/>
        </w:sectPr>
      </w:pPr>
    </w:p>
    <w:bookmarkStart w:id="209" w:name="co_anchor_I8f61cb21ace211ec8c80dd32e620"/>
    <w:bookmarkStart w:id="210" w:name="co_anchor_I8f61cb21ace211ec8c80dd32e2"/>
    <w:p>
      <w:pPr>
        <w:pBdr>
          <w:left w:val="none" w:space="10"/>
        </w:pBdr>
        <w:spacing w:before="400" w:after="0" w:line="275" w:lineRule="atLeast"/>
        <w:ind w:left="200" w:right="0" w:firstLine="0"/>
      </w:pPr>
      <w:r>
        <w:rPr>
          <w:rFonts w:ascii="Times New Roman" w:hAnsi="Times New Roman"/>
          <w:b/>
          <w:color w:val="000000"/>
          <w:sz w:val="20"/>
        </w:rPr>
        <w:t>1. Perpetuity Growth Rate</w:t>
      </w:r>
    </w:p>
    <w:bookmarkEnd w:id="210"/>
    <w:bookmarkEnd w:id="209"/>
    <w:p>
      <w:pPr>
        <w:spacing w:before="0" w:after="0" w:line="275" w:lineRule="atLeast"/>
        <w:jc w:val="both"/>
      </w:pPr>
      <w:r>
        <w:rPr>
          <w:rFonts w:ascii="Times New Roman" w:hAnsi="Times New Roman"/>
          <w:color w:val="000000"/>
          <w:sz w:val="20"/>
        </w:rPr>
        <w:t>The final step in projecting cash flows is to calculate a terminal value by extending the cash flows into perpetuity then discounting the resulting value to the present. This decision already has found that Taylor used an unreasonably low perpetuity growth rate and that her justifications for adopting it were unpersuasive.</w:t>
      </w:r>
      <w:bookmarkStart w:id="211" w:name="co_fnRef_B00412055700832_ID0EFBAM_1"/>
      <w:hyperlink w:anchor="co_footnote_B00412055700832_1">
        <w:r>
          <w:rPr>
            <w:rFonts w:ascii="Times New Roman" w:hAnsi="Times New Roman"/>
            <w:color w:val="000000"/>
            <w:sz w:val="16"/>
            <w:vertAlign w:val="superscript"/>
          </w:rPr>
          <w:t>41</w:t>
        </w:r>
      </w:hyperlink>
      <w:bookmarkEnd w:id="211"/>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212" w:name="co_pp_sp_999_56_1"/>
      <w:r>
        <w:rPr>
          <w:rFonts w:ascii="Times New Roman" w:hAnsi="Times New Roman"/>
          <w:b/>
          <w:color w:val="000000"/>
          <w:sz w:val="20"/>
        </w:rPr>
        <w:t>*56</w:t>
      </w:r>
      <w:bookmarkEnd w:id="212"/>
      <w:r>
        <w:rPr>
          <w:rFonts w:ascii="Times New Roman" w:hAnsi="Times New Roman"/>
          <w:color w:val="000000"/>
          <w:sz w:val="20"/>
        </w:rPr>
        <w:t xml:space="preserve"> The plaintiffs maintain that the court should adopt Barrick's perpetuity growth rate of 3%. They emphasize that when AT&amp;T modeled the net present value of avoided distributions in its buyout analysis, AT&amp;T consistently forecasted an annual growth rate of 3.5% for the distributions. </w:t>
      </w:r>
      <w:r>
        <w:rPr>
          <w:rFonts w:ascii="Times New Roman" w:hAnsi="Times New Roman"/>
          <w:i/>
          <w:color w:val="000000"/>
          <w:sz w:val="20"/>
        </w:rPr>
        <w:t>See, e.g.</w:t>
      </w:r>
      <w:r>
        <w:rPr>
          <w:rFonts w:ascii="Times New Roman" w:hAnsi="Times New Roman"/>
          <w:color w:val="000000"/>
          <w:sz w:val="20"/>
        </w:rPr>
        <w:t xml:space="preserve">, JX 547 at ’326. In response, Taylor pointed out that AT&amp;T's valuation also used a higher discount rate, resulting in a lower present value than Taylor derived. Taylor Tr. 799. So be it, but a discount rate is not interchangeable with a perpetuity growth rate. </w:t>
      </w:r>
      <w:r>
        <w:rPr>
          <w:rFonts w:ascii="Times New Roman" w:hAnsi="Times New Roman"/>
          <w:color w:val="000000"/>
          <w:sz w:val="20"/>
        </w:rPr>
        <w:t>AT&amp;T's valuation was made by finance executives to support a request for a multibillion dollar investment that AT&amp;T's CEO ultimately approved, so that growth rate is highly informative.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As discussed previously, conventional wisdom holds that a perpetuity growth rate should not exceed real growth in GDP. At the time of the Freeze-Out, credible projections placed the rate of nominal GDP growth at 5.1%, suggesting real GDP growth of 2.5% to 2.7%. </w:t>
      </w:r>
      <w:r>
        <w:rPr>
          <w:rFonts w:ascii="Times New Roman" w:hAnsi="Times New Roman"/>
          <w:i/>
          <w:color w:val="000000"/>
          <w:sz w:val="20"/>
        </w:rPr>
        <w:t>See</w:t>
      </w:r>
      <w:r>
        <w:rPr>
          <w:rFonts w:ascii="Times New Roman" w:hAnsi="Times New Roman"/>
          <w:color w:val="000000"/>
          <w:sz w:val="20"/>
        </w:rPr>
        <w:t xml:space="preserve"> Barrick Report App'x B; JX 628 at 3.</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For purposes of its damages calculation, the court will use a perpetuity growth rate of 2.7%. That growth rate adopts the high end of the range for real growth in GDP, thereby recognizing that AT&amp;T anticipated significant growth in its wireless business and that although the legacy voice wireless was maturing, AT&amp;T expected growth from a host of other wireless-related businesses.</w:t>
      </w:r>
    </w:p>
    <w:p>
      <w:pPr>
        <w:spacing w:before="0" w:after="0" w:line="275" w:lineRule="atLeast"/>
        <w:jc w:val="both"/>
      </w:pPr>
      <w:r>
        <w:rPr>
          <w:rFonts w:ascii="Times New Roman" w:hAnsi="Times New Roman"/>
          <w:color w:val="000000"/>
          <w:sz w:val="20"/>
        </w:rPr>
        <w:t> </w:t>
      </w:r>
    </w:p>
    <w:bookmarkStart w:id="213" w:name="co_anchor_I8f641511ace211ec8c80dd32e620"/>
    <w:bookmarkStart w:id="214" w:name="co_anchor_I8f641511ace211ec8c80dd32e2"/>
    <w:p>
      <w:pPr>
        <w:pBdr>
          <w:left w:val="none" w:space="10"/>
        </w:pBdr>
        <w:spacing w:before="400" w:after="0" w:line="275" w:lineRule="atLeast"/>
        <w:ind w:left="200" w:right="0" w:firstLine="0"/>
      </w:pPr>
      <w:r>
        <w:rPr>
          <w:rFonts w:ascii="Times New Roman" w:hAnsi="Times New Roman"/>
          <w:b/>
          <w:color w:val="000000"/>
          <w:sz w:val="20"/>
        </w:rPr>
        <w:t>2. The Remedial Calculation</w:t>
      </w:r>
    </w:p>
    <w:bookmarkEnd w:id="214"/>
    <w:bookmarkEnd w:id="213"/>
    <w:p>
      <w:pPr>
        <w:spacing w:before="0" w:after="0" w:line="275" w:lineRule="atLeast"/>
        <w:jc w:val="both"/>
      </w:pPr>
      <w:r>
        <w:rPr>
          <w:rFonts w:ascii="Times New Roman" w:hAnsi="Times New Roman"/>
          <w:color w:val="000000"/>
          <w:sz w:val="20"/>
        </w:rPr>
        <w:t>For purposes of awarding a damages remedy, the foregoing inputs result in an implied valuation of the Partnership at the time of the Freeze-Out of $714,039,606.48. For comparison, PwC valued the Partnership at $219 million. Taylor valued the Partnership at between $171 million and $224 million. Barrick valued the Partnership at $946 million.</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 tried to cast doubt on any approach that would generate a valuation significantly higher than the Freeze-Out price by drawing comparisons to AT&amp;T's failed bid for T-Mobile. AT&amp;T argued at length that its “valuation of T-Mobile corroborates PwC's and Taylor's valuations,” even going so far as to argue that because the T-Mobile transaction “bore objective indicia of reliability,” the court should defer to the prices that AT&amp;T paid. Dkt. 631 at 16–17. AT&amp;T thus attempted to obtain the benefit of deference to the deal price that is warranted in an arm's-length transaction, despite relying on (i) a different deal, that was (ii) signed after the Freeze-Out, (iii) ultimately failed to close, and (iv) incorporated a range of value-confounding factors in the price.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This decision already has held that Taylor's comparable transactions, including the T-Mobile transaction, were not sufficiently comparable for valuation purposes. For the T-Mobile transaction, the divergence is stark. The transaction multiples implied by AT&amp;T's failed bid for T-Mobile reflected risks and costs that were not present in the Freeze-Out. First, the T-Mobile deal included a $4.2 billion termination fee that AT&amp;T would have to pay if the deal did not close. </w:t>
      </w:r>
      <w:r>
        <w:rPr>
          <w:rFonts w:ascii="Times New Roman" w:hAnsi="Times New Roman"/>
          <w:i/>
          <w:color w:val="000000"/>
          <w:sz w:val="20"/>
        </w:rPr>
        <w:t>See</w:t>
      </w:r>
      <w:r>
        <w:rPr>
          <w:rFonts w:ascii="Times New Roman" w:hAnsi="Times New Roman"/>
          <w:color w:val="000000"/>
          <w:sz w:val="20"/>
        </w:rPr>
        <w:t xml:space="preserve"> JX 2076 at 3, 17; </w:t>
      </w:r>
      <w:r>
        <w:rPr>
          <w:rFonts w:ascii="Times New Roman" w:hAnsi="Times New Roman"/>
          <w:i/>
          <w:color w:val="000000"/>
          <w:sz w:val="20"/>
        </w:rPr>
        <w:t>see also</w:t>
      </w:r>
      <w:r>
        <w:rPr>
          <w:rFonts w:ascii="Times New Roman" w:hAnsi="Times New Roman"/>
          <w:color w:val="000000"/>
          <w:sz w:val="20"/>
        </w:rPr>
        <w:t xml:space="preserve"> Taylor Tr. 846–48. Due to the relative size of the two companies, the antitrust risk was real. It also came to pass: The antitrust authorities killed the deal, and AT&amp;T took a $4.2 billion charge in the fourth quarter of 2011. JX 2076 at 3, 17. A buyer like AT&amp;T that faced antitrust risk would discount its bid for that risk, resulting in lower revenue and EBITDA multiples. The Freeze-Out carried zero antitrust risk.</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Second, the T-Mobile deal carried integration risk. AT&amp;T planned to spend $1.9 billion in 2012 and $1.8 billion in 2013 to integrate T-Mobile's subscribers into AT&amp;T's business. JX 1893 at ’938. A buyer facing significant integration risk would account for it by reducing the purchase price, again resulting in lower multiples. The Freeze-Out carried zero integration risk.</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215" w:name="co_pp_sp_999_57_1"/>
      <w:r>
        <w:rPr>
          <w:rFonts w:ascii="Times New Roman" w:hAnsi="Times New Roman"/>
          <w:b/>
          <w:color w:val="000000"/>
          <w:sz w:val="20"/>
        </w:rPr>
        <w:t>*57</w:t>
      </w:r>
      <w:bookmarkEnd w:id="215"/>
      <w:r>
        <w:rPr>
          <w:rFonts w:ascii="Times New Roman" w:hAnsi="Times New Roman"/>
          <w:color w:val="000000"/>
          <w:sz w:val="20"/>
        </w:rPr>
        <w:t xml:space="preserve"> The attempt to compare the Freeze-Out to the T-Mobile transaction also fails because it seeks to use a fair market value standard to evaluate the fairness of a controller freeze-out. AT&amp;T justifies the Freeze-Out by contending that </w:t>
      </w:r>
      <w:r>
        <w:rPr>
          <w:rFonts w:ascii="Times New Roman" w:hAnsi="Times New Roman"/>
          <w:color w:val="000000"/>
          <w:sz w:val="20"/>
        </w:rPr>
        <w:t xml:space="preserve">“Plaintiffs could not have negotiated a materially higher price from a third party.” Dkt. 631 at 2. But as discussed previously, the question in a controller freeze-out is whether the minority investor has received “the substantial equivalent in value of what he had before.” </w:t>
      </w:r>
      <w:hyperlink r:id="r118">
        <w:r>
          <w:rPr>
            <w:rFonts w:ascii="Times New Roman" w:hAnsi="Times New Roman"/>
            <w:i/>
            <w:color w:val="000000"/>
            <w:sz w:val="20"/>
          </w:rPr>
          <w:t>Sterling</w:t>
        </w:r>
        <w:r>
          <w:rPr>
            <w:rFonts w:ascii="Times New Roman" w:hAnsi="Times New Roman"/>
            <w:color w:val="000000"/>
            <w:sz w:val="20"/>
          </w:rPr>
          <w:t>, 93 A.2d at 114</w:t>
        </w:r>
      </w:hyperlink>
      <w:r>
        <w:rPr>
          <w:rFonts w:ascii="Times New Roman" w:hAnsi="Times New Roman"/>
          <w:color w:val="000000"/>
          <w:sz w:val="20"/>
        </w:rPr>
        <w:t xml:space="preserve">. If the controlled entity benefitted from relationships with its affiliates or was part of a larger business that operated synergistically, then the “what” that the minority investor “had before” must include those benefits as part of its operative reality. </w:t>
      </w:r>
      <w:r>
        <w:rPr>
          <w:rFonts w:ascii="Times New Roman" w:hAnsi="Times New Roman"/>
          <w:i/>
          <w:color w:val="000000"/>
          <w:sz w:val="20"/>
        </w:rPr>
        <w:t>Cf.</w:t>
      </w:r>
      <w:r>
        <w:rPr>
          <w:rFonts w:ascii="Times New Roman" w:hAnsi="Times New Roman"/>
          <w:color w:val="000000"/>
          <w:sz w:val="20"/>
        </w:rPr>
        <w:t xml:space="preserve"> </w:t>
      </w:r>
      <w:hyperlink r:id="r119">
        <w:r>
          <w:rPr>
            <w:rFonts w:ascii="Times New Roman" w:hAnsi="Times New Roman"/>
            <w:i/>
            <w:color w:val="000000"/>
            <w:sz w:val="20"/>
          </w:rPr>
          <w:t>Dobler v. Montgomery Cellular Hldg. Co.</w:t>
        </w:r>
        <w:r>
          <w:rPr>
            <w:rFonts w:ascii="Times New Roman" w:hAnsi="Times New Roman"/>
            <w:color w:val="000000"/>
            <w:sz w:val="20"/>
          </w:rPr>
          <w:t>, 2004 WL 2271592, at *9 (Del. Ch. Oct. 4, 2004)</w:t>
        </w:r>
      </w:hyperlink>
      <w:r>
        <w:rPr>
          <w:rFonts w:ascii="Times New Roman" w:hAnsi="Times New Roman"/>
          <w:color w:val="000000"/>
          <w:sz w:val="20"/>
        </w:rPr>
        <w:t xml:space="preserve"> (rejecting argument that “stand-alone” value required exclusion of relationships with affiliates), </w:t>
      </w:r>
      <w:r>
        <w:rPr>
          <w:rFonts w:ascii="Times New Roman" w:hAnsi="Times New Roman"/>
          <w:i/>
          <w:color w:val="000000"/>
          <w:sz w:val="20"/>
        </w:rPr>
        <w:t>aff'd in part, rev'd in part</w:t>
      </w:r>
      <w:r>
        <w:rPr>
          <w:rFonts w:ascii="Times New Roman" w:hAnsi="Times New Roman"/>
          <w:color w:val="000000"/>
          <w:sz w:val="20"/>
        </w:rPr>
        <w:t xml:space="preserve">, </w:t>
      </w:r>
      <w:hyperlink r:id="r120">
        <w:r>
          <w:rPr>
            <w:rFonts w:ascii="Times New Roman" w:hAnsi="Times New Roman"/>
            <w:color w:val="000000"/>
            <w:sz w:val="20"/>
          </w:rPr>
          <w:t>880 A.2d 206 (2005)</w:t>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hyperlink r:id="r121">
        <w:r>
          <w:rPr>
            <w:rFonts w:ascii="Times New Roman" w:hAnsi="Times New Roman"/>
            <w:i/>
            <w:color w:val="000000"/>
            <w:sz w:val="20"/>
          </w:rPr>
          <w:t>Boyer v. Wilm. Mat'ls, Inc.</w:t>
        </w:r>
        <w:r>
          <w:rPr>
            <w:rFonts w:ascii="Times New Roman" w:hAnsi="Times New Roman"/>
            <w:color w:val="000000"/>
            <w:sz w:val="20"/>
          </w:rPr>
          <w:t>, 754 A.2d 881, 901 (Del. Ch. 1999)</w:t>
        </w:r>
      </w:hyperlink>
      <w:r>
        <w:rPr>
          <w:rFonts w:ascii="Times New Roman" w:hAnsi="Times New Roman"/>
          <w:color w:val="000000"/>
          <w:sz w:val="20"/>
        </w:rPr>
        <w:t xml:space="preserve"> (including value of long-term contract in fair value award). The controller does not get to create a hypothetical company devoid of those benefits by imagining what a third-party buyer might pay for the entity standing alone. Such an approach would result in the valuation of a hypothetical standalone entity, not the actual entity that was the subject of the Freeze-Out.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That distinction applies in this case. AT&amp;T operated the Partnership and its sister entities as integrated parts of its nationwide wireless network. AT&amp;T was not going to sell the Partnership or any of its sister entities, because doing so would create holes in its network and negate the promise of ubiquity that AT&amp;T offered its customers. </w:t>
      </w:r>
      <w:r>
        <w:rPr>
          <w:rFonts w:ascii="Times New Roman" w:hAnsi="Times New Roman"/>
          <w:i/>
          <w:color w:val="000000"/>
          <w:sz w:val="20"/>
        </w:rPr>
        <w:t>See</w:t>
      </w:r>
      <w:r>
        <w:rPr>
          <w:rFonts w:ascii="Times New Roman" w:hAnsi="Times New Roman"/>
          <w:color w:val="000000"/>
          <w:sz w:val="20"/>
        </w:rPr>
        <w:t xml:space="preserve"> JX 3551 at 3 (AT&amp;T did not have any “significant past practice of voluntarily selling licenses”). The remedial award must take into account the operative reality of the Partnership as it existed at the time of the Freeze-Out, namely that it was an integrated part of AT&amp;T's network. The analysis cannot treat the Partnership as if it were a fungible asset.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Barrick provided a more realistic reality check. Using AT&amp;T's corporate hurdle rate of 6.2% and a 3% growth rate, Barrick capitalized the Partnership's 2009 distributions into perpetuity. That calculation produced a fair value estimate for the Partnership of $571.1 million. JX 3604 at 3. And simply capitalizing the 2009 distributions does not account for the higher distributions that AT&amp;T paid in 2010 or the growth that AT&amp;T anticipated in the Three-Year Plan.</w:t>
      </w:r>
      <w:bookmarkStart w:id="216" w:name="co_fnRef_B00422055700832_ID0E4MAM_1"/>
      <w:hyperlink w:anchor="co_footnote_B00422055700832_1">
        <w:r>
          <w:rPr>
            <w:rFonts w:ascii="Times New Roman" w:hAnsi="Times New Roman"/>
            <w:color w:val="000000"/>
            <w:sz w:val="16"/>
            <w:vertAlign w:val="superscript"/>
          </w:rPr>
          <w:t>42</w:t>
        </w:r>
      </w:hyperlink>
      <w:bookmarkEnd w:id="216"/>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remedial award also does not incorporate value for AT&amp;T's pervasive breach of the Management Agreements. If the cash flow projections were adjusted to comply with the Premium Provision and include a 25% premium for Shared Revenues and the 10% discount for Sales and Marketing Expenses, then the concluded value of the DCF model would have been $920,830,852.18. That valuation would not have accorded any value to the derivative claim for AT&amp;T's past breaches.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For purposes of a remedial damages calculation following a proven breach of fiduciary duty, valuing the Partnership at $714,039,606.48 is a responsible estimate. The plaintiffs are entitled to 1.881% of that amount ($13,431,085), less what they already received in the Freeze-Out ($4,119,390). The plaintiffs’ damages therefore equal $9,311,695.</w:t>
      </w:r>
    </w:p>
    <w:p>
      <w:pPr>
        <w:spacing w:before="0" w:after="0" w:line="275" w:lineRule="atLeast"/>
        <w:jc w:val="both"/>
      </w:pPr>
      <w:r>
        <w:rPr>
          <w:rFonts w:ascii="Times New Roman" w:hAnsi="Times New Roman"/>
          <w:color w:val="000000"/>
          <w:sz w:val="20"/>
        </w:rPr>
        <w:t> </w:t>
      </w:r>
    </w:p>
    <w:bookmarkStart w:id="217" w:name="co_anchor_I8f696c41ace211ec8c80dd32e620"/>
    <w:bookmarkStart w:id="218" w:name="co_anchor_I8f696c41ace211ec8c80dd32e2"/>
    <w:p>
      <w:pPr>
        <w:spacing w:before="400" w:after="0" w:line="275" w:lineRule="atLeast"/>
      </w:pPr>
      <w:r>
        <w:rPr>
          <w:rFonts w:ascii="Times New Roman" w:hAnsi="Times New Roman"/>
          <w:b/>
          <w:color w:val="000000"/>
          <w:sz w:val="20"/>
        </w:rPr>
        <w:t>C. An Award Of Attorneys’ Fees</w:t>
      </w:r>
    </w:p>
    <w:bookmarkEnd w:id="218"/>
    <w:bookmarkEnd w:id="217"/>
    <w:p>
      <w:pPr>
        <w:spacing w:before="0" w:after="0" w:line="275" w:lineRule="atLeast"/>
        <w:jc w:val="both"/>
      </w:pPr>
      <w:r>
        <w:rPr>
          <w:rFonts w:ascii="Times New Roman" w:hAnsi="Times New Roman"/>
          <w:color w:val="000000"/>
          <w:sz w:val="20"/>
        </w:rPr>
        <w:t>The plaintiffs seek an award of attorneys’ fees. They contend that an award is warranted because AT&amp;T hired PwC, “a conflicted advisor who [AT&amp;T] thought would be ‘effective[ ] as a potential witness’ to put its name on valuations [AT&amp;T] essentially prepared itself.”</w:t>
      </w:r>
      <w:r>
        <w:rPr>
          <w:rFonts w:ascii="Times New Roman" w:hAnsi="Times New Roman"/>
          <w:color w:val="000000"/>
          <w:sz w:val="20"/>
        </w:rPr>
        <w:t xml:space="preserve"> Dkt. 626 at 87 (footnote omitted). The plaintiffs argue that failure to grant their request would “encourage such outright disloyalty,” and that an award of attorneys’ fees is warranted for the additional reason that AT&amp;T exits “this litigation with the distinction of being the party most obstructive of the discovery process in this Court's experience.” </w:t>
      </w:r>
      <w:r>
        <w:rPr>
          <w:rFonts w:ascii="Times New Roman" w:hAnsi="Times New Roman"/>
          <w:i/>
          <w:color w:val="000000"/>
          <w:sz w:val="20"/>
        </w:rPr>
        <w:t>Id.</w:t>
      </w:r>
      <w:r>
        <w:rPr>
          <w:rFonts w:ascii="Times New Roman" w:hAnsi="Times New Roman"/>
          <w:color w:val="000000"/>
          <w:sz w:val="20"/>
        </w:rPr>
        <w:t xml:space="preserve"> This decision denies the plaintiffs’ request.</w:t>
      </w:r>
    </w:p>
    <w:p>
      <w:pPr>
        <w:spacing w:before="0" w:after="0" w:line="275" w:lineRule="atLeast"/>
        <w:jc w:val="both"/>
      </w:pPr>
      <w:r>
        <w:rPr>
          <w:rFonts w:ascii="Times New Roman" w:hAnsi="Times New Roman"/>
          <w:color w:val="000000"/>
          <w:sz w:val="20"/>
        </w:rPr>
        <w:t> </w:t>
      </w:r>
    </w:p>
    <w:p>
      <w:pPr>
        <w:spacing w:before="0" w:after="0" w:line="275" w:lineRule="atLeast"/>
        <w:jc w:val="both"/>
      </w:pPr>
      <w:bookmarkStart w:id="219" w:name="co_pp_sp_999_58_1"/>
      <w:r>
        <w:rPr>
          <w:rFonts w:ascii="Times New Roman" w:hAnsi="Times New Roman"/>
          <w:b/>
          <w:color w:val="000000"/>
          <w:sz w:val="20"/>
        </w:rPr>
        <w:t>*58</w:t>
      </w:r>
      <w:bookmarkEnd w:id="219"/>
      <w:r>
        <w:rPr>
          <w:rFonts w:ascii="Times New Roman" w:hAnsi="Times New Roman"/>
          <w:color w:val="000000"/>
          <w:sz w:val="20"/>
        </w:rPr>
        <w:t xml:space="preserve"> “Delaware follows the ‘American Rule,’ which provides that each party is generally expected to pay its own attorneys’ fees regardless of the outcome of the litigation.” </w:t>
      </w:r>
      <w:hyperlink r:id="r122">
        <w:r>
          <w:rPr>
            <w:rFonts w:ascii="Times New Roman" w:hAnsi="Times New Roman"/>
            <w:i/>
            <w:color w:val="000000"/>
            <w:sz w:val="20"/>
          </w:rPr>
          <w:t>Shawe v. Elting</w:t>
        </w:r>
        <w:r>
          <w:rPr>
            <w:rFonts w:ascii="Times New Roman" w:hAnsi="Times New Roman"/>
            <w:color w:val="000000"/>
            <w:sz w:val="20"/>
          </w:rPr>
          <w:t>, 157 A.3d 142, 149 (Del. 2017)</w:t>
        </w:r>
      </w:hyperlink>
      <w:r>
        <w:rPr>
          <w:rFonts w:ascii="Times New Roman" w:hAnsi="Times New Roman"/>
          <w:color w:val="000000"/>
          <w:sz w:val="20"/>
        </w:rPr>
        <w:t xml:space="preserve">. There are exceptions to the American Rule. One of them permits the court “to award attorney's fees when the ‘losing party has acted in bad faith, vexatiously, wantonly, or for oppressive reasons.’ ” </w:t>
      </w:r>
      <w:hyperlink r:id="r123">
        <w:r>
          <w:rPr>
            <w:rFonts w:ascii="Times New Roman" w:hAnsi="Times New Roman"/>
            <w:i/>
            <w:color w:val="000000"/>
            <w:sz w:val="20"/>
          </w:rPr>
          <w:t>Brice v. Dep't of Corr.</w:t>
        </w:r>
        <w:r>
          <w:rPr>
            <w:rFonts w:ascii="Times New Roman" w:hAnsi="Times New Roman"/>
            <w:color w:val="000000"/>
            <w:sz w:val="20"/>
          </w:rPr>
          <w:t>, 704 A.2d 1176, 1179 (Del. 1998)</w:t>
        </w:r>
      </w:hyperlink>
      <w:r>
        <w:rPr>
          <w:rFonts w:ascii="Times New Roman" w:hAnsi="Times New Roman"/>
          <w:color w:val="000000"/>
          <w:sz w:val="20"/>
        </w:rPr>
        <w:t xml:space="preserve"> (quoting </w:t>
      </w:r>
      <w:hyperlink r:id="r124">
        <w:r>
          <w:rPr>
            <w:rFonts w:ascii="Times New Roman" w:hAnsi="Times New Roman"/>
            <w:i/>
            <w:color w:val="000000"/>
            <w:sz w:val="20"/>
          </w:rPr>
          <w:t>Alyeska Pipeline Serv. Co. v. Wilderness Soc'y</w:t>
        </w:r>
        <w:r>
          <w:rPr>
            <w:rFonts w:ascii="Times New Roman" w:hAnsi="Times New Roman"/>
            <w:color w:val="000000"/>
            <w:sz w:val="20"/>
          </w:rPr>
          <w:t>, 421 U.S. 240, 258–59 (1975)</w:t>
        </w:r>
      </w:hyperlink>
      <w:r>
        <w:rPr>
          <w:rFonts w:ascii="Times New Roman" w:hAnsi="Times New Roman"/>
          <w:color w:val="000000"/>
          <w:sz w:val="20"/>
        </w:rPr>
        <w:t xml:space="preserve">). “Although there is no single definition of bad faith conduct, courts have found bad faith where parties have unnecessarily prolonged or delayed litigation, falsified records, or knowingly asserted frivolous claims.” </w:t>
      </w:r>
      <w:hyperlink r:id="r125">
        <w:r>
          <w:rPr>
            <w:rFonts w:ascii="Times New Roman" w:hAnsi="Times New Roman"/>
            <w:i/>
            <w:color w:val="000000"/>
            <w:sz w:val="20"/>
          </w:rPr>
          <w:t>Shawe</w:t>
        </w:r>
        <w:r>
          <w:rPr>
            <w:rFonts w:ascii="Times New Roman" w:hAnsi="Times New Roman"/>
            <w:color w:val="000000"/>
            <w:sz w:val="20"/>
          </w:rPr>
          <w:t>, 157 A.3d at 149</w:t>
        </w:r>
      </w:hyperlink>
      <w:r>
        <w:rPr>
          <w:rFonts w:ascii="Times New Roman" w:hAnsi="Times New Roman"/>
          <w:color w:val="000000"/>
          <w:sz w:val="20"/>
        </w:rPr>
        <w:t xml:space="preserve"> (cleaned up).</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bad faith exception is applied in extraordinary circumstances as a tool to deter abusive litigation and protect the integrity of the judicial process.” </w:t>
      </w:r>
      <w:hyperlink r:id="r126">
        <w:r>
          <w:rPr>
            <w:rFonts w:ascii="Times New Roman" w:hAnsi="Times New Roman"/>
            <w:i/>
            <w:color w:val="000000"/>
            <w:sz w:val="20"/>
          </w:rPr>
          <w:t>Id.</w:t>
        </w:r>
        <w:r>
          <w:rPr>
            <w:rFonts w:ascii="Times New Roman" w:hAnsi="Times New Roman"/>
            <w:color w:val="000000"/>
            <w:sz w:val="20"/>
          </w:rPr>
          <w:t xml:space="preserve"> at 149–50</w:t>
        </w:r>
      </w:hyperlink>
      <w:r>
        <w:rPr>
          <w:rFonts w:ascii="Times New Roman" w:hAnsi="Times New Roman"/>
          <w:color w:val="000000"/>
          <w:sz w:val="20"/>
        </w:rPr>
        <w:t xml:space="preserve"> (internal quotation marks omitted). A party who invokes the bad faith exception “must demonstrate by clear evidence that the party from whom fees are sought acted in subjective bad faith.” </w:t>
      </w:r>
      <w:hyperlink r:id="r127">
        <w:r>
          <w:rPr>
            <w:rFonts w:ascii="Times New Roman" w:hAnsi="Times New Roman"/>
            <w:i/>
            <w:color w:val="000000"/>
            <w:sz w:val="20"/>
          </w:rPr>
          <w:t>Lawson v. State</w:t>
        </w:r>
        <w:r>
          <w:rPr>
            <w:rFonts w:ascii="Times New Roman" w:hAnsi="Times New Roman"/>
            <w:color w:val="000000"/>
            <w:sz w:val="20"/>
          </w:rPr>
          <w:t>, 91 A.3d 544, 552 (Del. 2014)</w:t>
        </w:r>
      </w:hyperlink>
      <w:r>
        <w:rPr>
          <w:rFonts w:ascii="Times New Roman" w:hAnsi="Times New Roman"/>
          <w:color w:val="000000"/>
          <w:sz w:val="20"/>
        </w:rPr>
        <w:t xml:space="preserve"> (cleaned up).</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In this case, AT&amp;T has not engaged in the sort of conduct that warrants fee shifting. As an initial matter, the fact that AT&amp;T wanted to assess Gilcreast's effectiveness as a potential witness does not constitute an abuse of process. The record shows that AT&amp;T anticipated litigation over the Freeze-Out, and AT&amp;T tried to shape the record to its advantage. The court considered that evidence in the course of making its finding that AT&amp;T knew it was underpaying for the minority partners’ interests in the Partnership. That evidence in turn supported the court's finding that AT&amp;T breached its duty of loyalty. It does not follow that AT&amp;T's conduct constitutes an abuse of the litigation process itself.</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As to AT&amp;T's conduct during the litigation, the plaintiffs failed to make the showing required for the bad faith exception to apply. The plaintiffs did not point to any evidence. They only paraphrased the court's comment about AT&amp;T's conduct during discovery. The bad faith exception requires more. The plaintiffs’ request therefore is denied.</w:t>
      </w:r>
    </w:p>
    <w:p>
      <w:pPr>
        <w:spacing w:before="0" w:after="0" w:line="275" w:lineRule="atLeast"/>
        <w:jc w:val="both"/>
      </w:pPr>
      <w:r>
        <w:rPr>
          <w:rFonts w:ascii="Times New Roman" w:hAnsi="Times New Roman"/>
          <w:color w:val="000000"/>
          <w:sz w:val="20"/>
        </w:rPr>
        <w:t> </w:t>
      </w:r>
    </w:p>
    <w:bookmarkStart w:id="220" w:name="co_anchor_I8f6c7981ace211ec8c80dd32e620"/>
    <w:p>
      <w:pPr>
        <w:spacing w:before="400" w:after="0" w:line="275" w:lineRule="atLeast"/>
        <w:jc w:val="center"/>
      </w:pPr>
      <w:r>
        <w:rPr>
          <w:rFonts w:ascii="Times New Roman" w:hAnsi="Times New Roman"/>
          <w:b/>
          <w:color w:val="000000"/>
          <w:sz w:val="20"/>
        </w:rPr>
        <w:t>IV. CONCLUSION</w:t>
      </w:r>
    </w:p>
    <w:bookmarkEnd w:id="220"/>
    <w:p>
      <w:pPr>
        <w:spacing w:before="200" w:after="0" w:line="275" w:lineRule="atLeast"/>
        <w:jc w:val="both"/>
      </w:pPr>
      <w:r>
        <w:rPr>
          <w:rFonts w:ascii="Times New Roman" w:hAnsi="Times New Roman"/>
          <w:color w:val="000000"/>
          <w:sz w:val="20"/>
        </w:rPr>
        <w:t>The plaintiffs proved that AT&amp;T breached its fiduciary duty of loyalty by effecting the Freeze-Out in a manner that was not entirely fair to the plaintiffs. The plaintiffs are entitled to damages of $9,311,695. Pre- and post-judgment interest will accrue on this amount, compounded monthly, until the date of payment. Interest will accrue at the legal rate, with the legal rate changing with fluctuations in the underlying reference rate.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Within thirty days, the parties will prepare a form of final judgment that has been agreed upon as to form. If there are issues that need to be resolved before a final judgment, then the parties instead will submit a joint letter that identifies those issues and proposes a schedule for resolving them.</w:t>
      </w:r>
    </w:p>
    <w:p>
      <w:pPr>
        <w:spacing w:before="0" w:after="0" w:line="275" w:lineRule="atLeast"/>
        <w:jc w:val="both"/>
      </w:pPr>
      <w:r>
        <w:rPr>
          <w:rFonts w:ascii="Times New Roman" w:hAnsi="Times New Roman"/>
          <w:color w:val="000000"/>
          <w:sz w:val="20"/>
        </w:rPr>
        <w:t> </w:t>
      </w:r>
    </w:p>
    <w:bookmarkStart w:id="221" w:name="co_allCitations_1"/>
    <w:p>
      <w:pPr>
        <w:keepNext/>
        <w:keepLines/>
        <w:spacing w:before="200" w:after="0" w:line="275" w:lineRule="atLeast"/>
        <w:jc w:val="both"/>
      </w:pPr>
      <w:r>
        <w:rPr>
          <w:rFonts w:ascii="Times New Roman" w:hAnsi="Times New Roman"/>
          <w:b/>
          <w:color w:val="212121"/>
          <w:sz w:val="20"/>
        </w:rPr>
        <w:t>All Citations</w:t>
      </w:r>
    </w:p>
    <w:bookmarkEnd w:id="221"/>
    <w:p>
      <w:pPr>
        <w:spacing w:before="200" w:after="0" w:line="275" w:lineRule="atLeast"/>
        <w:jc w:val="both"/>
      </w:pPr>
      <w:r>
        <w:rPr>
          <w:rFonts w:ascii="Times New Roman" w:hAnsi="Times New Roman"/>
          <w:color w:val="000000"/>
          <w:sz w:val="20"/>
        </w:rPr>
        <w:t>Not Reported in Atl. Rptr., 2022 WL 698112</w:t>
      </w:r>
    </w:p>
    <w:p>
      <w:pPr>
        <w:sectPr>
          <w:pgSz w:w="12240" w:h="15840"/>
          <w:pgMar w:top="1800" w:bottom="1080" w:left="1080" w:right="1080" w:header="720" w:footer="720" w:gutter="0"/>
          <w:pgNumType w:fmt="decimal"/>
          <w:cols w:num="2" w:space="240"/>
        </w:sectPr>
      </w:pPr>
    </w:p>
    <w:p>
      <w:pPr>
        <w:spacing w:before="0" w:after="0" w:line="240" w:lineRule="auto"/>
        <w:rPr>
          <w:sz w:val="60"/>
        </w:rPr>
      </w:pPr>
    </w:p>
    <w:tbl>
      <w:tblPr>
        <w:tblLayout w:type="fixed"/>
      </w:tblPr>
      <w:tblGrid>
        <w:gridCol w:w="600"/>
        <w:gridCol w:w="9450"/>
      </w:tblGrid>
      <w:tr>
        <w:tblPrEx/>
        <w:trPr/>
        <w:tc>
          <w:tcPr>
            <w:hMerge w:val="restart"/>
            <w:tcMar>
              <w:bottom w:w="300" w:type="dxa"/>
            </w:tcMar>
            <w:vAlign w:val="top"/>
          </w:tcPr>
          <w:p>
            <w:pPr>
              <w:spacing w:before="0" w:after="0" w:line="275" w:lineRule="atLeast"/>
              <w:jc w:val="center"/>
            </w:pPr>
            <w:r>
              <w:rPr>
                <w:rFonts w:ascii="Times New Roman" w:hAnsi="Times New Roman"/>
                <w:b/>
                <w:color w:val="000000"/>
                <w:sz w:val="22"/>
              </w:rPr>
              <w:t>Footnotes</w:t>
            </w:r>
          </w:p>
        </w:tc>
        <w:tc>
          <w:tcPr>
            <w:hMerge w:val="continue"/>
            <w:tcMar>
              <w:bottom w:w="300" w:type="dxa"/>
            </w:tcMar>
            <w:vAlign w:val="top"/>
          </w:tcPr>
          <w:p>
            <w:pPr>
              <w:spacing w:before="0" w:after="0" w:line="240" w:lineRule="auto"/>
              <w:rPr>
                <w:rFonts w:ascii="Times New Roman" w:hAnsi="Times New Roman"/>
                <w:b/>
                <w:color w:val="000000"/>
                <w:sz w:val="22"/>
              </w:rPr>
            </w:pPr>
          </w:p>
        </w:tc>
      </w:tr>
      <w:tr>
        <w:tblPrEx/>
        <w:trPr/>
        <w:tc>
          <w:tcPr>
            <w:vAlign w:val="top"/>
          </w:tcPr>
          <w:p>
            <w:pPr>
              <w:spacing w:before="0" w:after="0" w:line="275" w:lineRule="atLeast"/>
            </w:pPr>
            <w:bookmarkStart w:id="222" w:name="co_footnote_B00012055700832_1"/>
            <w:hyperlink w:anchor="co_fnRef_B00012055700832_ID0ESCAC_1">
              <w:r>
                <w:rPr>
                  <w:rFonts w:ascii="Times New Roman" w:hAnsi="Times New Roman"/>
                  <w:color w:val="000000"/>
                  <w:sz w:val="20"/>
                  <w:vertAlign w:val="superscript"/>
                </w:rPr>
                <w:t>1</w:t>
              </w:r>
            </w:hyperlink>
            <w:bookmarkEnd w:id="222"/>
          </w:p>
        </w:tc>
        <w:tc>
          <w:tcPr>
            <w:vAlign w:val="top"/>
          </w:tcPr>
          <w:p>
            <w:pPr>
              <w:pBdr>
                <w:bottom w:val="none" w:space="8"/>
              </w:pBdr>
              <w:spacing w:before="0" w:after="0" w:line="275" w:lineRule="atLeast"/>
              <w:jc w:val="both"/>
            </w:pPr>
            <w:r>
              <w:rPr>
                <w:rFonts w:ascii="Times New Roman" w:hAnsi="Times New Roman"/>
                <w:color w:val="000000"/>
                <w:sz w:val="20"/>
              </w:rPr>
              <w:t xml:space="preserve">The entity currently known as AT&amp;T came to control the Partnership through a complex series of corporate transactions spanning years. The evolution of AT&amp;T as an entity is not directly relevant to this proceeding. For simplicity, this decision refers to AT&amp;T, unless the context requires a more specific referent. Interested readers may consult a prior decision for a description of the evolution of AT&amp;T during the life of the Partnership. </w:t>
            </w:r>
            <w:r>
              <w:rPr>
                <w:rFonts w:ascii="Times New Roman" w:hAnsi="Times New Roman"/>
                <w:i/>
                <w:color w:val="000000"/>
                <w:sz w:val="20"/>
              </w:rPr>
              <w:t>See In re Cellular Tel. P'ship Litig.</w:t>
            </w:r>
            <w:r>
              <w:rPr>
                <w:rFonts w:ascii="Times New Roman" w:hAnsi="Times New Roman"/>
                <w:color w:val="000000"/>
                <w:sz w:val="20"/>
              </w:rPr>
              <w:t xml:space="preserve"> (</w:t>
            </w:r>
            <w:r>
              <w:rPr>
                <w:rFonts w:ascii="Times New Roman" w:hAnsi="Times New Roman"/>
                <w:i/>
                <w:color w:val="000000"/>
                <w:sz w:val="20"/>
              </w:rPr>
              <w:t>Salem Contract Decision</w:t>
            </w:r>
            <w:r>
              <w:rPr>
                <w:rFonts w:ascii="Times New Roman" w:hAnsi="Times New Roman"/>
                <w:color w:val="000000"/>
                <w:sz w:val="20"/>
              </w:rPr>
              <w:t xml:space="preserve">), </w:t>
            </w:r>
            <w:hyperlink r:id="r128">
              <w:r>
                <w:rPr>
                  <w:rFonts w:ascii="Times New Roman" w:hAnsi="Times New Roman"/>
                  <w:color w:val="000000"/>
                  <w:sz w:val="20"/>
                </w:rPr>
                <w:t>2021 WL 4438046, at *4 n.4, *9 n.13, *11 n.15, *24 n.27, *50 (Del. Ch. Sept. 28, 2021)</w:t>
              </w:r>
            </w:hyperlink>
            <w:r>
              <w:rPr>
                <w:rFonts w:ascii="Times New Roman" w:hAnsi="Times New Roman"/>
                <w:color w:val="000000"/>
                <w:sz w:val="20"/>
              </w:rPr>
              <w:t>.</w:t>
            </w:r>
          </w:p>
        </w:tc>
      </w:tr>
      <w:tr>
        <w:tblPrEx/>
        <w:trPr/>
        <w:tc>
          <w:tcPr>
            <w:vAlign w:val="top"/>
          </w:tcPr>
          <w:p>
            <w:pPr>
              <w:spacing w:before="0" w:after="0" w:line="275" w:lineRule="atLeast"/>
            </w:pPr>
            <w:bookmarkStart w:id="223" w:name="co_footnote_B00022055700832_1"/>
            <w:hyperlink w:anchor="co_fnRef_B00022055700832_ID0E3EAC_1">
              <w:r>
                <w:rPr>
                  <w:rFonts w:ascii="Times New Roman" w:hAnsi="Times New Roman"/>
                  <w:color w:val="000000"/>
                  <w:sz w:val="20"/>
                  <w:vertAlign w:val="superscript"/>
                </w:rPr>
                <w:t>2</w:t>
              </w:r>
            </w:hyperlink>
            <w:bookmarkEnd w:id="223"/>
          </w:p>
        </w:tc>
        <w:tc>
          <w:tcPr>
            <w:vAlign w:val="top"/>
          </w:tcPr>
          <w:p>
            <w:pPr>
              <w:pBdr>
                <w:bottom w:val="none" w:space="8"/>
              </w:pBdr>
              <w:spacing w:before="0" w:after="0" w:line="275" w:lineRule="atLeast"/>
              <w:jc w:val="both"/>
            </w:pPr>
            <w:r>
              <w:rPr>
                <w:rFonts w:ascii="Times New Roman" w:hAnsi="Times New Roman"/>
                <w:color w:val="000000"/>
                <w:sz w:val="20"/>
              </w:rPr>
              <w:t xml:space="preserve">Between October 2010 and June 2011, AT&amp;T engaged in similar freeze-out transactions involving twelve other partnerships. The thirteen transactions resulted in the filing of fifteen civil actions in this court. The cases were coordinated for purposes of pre-trial discovery under the caption </w:t>
            </w:r>
            <w:hyperlink r:id="r129">
              <w:r>
                <w:rPr>
                  <w:rFonts w:ascii="Times New Roman" w:hAnsi="Times New Roman"/>
                  <w:i/>
                  <w:color w:val="000000"/>
                  <w:sz w:val="20"/>
                </w:rPr>
                <w:t>In re Cellular Telephone Partnership Litigation</w:t>
              </w:r>
              <w:r>
                <w:rPr>
                  <w:rFonts w:ascii="Times New Roman" w:hAnsi="Times New Roman"/>
                  <w:color w:val="000000"/>
                  <w:sz w:val="20"/>
                </w:rPr>
                <w:t>, C.A. No. 6885-VCL (the “Coordinated Action”)</w:t>
              </w:r>
            </w:hyperlink>
            <w:r>
              <w:rPr>
                <w:rFonts w:ascii="Times New Roman" w:hAnsi="Times New Roman"/>
                <w:color w:val="000000"/>
                <w:sz w:val="20"/>
              </w:rPr>
              <w:t>. By agreement, the parties subsequently conducted a coordinated trial. The court is therefore issuing this decision in the Coordinated Action.</w:t>
            </w:r>
          </w:p>
          <w:p>
            <w:pPr>
              <w:pBdr>
                <w:bottom w:val="none" w:space="8"/>
              </w:pBdr>
              <w:spacing w:before="0" w:after="0" w:line="275" w:lineRule="atLeast"/>
              <w:jc w:val="both"/>
            </w:pPr>
            <w:r>
              <w:rPr>
                <w:rFonts w:ascii="Times New Roman" w:hAnsi="Times New Roman"/>
                <w:color w:val="000000"/>
                <w:sz w:val="20"/>
              </w:rPr>
              <w:t>Five of the other partnerships have histories and governance structures that are substantially similar to the Partnership's. Those five are (1) Bremerton Cellular Telephone Company, (2) Melbourne Cellular Telephone Company, (3) Provo Cellular Telephone Company, (4) Sarasota Cellular Telephone Company, and (5) Visalia Cellular Telephone Company.</w:t>
            </w:r>
          </w:p>
          <w:p>
            <w:pPr>
              <w:pBdr>
                <w:bottom w:val="none" w:space="8"/>
              </w:pBdr>
              <w:spacing w:before="0" w:after="0" w:line="275" w:lineRule="atLeast"/>
              <w:jc w:val="both"/>
            </w:pPr>
            <w:r>
              <w:rPr>
                <w:rFonts w:ascii="Times New Roman" w:hAnsi="Times New Roman"/>
                <w:color w:val="000000"/>
                <w:sz w:val="20"/>
              </w:rPr>
              <w:t>Seven of the other partnerships have histories and governance structures that differ to varying degrees from the Partnership. Those seven are (1) Alton CellTelCo, (2) Bellingham Cellular Partnership, (3) Bloomington Cellular Telephone Company, (4) Bradenton Cellular Partnership, (5) Galveston Cellular Partnership, (6) Las Cruces Cellular Telephone Company, and (7) Reno Cellular Telephone Company.</w:t>
            </w:r>
          </w:p>
          <w:p>
            <w:pPr>
              <w:pBdr>
                <w:bottom w:val="none" w:space="8"/>
              </w:pBdr>
              <w:spacing w:before="0" w:after="0" w:line="275" w:lineRule="atLeast"/>
              <w:jc w:val="both"/>
            </w:pPr>
            <w:r>
              <w:rPr>
                <w:rFonts w:ascii="Times New Roman" w:hAnsi="Times New Roman"/>
                <w:color w:val="000000"/>
                <w:sz w:val="20"/>
              </w:rPr>
              <w:t>At times, this decision refers to the other partnerships. When referring to a specific partnership, this decision uses the name of its market. For example, a reference to “Melbourne” refers to the Melbourne Cellular Telephone Company.</w:t>
            </w:r>
          </w:p>
        </w:tc>
      </w:tr>
      <w:tr>
        <w:tblPrEx/>
        <w:trPr/>
        <w:tc>
          <w:tcPr>
            <w:vAlign w:val="top"/>
          </w:tcPr>
          <w:p>
            <w:pPr>
              <w:spacing w:before="0" w:after="0" w:line="275" w:lineRule="atLeast"/>
            </w:pPr>
            <w:bookmarkStart w:id="224" w:name="co_footnote_B00032055700832_1"/>
            <w:hyperlink w:anchor="co_fnRef_B00032055700832_ID0ENLAC_1">
              <w:r>
                <w:rPr>
                  <w:rFonts w:ascii="Times New Roman" w:hAnsi="Times New Roman"/>
                  <w:color w:val="000000"/>
                  <w:sz w:val="20"/>
                  <w:vertAlign w:val="superscript"/>
                </w:rPr>
                <w:t>3</w:t>
              </w:r>
            </w:hyperlink>
            <w:bookmarkEnd w:id="224"/>
          </w:p>
        </w:tc>
        <w:tc>
          <w:tcPr>
            <w:vAlign w:val="top"/>
          </w:tcPr>
          <w:p>
            <w:pPr>
              <w:pBdr>
                <w:bottom w:val="none" w:space="8"/>
              </w:pBdr>
              <w:spacing w:before="0" w:after="0" w:line="275" w:lineRule="atLeast"/>
              <w:jc w:val="both"/>
            </w:pPr>
            <w:r>
              <w:rPr>
                <w:rFonts w:ascii="Times New Roman" w:hAnsi="Times New Roman"/>
                <w:color w:val="000000"/>
                <w:sz w:val="20"/>
              </w:rPr>
              <w:t>Trial was held in the Coordinated Action and addressed all of the partnerships and all of the coordinated lawsuits. Unless otherwise noted, citations to docket entries refer to items filed in the Coordinated Action. Citations in the form “PTO ¶ —” refer to stipulated facts in the pre-trial order. Dkt. 600. Citations in the form “[Name] Tr.” refer to witness testimony from the trial transcript. Citations in the form “[Name] Dep.” refer to witness testimony from a deposition transcript. The parties deposed some witnesses multiple times. For those witnesses, the citation includes the year of the pertinent deposition. Citations in the form “JX — at —” refer to a trial exhibit with the page designated by the last three digits of the control or JX number or, if the document lacked a control or JX number, by the internal page number. If a trial exhibit used paragraph numbers, then references are by paragraph.</w:t>
            </w:r>
          </w:p>
          <w:p>
            <w:pPr>
              <w:pBdr>
                <w:bottom w:val="none" w:space="8"/>
              </w:pBdr>
              <w:spacing w:before="0" w:after="0" w:line="275" w:lineRule="atLeast"/>
              <w:jc w:val="both"/>
            </w:pPr>
            <w:r>
              <w:rPr>
                <w:rFonts w:ascii="Times New Roman" w:hAnsi="Times New Roman"/>
                <w:color w:val="000000"/>
                <w:sz w:val="20"/>
              </w:rPr>
              <w:t xml:space="preserve">The court issued a previous decision addressing claims for breach of contract involving the Partnership. </w:t>
            </w:r>
            <w:r>
              <w:rPr>
                <w:rFonts w:ascii="Times New Roman" w:hAnsi="Times New Roman"/>
                <w:i/>
                <w:color w:val="000000"/>
                <w:sz w:val="20"/>
              </w:rPr>
              <w:t>See Salem Contract Decision</w:t>
            </w:r>
            <w:r>
              <w:rPr>
                <w:rFonts w:ascii="Times New Roman" w:hAnsi="Times New Roman"/>
                <w:color w:val="000000"/>
                <w:sz w:val="20"/>
              </w:rPr>
              <w:t xml:space="preserve">, </w:t>
            </w:r>
            <w:hyperlink r:id="r130">
              <w:r>
                <w:rPr>
                  <w:rFonts w:ascii="Times New Roman" w:hAnsi="Times New Roman"/>
                  <w:color w:val="000000"/>
                  <w:sz w:val="20"/>
                </w:rPr>
                <w:t>2021 WL 4438046</w:t>
              </w:r>
            </w:hyperlink>
            <w:r>
              <w:rPr>
                <w:rFonts w:ascii="Times New Roman" w:hAnsi="Times New Roman"/>
                <w:color w:val="000000"/>
                <w:sz w:val="20"/>
              </w:rPr>
              <w:t xml:space="preserve">. The court's comments in that decision regarding the credibility of witnesses carry over to this decision. The court has treated the report of the Special Discovery Master in the same manner for purposes of this decision as it did in the </w:t>
            </w:r>
            <w:r>
              <w:rPr>
                <w:rFonts w:ascii="Times New Roman" w:hAnsi="Times New Roman"/>
                <w:i/>
                <w:color w:val="000000"/>
                <w:sz w:val="20"/>
              </w:rPr>
              <w:t>Salem Contract Decision.</w:t>
            </w:r>
          </w:p>
        </w:tc>
      </w:tr>
      <w:tr>
        <w:tblPrEx/>
        <w:trPr/>
        <w:tc>
          <w:tcPr>
            <w:vAlign w:val="top"/>
          </w:tcPr>
          <w:p>
            <w:pPr>
              <w:spacing w:before="0" w:after="0" w:line="275" w:lineRule="atLeast"/>
            </w:pPr>
            <w:bookmarkStart w:id="225" w:name="co_footnote_B00042055700832_1"/>
            <w:hyperlink w:anchor="co_fnRef_B00042055700832_ID0EWBAE_1">
              <w:r>
                <w:rPr>
                  <w:rFonts w:ascii="Times New Roman" w:hAnsi="Times New Roman"/>
                  <w:color w:val="000000"/>
                  <w:sz w:val="20"/>
                  <w:vertAlign w:val="superscript"/>
                </w:rPr>
                <w:t>4</w:t>
              </w:r>
            </w:hyperlink>
            <w:bookmarkEnd w:id="225"/>
          </w:p>
        </w:tc>
        <w:tc>
          <w:tcPr>
            <w:vAlign w:val="top"/>
          </w:tcPr>
          <w:p>
            <w:pPr>
              <w:pBdr>
                <w:bottom w:val="none" w:space="8"/>
              </w:pBdr>
              <w:spacing w:before="0" w:after="0" w:line="275" w:lineRule="atLeast"/>
              <w:jc w:val="both"/>
            </w:pPr>
            <w:r>
              <w:rPr>
                <w:rFonts w:ascii="Times New Roman" w:hAnsi="Times New Roman"/>
                <w:color w:val="000000"/>
                <w:sz w:val="20"/>
              </w:rPr>
              <w:t xml:space="preserve">During the period relevant to this case, Eric Wages served as one of AT&amp;T's representatives. Wages was an AT&amp;T executive who oversaw AT&amp;T's Partnership Accounting Group. The other representative was the director of AT&amp;T's regional business unit that included the Salem Market. </w:t>
            </w:r>
            <w:r>
              <w:rPr>
                <w:rFonts w:ascii="Times New Roman" w:hAnsi="Times New Roman"/>
                <w:i/>
                <w:color w:val="000000"/>
                <w:sz w:val="20"/>
              </w:rPr>
              <w:t>See</w:t>
            </w:r>
            <w:r>
              <w:rPr>
                <w:rFonts w:ascii="Times New Roman" w:hAnsi="Times New Roman"/>
                <w:color w:val="000000"/>
                <w:sz w:val="20"/>
              </w:rPr>
              <w:t xml:space="preserve"> Wages Tr. 129.</w:t>
            </w:r>
          </w:p>
          <w:p>
            <w:pPr>
              <w:pBdr>
                <w:bottom w:val="none" w:space="8"/>
              </w:pBdr>
              <w:spacing w:before="0" w:after="0" w:line="275" w:lineRule="atLeast"/>
              <w:jc w:val="both"/>
            </w:pPr>
            <w:r>
              <w:rPr>
                <w:rFonts w:ascii="Times New Roman" w:hAnsi="Times New Roman"/>
                <w:color w:val="000000"/>
                <w:sz w:val="20"/>
              </w:rPr>
              <w:t xml:space="preserve">Wages served as AT&amp;T's principal witness. As discussed in the </w:t>
            </w:r>
            <w:r>
              <w:rPr>
                <w:rFonts w:ascii="Times New Roman" w:hAnsi="Times New Roman"/>
                <w:i/>
                <w:color w:val="000000"/>
                <w:sz w:val="20"/>
              </w:rPr>
              <w:t>Salem Contract Decision</w:t>
            </w:r>
            <w:r>
              <w:rPr>
                <w:rFonts w:ascii="Times New Roman" w:hAnsi="Times New Roman"/>
                <w:color w:val="000000"/>
                <w:sz w:val="20"/>
              </w:rPr>
              <w:t xml:space="preserve">, problems with Wages’ testimony caused the court to approach his assertions with care. </w:t>
            </w:r>
            <w:r>
              <w:rPr>
                <w:rFonts w:ascii="Times New Roman" w:hAnsi="Times New Roman"/>
                <w:i/>
                <w:color w:val="000000"/>
                <w:sz w:val="20"/>
              </w:rPr>
              <w:t>See</w:t>
            </w:r>
            <w:r>
              <w:rPr>
                <w:rFonts w:ascii="Times New Roman" w:hAnsi="Times New Roman"/>
                <w:color w:val="000000"/>
                <w:sz w:val="20"/>
              </w:rPr>
              <w:t xml:space="preserve"> </w:t>
            </w:r>
            <w:hyperlink r:id="r131">
              <w:r>
                <w:rPr>
                  <w:rFonts w:ascii="Times New Roman" w:hAnsi="Times New Roman"/>
                  <w:color w:val="000000"/>
                  <w:sz w:val="20"/>
                </w:rPr>
                <w:t>2021 WL 4438046, at *5 n.6</w:t>
              </w:r>
            </w:hyperlink>
            <w:r>
              <w:rPr>
                <w:rFonts w:ascii="Times New Roman" w:hAnsi="Times New Roman"/>
                <w:color w:val="000000"/>
                <w:sz w:val="20"/>
              </w:rPr>
              <w:t>.</w:t>
            </w:r>
          </w:p>
        </w:tc>
      </w:tr>
      <w:tr>
        <w:tblPrEx/>
        <w:trPr/>
        <w:tc>
          <w:tcPr>
            <w:vAlign w:val="top"/>
          </w:tcPr>
          <w:p>
            <w:pPr>
              <w:spacing w:before="0" w:after="0" w:line="275" w:lineRule="atLeast"/>
            </w:pPr>
            <w:bookmarkStart w:id="226" w:name="co_footnote_B00052055700832_1"/>
            <w:hyperlink w:anchor="co_fnRef_B00052055700832_ID0EACAE_1">
              <w:r>
                <w:rPr>
                  <w:rFonts w:ascii="Times New Roman" w:hAnsi="Times New Roman"/>
                  <w:color w:val="000000"/>
                  <w:sz w:val="20"/>
                  <w:vertAlign w:val="superscript"/>
                </w:rPr>
                <w:t>5</w:t>
              </w:r>
            </w:hyperlink>
            <w:bookmarkEnd w:id="226"/>
          </w:p>
        </w:tc>
        <w:tc>
          <w:tcPr>
            <w:vAlign w:val="top"/>
          </w:tcPr>
          <w:p>
            <w:pPr>
              <w:pBdr>
                <w:bottom w:val="none" w:space="8"/>
              </w:pBdr>
              <w:spacing w:before="0" w:after="0" w:line="275" w:lineRule="atLeast"/>
              <w:jc w:val="both"/>
            </w:pPr>
            <w:r>
              <w:rPr>
                <w:rFonts w:ascii="Times New Roman" w:hAnsi="Times New Roman"/>
                <w:color w:val="000000"/>
                <w:sz w:val="20"/>
              </w:rPr>
              <w:t>In practice, AT&amp;T only acted through the Executive Committee on formal matters, such as authorizing a distribution to the partners. Wages Tr. 131–32, 276. AT&amp;T generally ran the business of the Partnership as an integrated part of AT&amp;T's wireless network, without seeking or obtaining Executive Committee approval for particular decisions.</w:t>
            </w:r>
          </w:p>
        </w:tc>
      </w:tr>
      <w:tr>
        <w:tblPrEx/>
        <w:trPr/>
        <w:tc>
          <w:tcPr>
            <w:vAlign w:val="top"/>
          </w:tcPr>
          <w:p>
            <w:pPr>
              <w:spacing w:before="0" w:after="0" w:line="275" w:lineRule="atLeast"/>
            </w:pPr>
            <w:bookmarkStart w:id="227" w:name="co_footnote_B00062055700832_1"/>
            <w:hyperlink w:anchor="co_fnRef_B00062055700832_ID0EAHAE_1">
              <w:r>
                <w:rPr>
                  <w:rFonts w:ascii="Times New Roman" w:hAnsi="Times New Roman"/>
                  <w:color w:val="000000"/>
                  <w:sz w:val="20"/>
                  <w:vertAlign w:val="superscript"/>
                </w:rPr>
                <w:t>6</w:t>
              </w:r>
            </w:hyperlink>
            <w:bookmarkEnd w:id="227"/>
          </w:p>
        </w:tc>
        <w:tc>
          <w:tcPr>
            <w:vAlign w:val="top"/>
          </w:tcPr>
          <w:p>
            <w:pPr>
              <w:pBdr>
                <w:bottom w:val="none" w:space="8"/>
              </w:pBdr>
              <w:spacing w:before="0" w:after="0" w:line="275" w:lineRule="atLeast"/>
              <w:jc w:val="both"/>
            </w:pPr>
            <w:r>
              <w:rPr>
                <w:rFonts w:ascii="Times New Roman" w:hAnsi="Times New Roman"/>
                <w:color w:val="000000"/>
                <w:sz w:val="20"/>
              </w:rPr>
              <w:t>The “NPA” referred to the fact that wireless carriers received blocks of 10,000 telephone numbers from the North American Number Plan Administration, a publicly funded entity run by an FCC contractor.</w:t>
            </w:r>
          </w:p>
        </w:tc>
      </w:tr>
      <w:tr>
        <w:tblPrEx/>
        <w:trPr/>
        <w:tc>
          <w:tcPr>
            <w:vAlign w:val="top"/>
          </w:tcPr>
          <w:p>
            <w:pPr>
              <w:spacing w:before="0" w:after="0" w:line="275" w:lineRule="atLeast"/>
            </w:pPr>
            <w:bookmarkStart w:id="228" w:name="co_footnote_B00072055700832_1"/>
            <w:hyperlink w:anchor="co_fnRef_B00072055700832_ID0EVKAE_1">
              <w:r>
                <w:rPr>
                  <w:rFonts w:ascii="Times New Roman" w:hAnsi="Times New Roman"/>
                  <w:color w:val="000000"/>
                  <w:sz w:val="20"/>
                  <w:vertAlign w:val="superscript"/>
                </w:rPr>
                <w:t>7</w:t>
              </w:r>
            </w:hyperlink>
            <w:bookmarkEnd w:id="228"/>
          </w:p>
        </w:tc>
        <w:tc>
          <w:tcPr>
            <w:vAlign w:val="top"/>
          </w:tcPr>
          <w:p>
            <w:pPr>
              <w:pBdr>
                <w:bottom w:val="none" w:space="8"/>
              </w:pBdr>
              <w:spacing w:before="0" w:after="0" w:line="275" w:lineRule="atLeast"/>
              <w:jc w:val="both"/>
            </w:pPr>
            <w:r>
              <w:rPr>
                <w:rFonts w:ascii="Times New Roman" w:hAnsi="Times New Roman"/>
                <w:color w:val="000000"/>
                <w:sz w:val="20"/>
              </w:rPr>
              <w:t>That said, the system was not foolproof. For example, a college student with an NPA-NXX number associated with her family's home market might use her phone in a different market while attending college. Or a “snowbird” with an NPA-NXX number associated with New York might use her phone in Florida during the winter. The NPA-NXX system nevertheless generally operated as a reliable proxy for principal place of use.</w:t>
            </w:r>
          </w:p>
        </w:tc>
      </w:tr>
      <w:tr>
        <w:tblPrEx/>
        <w:trPr/>
        <w:tc>
          <w:tcPr>
            <w:vAlign w:val="top"/>
          </w:tcPr>
          <w:p>
            <w:pPr>
              <w:spacing w:before="0" w:after="0" w:line="275" w:lineRule="atLeast"/>
            </w:pPr>
            <w:bookmarkStart w:id="229" w:name="co_footnote_B00082055700832_1"/>
            <w:hyperlink w:anchor="co_fnRef_B00082055700832_ID0E5DAG_1">
              <w:r>
                <w:rPr>
                  <w:rFonts w:ascii="Times New Roman" w:hAnsi="Times New Roman"/>
                  <w:color w:val="000000"/>
                  <w:sz w:val="20"/>
                  <w:vertAlign w:val="superscript"/>
                </w:rPr>
                <w:t>8</w:t>
              </w:r>
            </w:hyperlink>
            <w:bookmarkEnd w:id="229"/>
          </w:p>
        </w:tc>
        <w:tc>
          <w:tcPr>
            <w:vAlign w:val="top"/>
          </w:tcPr>
          <w:p>
            <w:pPr>
              <w:pBdr>
                <w:bottom w:val="none" w:space="8"/>
              </w:pBdr>
              <w:spacing w:before="0" w:after="0" w:line="275" w:lineRule="atLeast"/>
              <w:jc w:val="both"/>
            </w:pPr>
            <w:r>
              <w:rPr>
                <w:rFonts w:ascii="Times New Roman" w:hAnsi="Times New Roman"/>
                <w:color w:val="000000"/>
                <w:sz w:val="20"/>
              </w:rPr>
              <w:t xml:space="preserve">“OIBDA” is an acronym for “operating income before depreciation and amortization.” </w:t>
            </w:r>
            <w:r>
              <w:rPr>
                <w:rFonts w:ascii="Times New Roman" w:hAnsi="Times New Roman"/>
                <w:i/>
                <w:color w:val="000000"/>
                <w:sz w:val="20"/>
              </w:rPr>
              <w:t>See</w:t>
            </w:r>
            <w:r>
              <w:rPr>
                <w:rFonts w:ascii="Times New Roman" w:hAnsi="Times New Roman"/>
                <w:color w:val="000000"/>
                <w:sz w:val="20"/>
              </w:rPr>
              <w:t xml:space="preserve"> Teske Tr. 583. It is “essentially the same” as EBITDA. </w:t>
            </w:r>
            <w:r>
              <w:rPr>
                <w:rFonts w:ascii="Times New Roman" w:hAnsi="Times New Roman"/>
                <w:i/>
                <w:color w:val="000000"/>
                <w:sz w:val="20"/>
              </w:rPr>
              <w:t>Id.</w:t>
            </w:r>
            <w:r>
              <w:rPr>
                <w:rFonts w:ascii="Times New Roman" w:hAnsi="Times New Roman"/>
                <w:color w:val="000000"/>
                <w:sz w:val="20"/>
              </w:rPr>
              <w:t xml:space="preserve"> at 584.</w:t>
            </w:r>
          </w:p>
        </w:tc>
      </w:tr>
      <w:tr>
        <w:tblPrEx/>
        <w:trPr/>
        <w:tc>
          <w:tcPr>
            <w:vAlign w:val="top"/>
          </w:tcPr>
          <w:p>
            <w:pPr>
              <w:spacing w:before="0" w:after="0" w:line="275" w:lineRule="atLeast"/>
            </w:pPr>
            <w:bookmarkStart w:id="230" w:name="co_footnote_B00092055700832_1"/>
            <w:hyperlink w:anchor="co_fnRef_B00092055700832_ID0EGLBG_1">
              <w:r>
                <w:rPr>
                  <w:rFonts w:ascii="Times New Roman" w:hAnsi="Times New Roman"/>
                  <w:color w:val="000000"/>
                  <w:sz w:val="20"/>
                  <w:vertAlign w:val="superscript"/>
                </w:rPr>
                <w:t>9</w:t>
              </w:r>
            </w:hyperlink>
            <w:bookmarkEnd w:id="230"/>
          </w:p>
        </w:tc>
        <w:tc>
          <w:tcPr>
            <w:vAlign w:val="top"/>
          </w:tcPr>
          <w:p>
            <w:pPr>
              <w:pBdr>
                <w:bottom w:val="none" w:space="8"/>
              </w:pBdr>
              <w:spacing w:before="0" w:after="0" w:line="275" w:lineRule="atLeast"/>
              <w:jc w:val="both"/>
            </w:pPr>
            <w:r>
              <w:rPr>
                <w:rFonts w:ascii="Times New Roman" w:hAnsi="Times New Roman"/>
                <w:color w:val="000000"/>
                <w:sz w:val="20"/>
              </w:rPr>
              <w:t xml:space="preserve">Duff &amp; Phelps valued AT&amp;T's spectrum licenses as a single asset for goodwill impairment purposes. The valuation process involved a variant of a discounted cash flow (“DCF”) analysis. JX 3551 at 4. AT&amp;T then compared the Duff &amp; Phelps’ valuation to the book value of the spectrum licenses. The process thus implicitly valued the spectrum owned by market-level entities, such as the Partnership. </w:t>
            </w:r>
            <w:r>
              <w:rPr>
                <w:rFonts w:ascii="Times New Roman" w:hAnsi="Times New Roman"/>
                <w:i/>
                <w:color w:val="000000"/>
                <w:sz w:val="20"/>
              </w:rPr>
              <w:t>See</w:t>
            </w:r>
            <w:r>
              <w:rPr>
                <w:rFonts w:ascii="Times New Roman" w:hAnsi="Times New Roman"/>
                <w:color w:val="000000"/>
                <w:sz w:val="20"/>
              </w:rPr>
              <w:t xml:space="preserve"> Stephens Tr. 68–69. AT&amp;T's CFO certified the accuracy of the impairment test in AT&amp;T's securities filings.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i/>
                <w:color w:val="000000"/>
                <w:sz w:val="20"/>
              </w:rPr>
              <w:t>id.</w:t>
            </w:r>
            <w:r>
              <w:rPr>
                <w:rFonts w:ascii="Times New Roman" w:hAnsi="Times New Roman"/>
                <w:color w:val="000000"/>
                <w:sz w:val="20"/>
              </w:rPr>
              <w:t xml:space="preserve"> at 67–68.</w:t>
            </w:r>
          </w:p>
        </w:tc>
      </w:tr>
      <w:tr>
        <w:tblPrEx/>
        <w:trPr/>
        <w:tc>
          <w:tcPr>
            <w:vAlign w:val="top"/>
          </w:tcPr>
          <w:p>
            <w:pPr>
              <w:spacing w:before="0" w:after="0" w:line="275" w:lineRule="atLeast"/>
            </w:pPr>
            <w:bookmarkStart w:id="231" w:name="co_footnote_B00102055700832_1"/>
            <w:hyperlink w:anchor="co_fnRef_B00102055700832_ID0EQQBG_1">
              <w:r>
                <w:rPr>
                  <w:rFonts w:ascii="Times New Roman" w:hAnsi="Times New Roman"/>
                  <w:color w:val="000000"/>
                  <w:sz w:val="20"/>
                  <w:vertAlign w:val="superscript"/>
                </w:rPr>
                <w:t>10</w:t>
              </w:r>
            </w:hyperlink>
            <w:bookmarkEnd w:id="231"/>
          </w:p>
        </w:tc>
        <w:tc>
          <w:tcPr>
            <w:vAlign w:val="top"/>
          </w:tcPr>
          <w:p>
            <w:pPr>
              <w:pBdr>
                <w:bottom w:val="none" w:space="8"/>
              </w:pBdr>
              <w:spacing w:before="0" w:after="0" w:line="275" w:lineRule="atLeast"/>
              <w:jc w:val="both"/>
            </w:pPr>
            <w:r>
              <w:rPr>
                <w:rFonts w:ascii="Times New Roman" w:hAnsi="Times New Roman"/>
                <w:color w:val="000000"/>
                <w:sz w:val="20"/>
              </w:rPr>
              <w:t>AT&amp;T has attempted to argue that its actual performance mirrored the Ten-Year Plan, making the Ten-Year Plan more reliable. That is classic hindsight bias. As the plaintiffs correctly point out, a wide range of causes and conditions contributed to AT&amp;T's real-world performance over that ten year period. At the time of the Freeze-Out, the Three-Year Plan provided a more reliable projection of AT&amp;T's future than the Ten-Year Plan.</w:t>
            </w:r>
          </w:p>
          <w:p>
            <w:pPr>
              <w:pBdr>
                <w:bottom w:val="none" w:space="8"/>
              </w:pBdr>
              <w:spacing w:before="0" w:after="0" w:line="275" w:lineRule="atLeast"/>
              <w:jc w:val="both"/>
            </w:pPr>
            <w:r>
              <w:rPr>
                <w:rFonts w:ascii="Times New Roman" w:hAnsi="Times New Roman"/>
                <w:color w:val="000000"/>
                <w:sz w:val="20"/>
              </w:rPr>
              <w:t>The plaintiffs ask the court to disregard the Ten-Year Plan entirely. They argue that the Ten-Year Plan was created for AT&amp;T's asset impairment testing, which the plaintiffs contend was an inherently conservative exercise designed to produce stable valuations for AT&amp;T's spectrum licenses. That argument was not persuasive. The Ten-Year Plan was a legitimate planning document that can provide insight into AT&amp;T's views for the years beyond 2013.</w:t>
            </w:r>
          </w:p>
        </w:tc>
      </w:tr>
      <w:tr>
        <w:tblPrEx/>
        <w:trPr/>
        <w:tc>
          <w:tcPr>
            <w:vAlign w:val="top"/>
          </w:tcPr>
          <w:p>
            <w:pPr>
              <w:spacing w:before="0" w:after="0" w:line="275" w:lineRule="atLeast"/>
            </w:pPr>
            <w:bookmarkStart w:id="232" w:name="co_footnote_B00112055700832_1"/>
            <w:hyperlink w:anchor="co_fnRef_B00112055700832_ID0E4DAI_1">
              <w:r>
                <w:rPr>
                  <w:rFonts w:ascii="Times New Roman" w:hAnsi="Times New Roman"/>
                  <w:color w:val="000000"/>
                  <w:sz w:val="20"/>
                  <w:vertAlign w:val="superscript"/>
                </w:rPr>
                <w:t>11</w:t>
              </w:r>
            </w:hyperlink>
            <w:bookmarkEnd w:id="232"/>
          </w:p>
        </w:tc>
        <w:tc>
          <w:tcPr>
            <w:vAlign w:val="top"/>
          </w:tcPr>
          <w:p>
            <w:pPr>
              <w:pBdr>
                <w:bottom w:val="none" w:space="8"/>
              </w:pBdr>
              <w:spacing w:before="0" w:after="0" w:line="275" w:lineRule="atLeast"/>
              <w:jc w:val="both"/>
            </w:pPr>
            <w:r>
              <w:rPr>
                <w:rFonts w:ascii="Times New Roman" w:hAnsi="Times New Roman"/>
                <w:i/>
                <w:color w:val="000000"/>
                <w:sz w:val="20"/>
              </w:rPr>
              <w:t>Compare</w:t>
            </w:r>
            <w:r>
              <w:rPr>
                <w:rFonts w:ascii="Times New Roman" w:hAnsi="Times New Roman"/>
                <w:color w:val="000000"/>
                <w:sz w:val="20"/>
              </w:rPr>
              <w:t xml:space="preserve"> JX 1872b, “Incollect Costs - DATA” tab, at Cells G163:H163 (AT&amp;T charged the Partnership $0.00004276593 and $0.00004251361 per kilobyte in July and August 2010, respectively, for intra-carrier data roaming), </w:t>
            </w:r>
            <w:r>
              <w:rPr>
                <w:rFonts w:ascii="Times New Roman" w:hAnsi="Times New Roman"/>
                <w:i/>
                <w:color w:val="000000"/>
                <w:sz w:val="20"/>
              </w:rPr>
              <w:t>with</w:t>
            </w:r>
            <w:r>
              <w:rPr>
                <w:rFonts w:ascii="Times New Roman" w:hAnsi="Times New Roman"/>
                <w:color w:val="000000"/>
                <w:sz w:val="20"/>
              </w:rPr>
              <w:t xml:space="preserve"> </w:t>
            </w:r>
            <w:r>
              <w:rPr>
                <w:rFonts w:ascii="Times New Roman" w:hAnsi="Times New Roman"/>
                <w:i/>
                <w:color w:val="000000"/>
                <w:sz w:val="20"/>
              </w:rPr>
              <w:t>id.</w:t>
            </w:r>
            <w:r>
              <w:rPr>
                <w:rFonts w:ascii="Times New Roman" w:hAnsi="Times New Roman"/>
                <w:color w:val="000000"/>
                <w:sz w:val="20"/>
              </w:rPr>
              <w:t>, “Outcollect Revenue - DATA” tab, at Cells G163:H163 (AT&amp;T paid the Partnership $0.0000423005 and $0.0000423336 in July and August 2010, respectively, for intra-carrier data roaming).</w:t>
            </w:r>
          </w:p>
        </w:tc>
      </w:tr>
      <w:tr>
        <w:tblPrEx/>
        <w:trPr/>
        <w:tc>
          <w:tcPr>
            <w:vAlign w:val="top"/>
          </w:tcPr>
          <w:p>
            <w:pPr>
              <w:spacing w:before="0" w:after="0" w:line="275" w:lineRule="atLeast"/>
            </w:pPr>
            <w:bookmarkStart w:id="233" w:name="co_footnote_B00122055700832_1"/>
            <w:hyperlink w:anchor="co_fnRef_B00122055700832_ID0EPGAI_1">
              <w:r>
                <w:rPr>
                  <w:rFonts w:ascii="Times New Roman" w:hAnsi="Times New Roman"/>
                  <w:color w:val="000000"/>
                  <w:sz w:val="20"/>
                  <w:vertAlign w:val="superscript"/>
                </w:rPr>
                <w:t>12</w:t>
              </w:r>
            </w:hyperlink>
            <w:bookmarkEnd w:id="233"/>
          </w:p>
        </w:tc>
        <w:tc>
          <w:tcPr>
            <w:vAlign w:val="top"/>
          </w:tcPr>
          <w:p>
            <w:pPr>
              <w:pBdr>
                <w:bottom w:val="none" w:space="8"/>
              </w:pBdr>
              <w:spacing w:before="0" w:after="0" w:line="275" w:lineRule="atLeast"/>
              <w:jc w:val="both"/>
            </w:pPr>
            <w:r>
              <w:rPr>
                <w:rFonts w:ascii="Times New Roman" w:hAnsi="Times New Roman"/>
                <w:color w:val="000000"/>
                <w:sz w:val="20"/>
              </w:rPr>
              <w:t>These figures are obviously much lower than the 110 minority partners who held a 49.9% minority interest when the Partnership was formed. The record does not provide detailed information about the changes.</w:t>
            </w:r>
          </w:p>
        </w:tc>
      </w:tr>
      <w:tr>
        <w:tblPrEx/>
        <w:trPr/>
        <w:tc>
          <w:tcPr>
            <w:vAlign w:val="top"/>
          </w:tcPr>
          <w:p>
            <w:pPr>
              <w:spacing w:before="0" w:after="0" w:line="275" w:lineRule="atLeast"/>
            </w:pPr>
            <w:bookmarkStart w:id="234" w:name="co_footnote_B00132055700832_1"/>
            <w:hyperlink w:anchor="co_fnRef_B00132055700832_ID0EKOBI_1">
              <w:r>
                <w:rPr>
                  <w:rFonts w:ascii="Times New Roman" w:hAnsi="Times New Roman"/>
                  <w:color w:val="000000"/>
                  <w:sz w:val="20"/>
                  <w:vertAlign w:val="superscript"/>
                </w:rPr>
                <w:t>13</w:t>
              </w:r>
            </w:hyperlink>
            <w:bookmarkEnd w:id="234"/>
          </w:p>
        </w:tc>
        <w:tc>
          <w:tcPr>
            <w:vAlign w:val="top"/>
          </w:tcPr>
          <w:p>
            <w:pPr>
              <w:pBdr>
                <w:bottom w:val="none" w:space="8"/>
              </w:pBdr>
              <w:spacing w:before="0" w:after="0" w:line="275" w:lineRule="atLeast"/>
              <w:jc w:val="both"/>
            </w:pPr>
            <w:r>
              <w:rPr>
                <w:rFonts w:ascii="Times New Roman" w:hAnsi="Times New Roman"/>
                <w:i/>
                <w:color w:val="000000"/>
                <w:sz w:val="20"/>
              </w:rPr>
              <w:t>See, e.g.</w:t>
            </w:r>
            <w:r>
              <w:rPr>
                <w:rFonts w:ascii="Times New Roman" w:hAnsi="Times New Roman"/>
                <w:color w:val="000000"/>
                <w:sz w:val="20"/>
              </w:rPr>
              <w:t>, JX 344 at 11 (buyout presentation slide calculating the “DCF Value of Avoided Distributions”); JX 616 at ’952 (AT&amp;T analyzing the growth in minority distribution streams as a benefit of pursuing buyouts); JX 1473 (same); JX 616 at ’951 (valuing the “[e]limination of distribution payment stream”); JX 3514 at ’575 (citing benefit of “[d]ecreased distribution payment stream”).</w:t>
            </w:r>
          </w:p>
        </w:tc>
      </w:tr>
      <w:tr>
        <w:tblPrEx/>
        <w:trPr/>
        <w:tc>
          <w:tcPr>
            <w:vAlign w:val="top"/>
          </w:tcPr>
          <w:p>
            <w:pPr>
              <w:spacing w:before="0" w:after="0" w:line="275" w:lineRule="atLeast"/>
            </w:pPr>
            <w:bookmarkStart w:id="235" w:name="co_footnote_B00142055700832_1"/>
            <w:hyperlink w:anchor="co_fnRef_B00142055700832_ID0E3VBI_1">
              <w:r>
                <w:rPr>
                  <w:rFonts w:ascii="Times New Roman" w:hAnsi="Times New Roman"/>
                  <w:color w:val="000000"/>
                  <w:sz w:val="20"/>
                  <w:vertAlign w:val="superscript"/>
                </w:rPr>
                <w:t>14</w:t>
              </w:r>
            </w:hyperlink>
            <w:bookmarkEnd w:id="235"/>
          </w:p>
        </w:tc>
        <w:tc>
          <w:tcPr>
            <w:vAlign w:val="top"/>
          </w:tcPr>
          <w:p>
            <w:pPr>
              <w:pBdr>
                <w:bottom w:val="none" w:space="8"/>
              </w:pBdr>
              <w:spacing w:before="0" w:after="0" w:line="275" w:lineRule="atLeast"/>
              <w:jc w:val="both"/>
            </w:pPr>
            <w:r>
              <w:rPr>
                <w:rFonts w:ascii="Times New Roman" w:hAnsi="Times New Roman"/>
                <w:i/>
                <w:color w:val="000000"/>
                <w:sz w:val="20"/>
              </w:rPr>
              <w:t>Cf.</w:t>
            </w:r>
            <w:r>
              <w:rPr>
                <w:rFonts w:ascii="Times New Roman" w:hAnsi="Times New Roman"/>
                <w:color w:val="000000"/>
                <w:sz w:val="20"/>
              </w:rPr>
              <w:t xml:space="preserve"> </w:t>
            </w:r>
            <w:hyperlink r:id="r132">
              <w:r>
                <w:rPr>
                  <w:rFonts w:ascii="Times New Roman" w:hAnsi="Times New Roman"/>
                  <w:i/>
                  <w:color w:val="000000"/>
                  <w:sz w:val="20"/>
                </w:rPr>
                <w:t>S. Muoio &amp; Co. LLC v. Hallmark Ent. Invs. Co.</w:t>
              </w:r>
              <w:r>
                <w:rPr>
                  <w:rFonts w:ascii="Times New Roman" w:hAnsi="Times New Roman"/>
                  <w:color w:val="000000"/>
                  <w:sz w:val="20"/>
                </w:rPr>
                <w:t>, 2011 WL 863007, at *9–10 &amp; n.73 (Del. Ch. Mar. 9, 2011)</w:t>
              </w:r>
            </w:hyperlink>
            <w:r>
              <w:rPr>
                <w:rFonts w:ascii="Times New Roman" w:hAnsi="Times New Roman"/>
                <w:color w:val="000000"/>
                <w:sz w:val="20"/>
              </w:rPr>
              <w:t xml:space="preserve"> (holding process was entirely fair where, among other things, “the Special Committee was independent, fully informed, and ... negotiated ... at arm's length.”), </w:t>
            </w:r>
            <w:r>
              <w:rPr>
                <w:rFonts w:ascii="Times New Roman" w:hAnsi="Times New Roman"/>
                <w:i/>
                <w:color w:val="000000"/>
                <w:sz w:val="20"/>
              </w:rPr>
              <w:t>aff'd</w:t>
            </w:r>
            <w:r>
              <w:rPr>
                <w:rFonts w:ascii="Times New Roman" w:hAnsi="Times New Roman"/>
                <w:color w:val="000000"/>
                <w:sz w:val="20"/>
              </w:rPr>
              <w:t xml:space="preserve">, </w:t>
            </w:r>
            <w:hyperlink r:id="r133">
              <w:r>
                <w:rPr>
                  <w:rFonts w:ascii="Times New Roman" w:hAnsi="Times New Roman"/>
                  <w:color w:val="000000"/>
                  <w:sz w:val="20"/>
                </w:rPr>
                <w:t>35 A.3d 419 (Del. 2011)</w:t>
              </w:r>
            </w:hyperlink>
            <w:r>
              <w:rPr>
                <w:rFonts w:ascii="Times New Roman" w:hAnsi="Times New Roman"/>
                <w:color w:val="000000"/>
                <w:sz w:val="20"/>
              </w:rPr>
              <w:t xml:space="preserve"> (TABLE); </w:t>
            </w:r>
            <w:hyperlink r:id="r134">
              <w:r>
                <w:rPr>
                  <w:rFonts w:ascii="Times New Roman" w:hAnsi="Times New Roman"/>
                  <w:i/>
                  <w:color w:val="000000"/>
                  <w:sz w:val="20"/>
                </w:rPr>
                <w:t>In re John Q. Hammons Hotels Inc. S'holder Litig.</w:t>
              </w:r>
              <w:r>
                <w:rPr>
                  <w:rFonts w:ascii="Times New Roman" w:hAnsi="Times New Roman"/>
                  <w:color w:val="000000"/>
                  <w:sz w:val="20"/>
                </w:rPr>
                <w:t>, 2011 WL 227634, at *2–3 (Del. Ch. Jan. 14, 2011)</w:t>
              </w:r>
            </w:hyperlink>
            <w:r>
              <w:rPr>
                <w:rFonts w:ascii="Times New Roman" w:hAnsi="Times New Roman"/>
                <w:color w:val="000000"/>
                <w:sz w:val="20"/>
              </w:rPr>
              <w:t xml:space="preserve"> (noting that use of “independent and disinterested” special committee that had a “duty to reject any offer that was not fair to the unaffiliated stockholders” supported finding that process was entirely fair); </w:t>
            </w:r>
            <w:hyperlink r:id="r135">
              <w:r>
                <w:rPr>
                  <w:rFonts w:ascii="Times New Roman" w:hAnsi="Times New Roman"/>
                  <w:i/>
                  <w:color w:val="000000"/>
                  <w:sz w:val="20"/>
                </w:rPr>
                <w:t>In re Cysive, Inc. S'holders Litig.</w:t>
              </w:r>
              <w:r>
                <w:rPr>
                  <w:rFonts w:ascii="Times New Roman" w:hAnsi="Times New Roman"/>
                  <w:color w:val="000000"/>
                  <w:sz w:val="20"/>
                </w:rPr>
                <w:t>, 836 A.2d 531, 553–56 (Del. Ch. 2003)</w:t>
              </w:r>
            </w:hyperlink>
            <w:r>
              <w:rPr>
                <w:rFonts w:ascii="Times New Roman" w:hAnsi="Times New Roman"/>
                <w:color w:val="000000"/>
                <w:sz w:val="20"/>
              </w:rPr>
              <w:t xml:space="preserve"> (observing that use of independent committee who “negotiated ... aggressively” and “retained the flexibility to abandon the [agreement] in favor of a better deal” supported finding that process was entirely fair); </w:t>
            </w:r>
            <w:r>
              <w:rPr>
                <w:rFonts w:ascii="Times New Roman" w:hAnsi="Times New Roman"/>
                <w:i/>
                <w:color w:val="000000"/>
                <w:sz w:val="20"/>
              </w:rPr>
              <w:t>see also Ams.</w:t>
            </w:r>
            <w:r>
              <w:rPr>
                <w:rFonts w:ascii="Times New Roman" w:hAnsi="Times New Roman"/>
                <w:color w:val="000000"/>
                <w:sz w:val="20"/>
              </w:rPr>
              <w:t xml:space="preserve"> </w:t>
            </w:r>
            <w:hyperlink r:id="r136">
              <w:r>
                <w:rPr>
                  <w:rFonts w:ascii="Times New Roman" w:hAnsi="Times New Roman"/>
                  <w:i/>
                  <w:color w:val="000000"/>
                  <w:sz w:val="20"/>
                </w:rPr>
                <w:t>Mining Corp. v. Theriault</w:t>
              </w:r>
              <w:r>
                <w:rPr>
                  <w:rFonts w:ascii="Times New Roman" w:hAnsi="Times New Roman"/>
                  <w:color w:val="000000"/>
                  <w:sz w:val="20"/>
                </w:rPr>
                <w:t>, 51 A.3d 1213, 1243–44 (Del. 2012)</w:t>
              </w:r>
            </w:hyperlink>
            <w:r>
              <w:rPr>
                <w:rFonts w:ascii="Times New Roman" w:hAnsi="Times New Roman"/>
                <w:color w:val="000000"/>
                <w:sz w:val="20"/>
              </w:rPr>
              <w:t xml:space="preserve"> (“[J]udicial review for entire fairness of how the transaction was structured, negotiated, disclosed to the directors, and approved by the directors will be significantly influenced by the work product of a properly functioning special committee of independent directors.”).</w:t>
            </w:r>
          </w:p>
        </w:tc>
      </w:tr>
      <w:tr>
        <w:tblPrEx/>
        <w:trPr/>
        <w:tc>
          <w:tcPr>
            <w:vAlign w:val="top"/>
          </w:tcPr>
          <w:p>
            <w:pPr>
              <w:spacing w:before="0" w:after="0" w:line="275" w:lineRule="atLeast"/>
            </w:pPr>
            <w:bookmarkStart w:id="236" w:name="co_footnote_B00152055700832_1"/>
            <w:hyperlink w:anchor="co_fnRef_B00152055700832_ID0E31BI_1">
              <w:r>
                <w:rPr>
                  <w:rFonts w:ascii="Times New Roman" w:hAnsi="Times New Roman"/>
                  <w:color w:val="000000"/>
                  <w:sz w:val="20"/>
                  <w:vertAlign w:val="superscript"/>
                </w:rPr>
                <w:t>15</w:t>
              </w:r>
            </w:hyperlink>
            <w:bookmarkEnd w:id="236"/>
          </w:p>
        </w:tc>
        <w:tc>
          <w:tcPr>
            <w:vAlign w:val="top"/>
          </w:tcPr>
          <w:p>
            <w:pPr>
              <w:pBdr>
                <w:bottom w:val="none" w:space="8"/>
              </w:pBdr>
              <w:spacing w:before="0" w:after="0" w:line="275" w:lineRule="atLeast"/>
              <w:jc w:val="both"/>
            </w:pPr>
            <w:r>
              <w:rPr>
                <w:rFonts w:ascii="Times New Roman" w:hAnsi="Times New Roman"/>
                <w:i/>
                <w:color w:val="000000"/>
                <w:sz w:val="20"/>
              </w:rPr>
              <w:t>See</w:t>
            </w:r>
            <w:r>
              <w:rPr>
                <w:rFonts w:ascii="Times New Roman" w:hAnsi="Times New Roman"/>
                <w:color w:val="000000"/>
                <w:sz w:val="20"/>
              </w:rPr>
              <w:t xml:space="preserve"> </w:t>
            </w:r>
            <w:hyperlink r:id="r137">
              <w:r>
                <w:rPr>
                  <w:rFonts w:ascii="Times New Roman" w:hAnsi="Times New Roman"/>
                  <w:i/>
                  <w:color w:val="000000"/>
                  <w:sz w:val="20"/>
                </w:rPr>
                <w:t>Hallmark</w:t>
              </w:r>
              <w:r>
                <w:rPr>
                  <w:rFonts w:ascii="Times New Roman" w:hAnsi="Times New Roman"/>
                  <w:color w:val="000000"/>
                  <w:sz w:val="20"/>
                </w:rPr>
                <w:t>, 2011 WL 863007, at *15</w:t>
              </w:r>
            </w:hyperlink>
            <w:r>
              <w:rPr>
                <w:rFonts w:ascii="Times New Roman" w:hAnsi="Times New Roman"/>
                <w:color w:val="000000"/>
                <w:sz w:val="20"/>
              </w:rPr>
              <w:t xml:space="preserve"> (considering absence of majority-of-the-minority vote but holding transaction process was fair when special committee “dropped the majority-of-the-minority condition near the end of the negotiations, in exchange for other favorable concessions”); </w:t>
            </w:r>
            <w:hyperlink r:id="r138">
              <w:r>
                <w:rPr>
                  <w:rFonts w:ascii="Times New Roman" w:hAnsi="Times New Roman"/>
                  <w:i/>
                  <w:color w:val="000000"/>
                  <w:sz w:val="20"/>
                </w:rPr>
                <w:t>Van de Walle v. Unimation, Inc.</w:t>
              </w:r>
              <w:r>
                <w:rPr>
                  <w:rFonts w:ascii="Times New Roman" w:hAnsi="Times New Roman"/>
                  <w:color w:val="000000"/>
                  <w:sz w:val="20"/>
                </w:rPr>
                <w:t>, 1991 WL 29303, at *14 (Del. Ch. Mar. 7, 1991)</w:t>
              </w:r>
            </w:hyperlink>
            <w:r>
              <w:rPr>
                <w:rFonts w:ascii="Times New Roman" w:hAnsi="Times New Roman"/>
                <w:color w:val="000000"/>
                <w:sz w:val="20"/>
              </w:rPr>
              <w:t xml:space="preserve"> (considering absence of majority-of-the-minority vote and holding that process was fair in part because “a majority of the minority shares actually voted” were voted in favor of transaction); </w:t>
            </w:r>
            <w:hyperlink r:id="r139">
              <w:r>
                <w:rPr>
                  <w:rFonts w:ascii="Times New Roman" w:hAnsi="Times New Roman"/>
                  <w:i/>
                  <w:color w:val="000000"/>
                  <w:sz w:val="20"/>
                </w:rPr>
                <w:t>Jedwab v. MGM Grand Hotels, Inc.</w:t>
              </w:r>
              <w:r>
                <w:rPr>
                  <w:rFonts w:ascii="Times New Roman" w:hAnsi="Times New Roman"/>
                  <w:color w:val="000000"/>
                  <w:sz w:val="20"/>
                </w:rPr>
                <w:t>, 509 A.2d 584, 599–600 (Del. Ch. 1986)</w:t>
              </w:r>
            </w:hyperlink>
            <w:r>
              <w:rPr>
                <w:rFonts w:ascii="Times New Roman" w:hAnsi="Times New Roman"/>
                <w:color w:val="000000"/>
                <w:sz w:val="20"/>
              </w:rPr>
              <w:t xml:space="preserve"> (citing absence of majority-of-the-minority vote and independent committee approval as “pertinent factors in assessing whether fairness was accorded to the minority” but which were outweighed by other indicia of fairness).</w:t>
            </w:r>
          </w:p>
        </w:tc>
      </w:tr>
      <w:tr>
        <w:tblPrEx/>
        <w:trPr/>
        <w:tc>
          <w:tcPr>
            <w:vAlign w:val="top"/>
          </w:tcPr>
          <w:p>
            <w:pPr>
              <w:spacing w:before="0" w:after="0" w:line="275" w:lineRule="atLeast"/>
            </w:pPr>
            <w:bookmarkStart w:id="237" w:name="co_footnote_B00162055700832_1"/>
            <w:hyperlink w:anchor="co_fnRef_B00162055700832_ID0E1ECI_1">
              <w:r>
                <w:rPr>
                  <w:rFonts w:ascii="Times New Roman" w:hAnsi="Times New Roman"/>
                  <w:color w:val="000000"/>
                  <w:sz w:val="20"/>
                  <w:vertAlign w:val="superscript"/>
                </w:rPr>
                <w:t>16</w:t>
              </w:r>
            </w:hyperlink>
            <w:bookmarkEnd w:id="237"/>
          </w:p>
        </w:tc>
        <w:tc>
          <w:tcPr>
            <w:vAlign w:val="top"/>
          </w:tcPr>
          <w:p>
            <w:pPr>
              <w:pBdr>
                <w:bottom w:val="none" w:space="8"/>
              </w:pBdr>
              <w:spacing w:before="0" w:after="0" w:line="275" w:lineRule="atLeast"/>
              <w:jc w:val="both"/>
            </w:pPr>
            <w:r>
              <w:rPr>
                <w:rFonts w:ascii="Times New Roman" w:hAnsi="Times New Roman"/>
                <w:i/>
                <w:color w:val="000000"/>
                <w:sz w:val="20"/>
              </w:rPr>
              <w:t>See</w:t>
            </w:r>
            <w:r>
              <w:rPr>
                <w:rFonts w:ascii="Times New Roman" w:hAnsi="Times New Roman"/>
                <w:color w:val="000000"/>
                <w:sz w:val="20"/>
              </w:rPr>
              <w:t xml:space="preserve"> </w:t>
            </w:r>
            <w:hyperlink r:id="r140">
              <w:r>
                <w:rPr>
                  <w:rFonts w:ascii="Times New Roman" w:hAnsi="Times New Roman"/>
                  <w:i/>
                  <w:color w:val="000000"/>
                  <w:sz w:val="20"/>
                </w:rPr>
                <w:t>Hallmark</w:t>
              </w:r>
              <w:r>
                <w:rPr>
                  <w:rFonts w:ascii="Times New Roman" w:hAnsi="Times New Roman"/>
                  <w:color w:val="000000"/>
                  <w:sz w:val="20"/>
                </w:rPr>
                <w:t>, 2011 WL 863007, at *13–15</w:t>
              </w:r>
            </w:hyperlink>
            <w:r>
              <w:rPr>
                <w:rFonts w:ascii="Times New Roman" w:hAnsi="Times New Roman"/>
                <w:color w:val="000000"/>
                <w:sz w:val="20"/>
              </w:rPr>
              <w:t xml:space="preserve"> (independent committee's use of valuations and transaction advice by “two independent financial advisors” supported finding that process was fair); </w:t>
            </w:r>
            <w:hyperlink r:id="r141">
              <w:r>
                <w:rPr>
                  <w:rFonts w:ascii="Times New Roman" w:hAnsi="Times New Roman"/>
                  <w:i/>
                  <w:color w:val="000000"/>
                  <w:sz w:val="20"/>
                </w:rPr>
                <w:t>Gesoff</w:t>
              </w:r>
              <w:r>
                <w:rPr>
                  <w:rFonts w:ascii="Times New Roman" w:hAnsi="Times New Roman"/>
                  <w:color w:val="000000"/>
                  <w:sz w:val="20"/>
                </w:rPr>
                <w:t>, 902 A.2d at 1147</w:t>
              </w:r>
            </w:hyperlink>
            <w:r>
              <w:rPr>
                <w:rFonts w:ascii="Times New Roman" w:hAnsi="Times New Roman"/>
                <w:color w:val="000000"/>
                <w:sz w:val="20"/>
              </w:rPr>
              <w:t xml:space="preserve"> (“As has been repeatedly held, special committee members should have access to knowledgeable and independent advisors, including legal and financial advisors.”); </w:t>
            </w:r>
            <w:hyperlink r:id="r142">
              <w:r>
                <w:rPr>
                  <w:rFonts w:ascii="Times New Roman" w:hAnsi="Times New Roman"/>
                  <w:i/>
                  <w:color w:val="000000"/>
                  <w:sz w:val="20"/>
                </w:rPr>
                <w:t>In re Tele-Commc'ns, Inc. S'holders Litig.</w:t>
              </w:r>
              <w:r>
                <w:rPr>
                  <w:rFonts w:ascii="Times New Roman" w:hAnsi="Times New Roman"/>
                  <w:color w:val="000000"/>
                  <w:sz w:val="20"/>
                </w:rPr>
                <w:t>, 2005 WL 3642727, at *10 (Del. Ch. Dec. 21, 2005)</w:t>
              </w:r>
            </w:hyperlink>
            <w:r>
              <w:rPr>
                <w:rFonts w:ascii="Times New Roman" w:hAnsi="Times New Roman"/>
                <w:color w:val="000000"/>
                <w:sz w:val="20"/>
              </w:rPr>
              <w:t xml:space="preserve"> (“The effectiveness of a Special Committee often lies in the quality of the advice its members receive from their legal and financial advisors.”).</w:t>
            </w:r>
          </w:p>
        </w:tc>
      </w:tr>
      <w:tr>
        <w:tblPrEx/>
        <w:trPr/>
        <w:tc>
          <w:tcPr>
            <w:vAlign w:val="top"/>
          </w:tcPr>
          <w:p>
            <w:pPr>
              <w:spacing w:before="0" w:after="0" w:line="275" w:lineRule="atLeast"/>
            </w:pPr>
            <w:bookmarkStart w:id="238" w:name="co_footnote_B00172055700832_1"/>
            <w:hyperlink w:anchor="co_fnRef_B00172055700832_ID0EGICI_1">
              <w:r>
                <w:rPr>
                  <w:rFonts w:ascii="Times New Roman" w:hAnsi="Times New Roman"/>
                  <w:color w:val="000000"/>
                  <w:sz w:val="20"/>
                  <w:vertAlign w:val="superscript"/>
                </w:rPr>
                <w:t>17</w:t>
              </w:r>
            </w:hyperlink>
            <w:bookmarkEnd w:id="238"/>
          </w:p>
        </w:tc>
        <w:tc>
          <w:tcPr>
            <w:vAlign w:val="top"/>
          </w:tcPr>
          <w:p>
            <w:pPr>
              <w:pBdr>
                <w:bottom w:val="none" w:space="8"/>
              </w:pBdr>
              <w:spacing w:before="0" w:after="0" w:line="275" w:lineRule="atLeast"/>
              <w:jc w:val="both"/>
            </w:pPr>
            <w:r>
              <w:rPr>
                <w:rFonts w:ascii="Times New Roman" w:hAnsi="Times New Roman"/>
                <w:i/>
                <w:color w:val="000000"/>
                <w:sz w:val="20"/>
              </w:rPr>
              <w:t>See</w:t>
            </w:r>
            <w:r>
              <w:rPr>
                <w:rFonts w:ascii="Times New Roman" w:hAnsi="Times New Roman"/>
                <w:color w:val="000000"/>
                <w:sz w:val="20"/>
              </w:rPr>
              <w:t xml:space="preserve"> </w:t>
            </w:r>
            <w:hyperlink r:id="r143">
              <w:r>
                <w:rPr>
                  <w:rFonts w:ascii="Times New Roman" w:hAnsi="Times New Roman"/>
                  <w:i/>
                  <w:color w:val="000000"/>
                  <w:sz w:val="20"/>
                </w:rPr>
                <w:t>In re Appraisal of Dole Food Co., Inc.</w:t>
              </w:r>
              <w:r>
                <w:rPr>
                  <w:rFonts w:ascii="Times New Roman" w:hAnsi="Times New Roman"/>
                  <w:color w:val="000000"/>
                  <w:sz w:val="20"/>
                </w:rPr>
                <w:t>, 114 A.3d 541, 557 &amp; n.10 (Del. Ch. 2014)</w:t>
              </w:r>
            </w:hyperlink>
            <w:r>
              <w:rPr>
                <w:rFonts w:ascii="Times New Roman" w:hAnsi="Times New Roman"/>
                <w:color w:val="000000"/>
                <w:sz w:val="20"/>
              </w:rPr>
              <w:t xml:space="preserve"> (collecting cases recognizing the omnipresent “widely divergent, litigation-driven expert valuations” this court sees in appraisal proceedings).</w:t>
            </w:r>
          </w:p>
        </w:tc>
      </w:tr>
      <w:tr>
        <w:tblPrEx/>
        <w:trPr/>
        <w:tc>
          <w:tcPr>
            <w:vAlign w:val="top"/>
          </w:tcPr>
          <w:p>
            <w:pPr>
              <w:spacing w:before="0" w:after="0" w:line="275" w:lineRule="atLeast"/>
            </w:pPr>
            <w:bookmarkStart w:id="239" w:name="co_footnote_B00182055700832_1"/>
            <w:hyperlink w:anchor="co_fnRef_B00182055700832_ID0EQICI_1">
              <w:r>
                <w:rPr>
                  <w:rFonts w:ascii="Times New Roman" w:hAnsi="Times New Roman"/>
                  <w:color w:val="000000"/>
                  <w:sz w:val="20"/>
                  <w:vertAlign w:val="superscript"/>
                </w:rPr>
                <w:t>18</w:t>
              </w:r>
            </w:hyperlink>
            <w:bookmarkEnd w:id="239"/>
          </w:p>
        </w:tc>
        <w:tc>
          <w:tcPr>
            <w:vAlign w:val="top"/>
          </w:tcPr>
          <w:p>
            <w:pPr>
              <w:pBdr>
                <w:bottom w:val="none" w:space="8"/>
              </w:pBdr>
              <w:spacing w:before="0" w:after="0" w:line="275" w:lineRule="atLeast"/>
              <w:jc w:val="both"/>
            </w:pPr>
            <w:r>
              <w:rPr>
                <w:rFonts w:ascii="Times New Roman" w:hAnsi="Times New Roman"/>
                <w:i/>
                <w:color w:val="000000"/>
                <w:sz w:val="20"/>
              </w:rPr>
              <w:t>See</w:t>
            </w:r>
            <w:r>
              <w:rPr>
                <w:rFonts w:ascii="Times New Roman" w:hAnsi="Times New Roman"/>
                <w:color w:val="000000"/>
                <w:sz w:val="20"/>
              </w:rPr>
              <w:t xml:space="preserve"> Dan Elnathan et al., </w:t>
            </w:r>
            <w:r>
              <w:rPr>
                <w:rFonts w:ascii="Times New Roman" w:hAnsi="Times New Roman"/>
                <w:i/>
                <w:color w:val="000000"/>
                <w:sz w:val="20"/>
              </w:rPr>
              <w:t>An Analysis of Private Versus Public Firm Valuations and the Contribution of Financial Experts</w:t>
            </w:r>
            <w:r>
              <w:rPr>
                <w:rFonts w:ascii="Times New Roman" w:hAnsi="Times New Roman"/>
                <w:color w:val="000000"/>
                <w:sz w:val="20"/>
              </w:rPr>
              <w:t xml:space="preserve">, 45 Int'l J. Acct. 387, 406–07, 409 (2010) [hereinafter Elnathan, </w:t>
            </w:r>
            <w:r>
              <w:rPr>
                <w:rFonts w:ascii="Times New Roman" w:hAnsi="Times New Roman"/>
                <w:i/>
                <w:color w:val="000000"/>
                <w:sz w:val="20"/>
              </w:rPr>
              <w:t>Contribution of Financial Experts</w:t>
            </w:r>
            <w:r>
              <w:rPr>
                <w:rFonts w:ascii="Times New Roman" w:hAnsi="Times New Roman"/>
                <w:color w:val="000000"/>
                <w:sz w:val="20"/>
              </w:rPr>
              <w:t xml:space="preserve">] (presenting evidence that “expert valuations of private as well as public firms are affected by the identity of the commissioner [of the valuation]. Specifically, as expected, they seem to coincide with the interests of the side to the transaction that commissioned the valuation” such that “valuation multiples for private firms, as well as those for public firms, are lower when the valuation is commissioned by the buyer than when it is commissioned by the seller”); Dan Elnathan et al., </w:t>
            </w:r>
            <w:r>
              <w:rPr>
                <w:rFonts w:ascii="Times New Roman" w:hAnsi="Times New Roman"/>
                <w:i/>
                <w:color w:val="000000"/>
                <w:sz w:val="20"/>
              </w:rPr>
              <w:t>On the Added Value of Firm Valuation by Financial Experts</w:t>
            </w:r>
            <w:r>
              <w:rPr>
                <w:rFonts w:ascii="Times New Roman" w:hAnsi="Times New Roman"/>
                <w:color w:val="000000"/>
                <w:sz w:val="20"/>
              </w:rPr>
              <w:t xml:space="preserve">, 4 Int'l J. Bus. &amp; Mgmt. 70, 71 (2009) (presenting evidence that ostensibly impartial financial experts retained to value shares “are not impartial; while they are supposed to provide an independent expert opinion, they seem to be, in fact, biased towards majority shareholders who hired them to value the firm”). The bias is more pronounced in private firms than in public firms. Elnathan, </w:t>
            </w:r>
            <w:r>
              <w:rPr>
                <w:rFonts w:ascii="Times New Roman" w:hAnsi="Times New Roman"/>
                <w:i/>
                <w:color w:val="000000"/>
                <w:sz w:val="20"/>
              </w:rPr>
              <w:t>Contribution of Financial Experts</w:t>
            </w:r>
            <w:r>
              <w:rPr>
                <w:rFonts w:ascii="Times New Roman" w:hAnsi="Times New Roman"/>
                <w:color w:val="000000"/>
                <w:sz w:val="20"/>
              </w:rPr>
              <w:t xml:space="preserve">, </w:t>
            </w:r>
            <w:r>
              <w:rPr>
                <w:rFonts w:ascii="Times New Roman" w:hAnsi="Times New Roman"/>
                <w:i/>
                <w:color w:val="000000"/>
                <w:sz w:val="20"/>
              </w:rPr>
              <w:t>supra</w:t>
            </w:r>
            <w:r>
              <w:rPr>
                <w:rFonts w:ascii="Times New Roman" w:hAnsi="Times New Roman"/>
                <w:color w:val="000000"/>
                <w:sz w:val="20"/>
              </w:rPr>
              <w:t>, at 407.</w:t>
            </w:r>
          </w:p>
          <w:p>
            <w:pPr>
              <w:pBdr>
                <w:bottom w:val="none" w:space="8"/>
              </w:pBdr>
              <w:spacing w:before="0" w:after="0" w:line="275" w:lineRule="atLeast"/>
              <w:jc w:val="both"/>
            </w:pPr>
            <w:r>
              <w:rPr>
                <w:rFonts w:ascii="Times New Roman" w:hAnsi="Times New Roman"/>
                <w:color w:val="000000"/>
                <w:sz w:val="20"/>
              </w:rPr>
              <w:t xml:space="preserve">A recent study found “clear evidence for the existence of ... engagement bias” in purportedly neutral valuation professionals who were assigned randomly to perform valuation tasks on behalf of a buyer or a seller. Marc J. R. Broekema et al., </w:t>
            </w:r>
            <w:r>
              <w:rPr>
                <w:rFonts w:ascii="Times New Roman" w:hAnsi="Times New Roman"/>
                <w:i/>
                <w:color w:val="000000"/>
                <w:sz w:val="20"/>
              </w:rPr>
              <w:t>Are Business Valuators Biased? A Psychological Perspective on the Causes of Valuation Disputes</w:t>
            </w:r>
            <w:r>
              <w:rPr>
                <w:rFonts w:ascii="Times New Roman" w:hAnsi="Times New Roman"/>
                <w:color w:val="000000"/>
                <w:sz w:val="20"/>
              </w:rPr>
              <w:t>, 23 J. Behav. Fin. 23, 34 (2022). The authors found that</w:t>
            </w:r>
          </w:p>
          <w:p>
            <w:pPr>
              <w:pBdr>
                <w:left w:val="none" w:space="10"/>
                <w:bottom w:val="none" w:space="8"/>
              </w:pBdr>
              <w:spacing w:before="0" w:after="0" w:line="275" w:lineRule="atLeast"/>
              <w:ind w:left="200" w:right="0" w:firstLine="0"/>
              <w:jc w:val="both"/>
            </w:pPr>
            <w:r>
              <w:rPr>
                <w:rFonts w:ascii="Times New Roman" w:hAnsi="Times New Roman"/>
                <w:color w:val="000000"/>
                <w:sz w:val="20"/>
              </w:rPr>
              <w:t>[v]aluators appear to be affected by their clients’ interests, such that they indicate that a valuation should be adjusted in accordance with their clients’ interests. Specifically, when they represent a buyer and therefore have an incentive to lower the value of the shares, they also indicate the valuation should be adjusted downwards more heavily and also indicate a lower value range for the true value of the company. The opposite is the case when they represented the seller.</w:t>
            </w:r>
          </w:p>
          <w:p>
            <w:pPr>
              <w:pBdr>
                <w:bottom w:val="none" w:space="8"/>
              </w:pBdr>
              <w:spacing w:before="0" w:after="0" w:line="275" w:lineRule="atLeast"/>
              <w:jc w:val="both"/>
            </w:pPr>
            <w:r>
              <w:rPr>
                <w:rFonts w:ascii="Times New Roman" w:hAnsi="Times New Roman"/>
                <w:i/>
                <w:color w:val="000000"/>
                <w:sz w:val="20"/>
              </w:rPr>
              <w:t>Id.</w:t>
            </w:r>
            <w:r>
              <w:rPr>
                <w:rFonts w:ascii="Times New Roman" w:hAnsi="Times New Roman"/>
                <w:color w:val="000000"/>
                <w:sz w:val="20"/>
              </w:rPr>
              <w:t xml:space="preserve"> The purportedly neutral experts also exhibited a “blind spot” for their own bias: “Whereas 58.7% believed the valuator representing the opposing party was biased, only 25.1% believed they themselves were biased.” </w:t>
            </w:r>
            <w:r>
              <w:rPr>
                <w:rFonts w:ascii="Times New Roman" w:hAnsi="Times New Roman"/>
                <w:i/>
                <w:color w:val="000000"/>
                <w:sz w:val="20"/>
              </w:rPr>
              <w:t>Id.</w:t>
            </w:r>
            <w:r>
              <w:rPr>
                <w:rFonts w:ascii="Times New Roman" w:hAnsi="Times New Roman"/>
                <w:color w:val="000000"/>
                <w:sz w:val="20"/>
              </w:rPr>
              <w:t xml:space="preserve"> In their original study, the professors identified reactive devaluation as an alternative explanation; a companion study reported in the same article rejected that alternative.</w:t>
            </w:r>
          </w:p>
        </w:tc>
      </w:tr>
      <w:tr>
        <w:tblPrEx/>
        <w:trPr/>
        <w:tc>
          <w:tcPr>
            <w:vAlign w:val="top"/>
          </w:tcPr>
          <w:p>
            <w:pPr>
              <w:spacing w:before="0" w:after="0" w:line="275" w:lineRule="atLeast"/>
            </w:pPr>
            <w:bookmarkStart w:id="240" w:name="co_footnote_B00192055700832_1"/>
            <w:hyperlink w:anchor="co_fnRef_B00192055700832_ID0E4BDI_1">
              <w:r>
                <w:rPr>
                  <w:rFonts w:ascii="Times New Roman" w:hAnsi="Times New Roman"/>
                  <w:color w:val="000000"/>
                  <w:sz w:val="20"/>
                  <w:vertAlign w:val="superscript"/>
                </w:rPr>
                <w:t>19</w:t>
              </w:r>
            </w:hyperlink>
            <w:bookmarkEnd w:id="240"/>
          </w:p>
        </w:tc>
        <w:tc>
          <w:tcPr>
            <w:vAlign w:val="top"/>
          </w:tcPr>
          <w:p>
            <w:pPr>
              <w:pBdr>
                <w:bottom w:val="none" w:space="8"/>
              </w:pBdr>
              <w:spacing w:before="0" w:after="0" w:line="275" w:lineRule="atLeast"/>
              <w:jc w:val="both"/>
            </w:pPr>
            <w:r>
              <w:rPr>
                <w:rFonts w:ascii="Times New Roman" w:hAnsi="Times New Roman"/>
                <w:color w:val="000000"/>
                <w:sz w:val="20"/>
              </w:rPr>
              <w:t xml:space="preserve">AT&amp;T also relies on the United States Court of Appeals for the Ninth Circuit's affirmance of the </w:t>
            </w:r>
            <w:r>
              <w:rPr>
                <w:rFonts w:ascii="Times New Roman" w:hAnsi="Times New Roman"/>
                <w:i/>
                <w:color w:val="000000"/>
                <w:sz w:val="20"/>
              </w:rPr>
              <w:t>J&amp;J Celcom</w:t>
            </w:r>
            <w:r>
              <w:rPr>
                <w:rFonts w:ascii="Times New Roman" w:hAnsi="Times New Roman"/>
                <w:color w:val="000000"/>
                <w:sz w:val="20"/>
              </w:rPr>
              <w:t xml:space="preserve"> decision, and on the Supreme Court of Washington's confirmation that the federal district court correctly applied Washington partnership law. The Ninth Circuit certified the question of “whether, under the Revised Uniformed Partnership Act ..., a controlling partner violates the duty of loyalty where the controlling partner causes the partnership to sell its assets to an affiliated party” to the Supreme Court of Washington. </w:t>
            </w:r>
            <w:hyperlink r:id="r144">
              <w:r>
                <w:rPr>
                  <w:rFonts w:ascii="Times New Roman" w:hAnsi="Times New Roman"/>
                  <w:i/>
                  <w:color w:val="000000"/>
                  <w:sz w:val="20"/>
                </w:rPr>
                <w:t>J&amp;J Celcom v. AT&amp;T Wireless Servs., Inc.</w:t>
              </w:r>
              <w:r>
                <w:rPr>
                  <w:rFonts w:ascii="Times New Roman" w:hAnsi="Times New Roman"/>
                  <w:color w:val="000000"/>
                  <w:sz w:val="20"/>
                </w:rPr>
                <w:t>, 169 P.3d 823, 823 (Wash. 2007)</w:t>
              </w:r>
            </w:hyperlink>
            <w:r>
              <w:rPr>
                <w:rFonts w:ascii="Times New Roman" w:hAnsi="Times New Roman"/>
                <w:color w:val="000000"/>
                <w:sz w:val="20"/>
              </w:rPr>
              <w:t xml:space="preserve">. The Supreme Court of Washington held that the district court's factual findings were dispositive. </w:t>
            </w:r>
            <w:hyperlink r:id="r145">
              <w:r>
                <w:rPr>
                  <w:rFonts w:ascii="Times New Roman" w:hAnsi="Times New Roman"/>
                  <w:i/>
                  <w:color w:val="000000"/>
                  <w:sz w:val="20"/>
                </w:rPr>
                <w:t>Id.</w:t>
              </w:r>
              <w:r>
                <w:rPr>
                  <w:rFonts w:ascii="Times New Roman" w:hAnsi="Times New Roman"/>
                  <w:color w:val="000000"/>
                  <w:sz w:val="20"/>
                </w:rPr>
                <w:t xml:space="preserve"> at 824–25</w:t>
              </w:r>
            </w:hyperlink>
            <w:r>
              <w:rPr>
                <w:rFonts w:ascii="Times New Roman" w:hAnsi="Times New Roman"/>
                <w:color w:val="000000"/>
                <w:sz w:val="20"/>
              </w:rPr>
              <w:t xml:space="preserve">. With that answer in hand, the Ninth Circuit affirmed the district court's decision. </w:t>
            </w:r>
            <w:hyperlink r:id="r146">
              <w:r>
                <w:rPr>
                  <w:rFonts w:ascii="Times New Roman" w:hAnsi="Times New Roman"/>
                  <w:i/>
                  <w:color w:val="000000"/>
                  <w:sz w:val="20"/>
                </w:rPr>
                <w:t>J&amp;J Celcom v. AT&amp;T Wireless Servs., Inc.</w:t>
              </w:r>
              <w:r>
                <w:rPr>
                  <w:rFonts w:ascii="Times New Roman" w:hAnsi="Times New Roman"/>
                  <w:color w:val="000000"/>
                  <w:sz w:val="20"/>
                </w:rPr>
                <w:t>, 508 F.3d 1177 (9th Cir. 2007)</w:t>
              </w:r>
            </w:hyperlink>
            <w:r>
              <w:rPr>
                <w:rFonts w:ascii="Times New Roman" w:hAnsi="Times New Roman"/>
                <w:color w:val="000000"/>
                <w:sz w:val="20"/>
              </w:rPr>
              <w:t xml:space="preserve"> (Mem.).</w:t>
            </w:r>
          </w:p>
        </w:tc>
      </w:tr>
      <w:tr>
        <w:tblPrEx/>
        <w:trPr/>
        <w:tc>
          <w:tcPr>
            <w:vAlign w:val="top"/>
          </w:tcPr>
          <w:p>
            <w:pPr>
              <w:spacing w:before="0" w:after="0" w:line="275" w:lineRule="atLeast"/>
            </w:pPr>
            <w:bookmarkStart w:id="241" w:name="co_footnote_B00202055700832_1"/>
            <w:hyperlink w:anchor="co_fnRef_B00202055700832_ID0ETJDI_1">
              <w:r>
                <w:rPr>
                  <w:rFonts w:ascii="Times New Roman" w:hAnsi="Times New Roman"/>
                  <w:color w:val="000000"/>
                  <w:sz w:val="20"/>
                  <w:vertAlign w:val="superscript"/>
                </w:rPr>
                <w:t>20</w:t>
              </w:r>
            </w:hyperlink>
            <w:bookmarkEnd w:id="241"/>
          </w:p>
        </w:tc>
        <w:tc>
          <w:tcPr>
            <w:vAlign w:val="top"/>
          </w:tcPr>
          <w:p>
            <w:pPr>
              <w:pBdr>
                <w:bottom w:val="none" w:space="8"/>
              </w:pBdr>
              <w:spacing w:before="0" w:after="0" w:line="275" w:lineRule="atLeast"/>
              <w:jc w:val="both"/>
            </w:pPr>
            <w:r>
              <w:rPr>
                <w:rFonts w:ascii="Times New Roman" w:hAnsi="Times New Roman"/>
                <w:color w:val="000000"/>
                <w:sz w:val="20"/>
              </w:rPr>
              <w:t xml:space="preserve">Taylor appeared as AT&amp;T's expert in </w:t>
            </w:r>
            <w:hyperlink r:id="r147">
              <w:r>
                <w:rPr>
                  <w:rFonts w:ascii="Times New Roman" w:hAnsi="Times New Roman"/>
                  <w:i/>
                  <w:color w:val="000000"/>
                  <w:sz w:val="20"/>
                </w:rPr>
                <w:t>J&amp;J Celcom.</w:t>
              </w:r>
              <w:r>
                <w:rPr>
                  <w:rFonts w:ascii="Times New Roman" w:hAnsi="Times New Roman"/>
                  <w:color w:val="000000"/>
                  <w:sz w:val="20"/>
                </w:rPr>
                <w:t xml:space="preserve"> 2005 WL 1126924, at *14</w:t>
              </w:r>
            </w:hyperlink>
            <w:r>
              <w:rPr>
                <w:rFonts w:ascii="Times New Roman" w:hAnsi="Times New Roman"/>
                <w:color w:val="000000"/>
                <w:sz w:val="20"/>
              </w:rPr>
              <w:t xml:space="preserve">. She also served as AT&amp;T's expert in two cases before this court involving freeze-outs. </w:t>
            </w:r>
            <w:r>
              <w:rPr>
                <w:rFonts w:ascii="Times New Roman" w:hAnsi="Times New Roman"/>
                <w:i/>
                <w:color w:val="000000"/>
                <w:sz w:val="20"/>
              </w:rPr>
              <w:t>See</w:t>
            </w:r>
            <w:r>
              <w:rPr>
                <w:rFonts w:ascii="Times New Roman" w:hAnsi="Times New Roman"/>
                <w:color w:val="000000"/>
                <w:sz w:val="20"/>
              </w:rPr>
              <w:t xml:space="preserve"> </w:t>
            </w:r>
            <w:hyperlink r:id="r148">
              <w:r>
                <w:rPr>
                  <w:rFonts w:ascii="Times New Roman" w:hAnsi="Times New Roman"/>
                  <w:i/>
                  <w:color w:val="000000"/>
                  <w:sz w:val="20"/>
                </w:rPr>
                <w:t>B&amp;L Cellular v. USCOC of Greater Iowa, LLC</w:t>
              </w:r>
              <w:r>
                <w:rPr>
                  <w:rFonts w:ascii="Times New Roman" w:hAnsi="Times New Roman"/>
                  <w:color w:val="000000"/>
                  <w:sz w:val="20"/>
                </w:rPr>
                <w:t>, 2014 WL 6882207, at *3 (Del. Ch. Dec. 8, 2014)</w:t>
              </w:r>
            </w:hyperlink>
            <w:r>
              <w:rPr>
                <w:rFonts w:ascii="Times New Roman" w:hAnsi="Times New Roman"/>
                <w:color w:val="000000"/>
                <w:sz w:val="20"/>
              </w:rPr>
              <w:t xml:space="preserve">; </w:t>
            </w:r>
            <w:hyperlink r:id="r149">
              <w:r>
                <w:rPr>
                  <w:rFonts w:ascii="Times New Roman" w:hAnsi="Times New Roman"/>
                  <w:i/>
                  <w:color w:val="000000"/>
                  <w:sz w:val="20"/>
                </w:rPr>
                <w:t>In re AT&amp;T Mobility Wireless Operations Hldgs. Appraisal Litig.</w:t>
              </w:r>
              <w:r>
                <w:rPr>
                  <w:rFonts w:ascii="Times New Roman" w:hAnsi="Times New Roman"/>
                  <w:color w:val="000000"/>
                  <w:sz w:val="20"/>
                </w:rPr>
                <w:t xml:space="preserve"> (</w:t>
              </w:r>
              <w:r>
                <w:rPr>
                  <w:rFonts w:ascii="Times New Roman" w:hAnsi="Times New Roman"/>
                  <w:i/>
                  <w:color w:val="000000"/>
                  <w:sz w:val="20"/>
                </w:rPr>
                <w:t>AMWOH</w:t>
              </w:r>
              <w:r>
                <w:rPr>
                  <w:rFonts w:ascii="Times New Roman" w:hAnsi="Times New Roman"/>
                  <w:color w:val="000000"/>
                  <w:sz w:val="20"/>
                </w:rPr>
                <w:t>), 2013 WL 3865099, at *2 (Del. Ch. June 24, 2013)</w:t>
              </w:r>
            </w:hyperlink>
            <w:r>
              <w:rPr>
                <w:rFonts w:ascii="Times New Roman" w:hAnsi="Times New Roman"/>
                <w:color w:val="000000"/>
                <w:sz w:val="20"/>
              </w:rPr>
              <w:t xml:space="preserve"> (ORDER).</w:t>
            </w:r>
          </w:p>
        </w:tc>
      </w:tr>
      <w:tr>
        <w:tblPrEx/>
        <w:trPr/>
        <w:tc>
          <w:tcPr>
            <w:vAlign w:val="top"/>
          </w:tcPr>
          <w:p>
            <w:pPr>
              <w:spacing w:before="0" w:after="0" w:line="275" w:lineRule="atLeast"/>
            </w:pPr>
            <w:bookmarkStart w:id="242" w:name="co_footnote_B00212055700832_1"/>
            <w:hyperlink w:anchor="co_fnRef_B00212055700832_ID0EHKDI_1">
              <w:r>
                <w:rPr>
                  <w:rFonts w:ascii="Times New Roman" w:hAnsi="Times New Roman"/>
                  <w:color w:val="000000"/>
                  <w:sz w:val="20"/>
                  <w:vertAlign w:val="superscript"/>
                </w:rPr>
                <w:t>21</w:t>
              </w:r>
            </w:hyperlink>
            <w:bookmarkEnd w:id="242"/>
          </w:p>
        </w:tc>
        <w:tc>
          <w:tcPr>
            <w:vAlign w:val="top"/>
          </w:tcPr>
          <w:p>
            <w:pPr>
              <w:pBdr>
                <w:bottom w:val="none" w:space="8"/>
              </w:pBdr>
              <w:spacing w:before="0" w:after="0" w:line="275" w:lineRule="atLeast"/>
              <w:jc w:val="both"/>
            </w:pPr>
            <w:r>
              <w:rPr>
                <w:rFonts w:ascii="Times New Roman" w:hAnsi="Times New Roman"/>
                <w:i/>
                <w:color w:val="000000"/>
                <w:sz w:val="20"/>
              </w:rPr>
              <w:t>See</w:t>
            </w:r>
            <w:r>
              <w:rPr>
                <w:rFonts w:ascii="Times New Roman" w:hAnsi="Times New Roman"/>
                <w:color w:val="000000"/>
                <w:sz w:val="20"/>
              </w:rPr>
              <w:t xml:space="preserve"> Taylor Tr. 968–69; JX 3552 at 5, Ex. 1 (assigning equal weight to a DCF model and a comparable companies model); JX 3554 at 8, Ex. 1 (assigning 50% weight to a DCF analysis, 30% to a comparable companies analysis, and 20% to a comparable transactions analysis); Taylor Report at 121–22, Ex. 49 (assigning 50% weight to a DCF analysis, 25% to comparable companies analysis, and 25% to comparable transactions analysis).</w:t>
            </w:r>
          </w:p>
        </w:tc>
      </w:tr>
      <w:tr>
        <w:tblPrEx/>
        <w:trPr/>
        <w:tc>
          <w:tcPr>
            <w:vAlign w:val="top"/>
          </w:tcPr>
          <w:p>
            <w:pPr>
              <w:spacing w:before="0" w:after="0" w:line="275" w:lineRule="atLeast"/>
            </w:pPr>
            <w:bookmarkStart w:id="243" w:name="co_footnote_B00222055700832_1"/>
            <w:hyperlink w:anchor="co_fnRef_B00222055700832_ID0ERQDI_1">
              <w:r>
                <w:rPr>
                  <w:rFonts w:ascii="Times New Roman" w:hAnsi="Times New Roman"/>
                  <w:color w:val="000000"/>
                  <w:sz w:val="20"/>
                  <w:vertAlign w:val="superscript"/>
                </w:rPr>
                <w:t>22</w:t>
              </w:r>
            </w:hyperlink>
            <w:bookmarkEnd w:id="243"/>
          </w:p>
        </w:tc>
        <w:tc>
          <w:tcPr>
            <w:vAlign w:val="top"/>
          </w:tcPr>
          <w:p>
            <w:pPr>
              <w:pBdr>
                <w:bottom w:val="none" w:space="8"/>
              </w:pBdr>
              <w:spacing w:before="0" w:after="0" w:line="275" w:lineRule="atLeast"/>
              <w:jc w:val="both"/>
            </w:pPr>
            <w:hyperlink r:id="r150">
              <w:r>
                <w:rPr>
                  <w:rFonts w:ascii="Times New Roman" w:hAnsi="Times New Roman"/>
                  <w:i/>
                  <w:color w:val="000000"/>
                  <w:sz w:val="20"/>
                </w:rPr>
                <w:t>Porter v. Tex. Com. Bancshares, Inc.</w:t>
              </w:r>
              <w:r>
                <w:rPr>
                  <w:rFonts w:ascii="Times New Roman" w:hAnsi="Times New Roman"/>
                  <w:color w:val="000000"/>
                  <w:sz w:val="20"/>
                </w:rPr>
                <w:t>, 1989 WL 120358, at *5 (Del. Ch. Oct. 12, 1989)</w:t>
              </w:r>
            </w:hyperlink>
            <w:r>
              <w:rPr>
                <w:rFonts w:ascii="Times New Roman" w:hAnsi="Times New Roman"/>
                <w:color w:val="000000"/>
                <w:sz w:val="20"/>
              </w:rPr>
              <w:t xml:space="preserve"> (Allen, C.); </w:t>
            </w:r>
            <w:r>
              <w:rPr>
                <w:rFonts w:ascii="Times New Roman" w:hAnsi="Times New Roman"/>
                <w:i/>
                <w:color w:val="000000"/>
                <w:sz w:val="20"/>
              </w:rPr>
              <w:t>accord</w:t>
            </w:r>
            <w:r>
              <w:rPr>
                <w:rFonts w:ascii="Times New Roman" w:hAnsi="Times New Roman"/>
                <w:color w:val="000000"/>
                <w:sz w:val="20"/>
              </w:rPr>
              <w:t xml:space="preserve"> </w:t>
            </w:r>
            <w:hyperlink r:id="r151">
              <w:r>
                <w:rPr>
                  <w:rFonts w:ascii="Times New Roman" w:hAnsi="Times New Roman"/>
                  <w:i/>
                  <w:color w:val="000000"/>
                  <w:sz w:val="20"/>
                </w:rPr>
                <w:t>In re Cox Radio, Inc. S'holders Litig.</w:t>
              </w:r>
              <w:r>
                <w:rPr>
                  <w:rFonts w:ascii="Times New Roman" w:hAnsi="Times New Roman"/>
                  <w:color w:val="000000"/>
                  <w:sz w:val="20"/>
                </w:rPr>
                <w:t>, 2010 WL 1806616, at *14 (Del. Ch. May 6, 2010)</w:t>
              </w:r>
            </w:hyperlink>
            <w:r>
              <w:rPr>
                <w:rFonts w:ascii="Times New Roman" w:hAnsi="Times New Roman"/>
                <w:color w:val="000000"/>
                <w:sz w:val="20"/>
              </w:rPr>
              <w:t xml:space="preserve"> (“Under Delaware law, breach of fiduciary duty claims that do not arise from the merger are corporate assets that may be included in the determination of fair value in an appraisal proceeding. Thus, even though the Appraisal Objectors’ claims related to the propriety of the Transaction are released by the Settlement, any fiduciary duty claim they may have that is not related to the Transaction, including their claim challenging the stock repurchase program, is not subject to the settlement's release and, thus, can be valued at appraisal.” (cleaned up)), </w:t>
            </w:r>
            <w:r>
              <w:rPr>
                <w:rFonts w:ascii="Times New Roman" w:hAnsi="Times New Roman"/>
                <w:i/>
                <w:color w:val="000000"/>
                <w:sz w:val="20"/>
              </w:rPr>
              <w:t>aff'd</w:t>
            </w:r>
            <w:r>
              <w:rPr>
                <w:rFonts w:ascii="Times New Roman" w:hAnsi="Times New Roman"/>
                <w:color w:val="000000"/>
                <w:sz w:val="20"/>
              </w:rPr>
              <w:t xml:space="preserve">, </w:t>
            </w:r>
            <w:hyperlink r:id="r152">
              <w:r>
                <w:rPr>
                  <w:rFonts w:ascii="Times New Roman" w:hAnsi="Times New Roman"/>
                  <w:color w:val="000000"/>
                  <w:sz w:val="20"/>
                </w:rPr>
                <w:t>9 A.3d 475 (Del. 2010)</w:t>
              </w:r>
            </w:hyperlink>
            <w:r>
              <w:rPr>
                <w:rFonts w:ascii="Times New Roman" w:hAnsi="Times New Roman"/>
                <w:color w:val="000000"/>
                <w:sz w:val="20"/>
              </w:rPr>
              <w:t xml:space="preserve"> (TABLE); </w:t>
            </w:r>
            <w:hyperlink r:id="r153">
              <w:r>
                <w:rPr>
                  <w:rFonts w:ascii="Times New Roman" w:hAnsi="Times New Roman"/>
                  <w:i/>
                  <w:color w:val="000000"/>
                  <w:sz w:val="20"/>
                </w:rPr>
                <w:t>Bomarko, Inc. v. Int'l Telecharge, Inc.</w:t>
              </w:r>
              <w:r>
                <w:rPr>
                  <w:rFonts w:ascii="Times New Roman" w:hAnsi="Times New Roman"/>
                  <w:color w:val="000000"/>
                  <w:sz w:val="20"/>
                </w:rPr>
                <w:t>, 1994 WL 198726, at *3 (Del. Ch. May 16, 1994)</w:t>
              </w:r>
            </w:hyperlink>
            <w:r>
              <w:rPr>
                <w:rFonts w:ascii="Times New Roman" w:hAnsi="Times New Roman"/>
                <w:color w:val="000000"/>
                <w:sz w:val="20"/>
              </w:rPr>
              <w:t xml:space="preserve"> (rejecting argument that litigation of derivative “claims would be an impermissible expansion of the statutory appraisal remedy” and holding that “breach of fiduciary claims that do not arise from the merger are corporate assets that may be included in the determination of fair value”); </w:t>
            </w:r>
            <w:hyperlink r:id="r154">
              <w:r>
                <w:rPr>
                  <w:rFonts w:ascii="Times New Roman" w:hAnsi="Times New Roman"/>
                  <w:i/>
                  <w:color w:val="000000"/>
                  <w:sz w:val="20"/>
                </w:rPr>
                <w:t>In re Radiology Assocs., Inc. Litig.</w:t>
              </w:r>
              <w:r>
                <w:rPr>
                  <w:rFonts w:ascii="Times New Roman" w:hAnsi="Times New Roman"/>
                  <w:color w:val="000000"/>
                  <w:sz w:val="20"/>
                </w:rPr>
                <w:t>, 1990 WL 67839, at *13 (Del. Ch. May 16, 1990)</w:t>
              </w:r>
            </w:hyperlink>
            <w:r>
              <w:rPr>
                <w:rFonts w:ascii="Times New Roman" w:hAnsi="Times New Roman"/>
                <w:color w:val="000000"/>
                <w:sz w:val="20"/>
              </w:rPr>
              <w:t xml:space="preserve"> (“[C]laims ... that are derivative in nature and precluded for lack of standing, may be considered in the appraisal phase of this litigation.”).</w:t>
            </w:r>
          </w:p>
        </w:tc>
      </w:tr>
      <w:tr>
        <w:tblPrEx/>
        <w:trPr/>
        <w:tc>
          <w:tcPr>
            <w:vAlign w:val="top"/>
          </w:tcPr>
          <w:p>
            <w:pPr>
              <w:spacing w:before="0" w:after="0" w:line="275" w:lineRule="atLeast"/>
            </w:pPr>
            <w:bookmarkStart w:id="244" w:name="co_footnote_B00232055700832_1"/>
            <w:hyperlink w:anchor="co_fnRef_B00232055700832_ID0E2QDI_1">
              <w:r>
                <w:rPr>
                  <w:rFonts w:ascii="Times New Roman" w:hAnsi="Times New Roman"/>
                  <w:color w:val="000000"/>
                  <w:sz w:val="20"/>
                  <w:vertAlign w:val="superscript"/>
                </w:rPr>
                <w:t>23</w:t>
              </w:r>
            </w:hyperlink>
            <w:bookmarkEnd w:id="244"/>
          </w:p>
        </w:tc>
        <w:tc>
          <w:tcPr>
            <w:vAlign w:val="top"/>
          </w:tcPr>
          <w:p>
            <w:pPr>
              <w:pBdr>
                <w:bottom w:val="none" w:space="8"/>
              </w:pBdr>
              <w:spacing w:before="0" w:after="0" w:line="275" w:lineRule="atLeast"/>
              <w:jc w:val="both"/>
            </w:pPr>
            <w:r>
              <w:rPr>
                <w:rFonts w:ascii="Times New Roman" w:hAnsi="Times New Roman"/>
                <w:i/>
                <w:color w:val="000000"/>
                <w:sz w:val="20"/>
              </w:rPr>
              <w:t>See</w:t>
            </w:r>
            <w:r>
              <w:rPr>
                <w:rFonts w:ascii="Times New Roman" w:hAnsi="Times New Roman"/>
                <w:color w:val="000000"/>
                <w:sz w:val="20"/>
              </w:rPr>
              <w:t xml:space="preserve"> </w:t>
            </w:r>
            <w:hyperlink r:id="r155">
              <w:r>
                <w:rPr>
                  <w:rFonts w:ascii="Times New Roman" w:hAnsi="Times New Roman"/>
                  <w:i/>
                  <w:color w:val="000000"/>
                  <w:sz w:val="20"/>
                </w:rPr>
                <w:t>Morris v. Spectra Energy P'rs (DE) GP, LP</w:t>
              </w:r>
              <w:r>
                <w:rPr>
                  <w:rFonts w:ascii="Times New Roman" w:hAnsi="Times New Roman"/>
                  <w:color w:val="000000"/>
                  <w:sz w:val="20"/>
                </w:rPr>
                <w:t>, 246 A.3d 121, 136–38 (Del. 2021)</w:t>
              </w:r>
            </w:hyperlink>
            <w:r>
              <w:rPr>
                <w:rFonts w:ascii="Times New Roman" w:hAnsi="Times New Roman"/>
                <w:color w:val="000000"/>
                <w:sz w:val="20"/>
              </w:rPr>
              <w:t xml:space="preserve"> (reversing trial court's dismissal of claim for breach of fiduciary duty based on merger price failure to include value for viable derivative claim); </w:t>
            </w:r>
            <w:hyperlink r:id="r156">
              <w:r>
                <w:rPr>
                  <w:rFonts w:ascii="Times New Roman" w:hAnsi="Times New Roman"/>
                  <w:i/>
                  <w:color w:val="000000"/>
                  <w:sz w:val="20"/>
                </w:rPr>
                <w:t>In re Happy Child World, Inc.</w:t>
              </w:r>
              <w:r>
                <w:rPr>
                  <w:rFonts w:ascii="Times New Roman" w:hAnsi="Times New Roman"/>
                  <w:color w:val="000000"/>
                  <w:sz w:val="20"/>
                </w:rPr>
                <w:t>, 2020 WL 5793156, at *10–22 (Del. Ch. Sept. 29, 2020)</w:t>
              </w:r>
            </w:hyperlink>
            <w:r>
              <w:rPr>
                <w:rFonts w:ascii="Times New Roman" w:hAnsi="Times New Roman"/>
                <w:color w:val="000000"/>
                <w:sz w:val="20"/>
              </w:rPr>
              <w:t xml:space="preserve"> (adjudicating derivative claims in plenary action for appraisal and breach of fiduciary duty and including net value of derivative claims in appraisal award); </w:t>
            </w:r>
            <w:hyperlink r:id="r157">
              <w:r>
                <w:rPr>
                  <w:rFonts w:ascii="Times New Roman" w:hAnsi="Times New Roman"/>
                  <w:i/>
                  <w:color w:val="000000"/>
                  <w:sz w:val="20"/>
                </w:rPr>
                <w:t>Zutrau v. Jansing</w:t>
              </w:r>
              <w:r>
                <w:rPr>
                  <w:rFonts w:ascii="Times New Roman" w:hAnsi="Times New Roman"/>
                  <w:color w:val="000000"/>
                  <w:sz w:val="20"/>
                </w:rPr>
                <w:t>, 2014 WL 3772859, at *2 (Del. Ch. July 31, 2014)</w:t>
              </w:r>
            </w:hyperlink>
            <w:r>
              <w:rPr>
                <w:rFonts w:ascii="Times New Roman" w:hAnsi="Times New Roman"/>
                <w:color w:val="000000"/>
                <w:sz w:val="20"/>
              </w:rPr>
              <w:t xml:space="preserve"> (“[T]he monetary value of the meritorious derivative claims that the company had against the defendant at the time of the reverse stock split should be treated as a non-operating corporate asset and added to the value of the company.”), </w:t>
            </w:r>
            <w:r>
              <w:rPr>
                <w:rFonts w:ascii="Times New Roman" w:hAnsi="Times New Roman"/>
                <w:i/>
                <w:color w:val="000000"/>
                <w:sz w:val="20"/>
              </w:rPr>
              <w:t>aff'd</w:t>
            </w:r>
            <w:r>
              <w:rPr>
                <w:rFonts w:ascii="Times New Roman" w:hAnsi="Times New Roman"/>
                <w:color w:val="000000"/>
                <w:sz w:val="20"/>
              </w:rPr>
              <w:t xml:space="preserve">, </w:t>
            </w:r>
            <w:hyperlink r:id="r158">
              <w:r>
                <w:rPr>
                  <w:rFonts w:ascii="Times New Roman" w:hAnsi="Times New Roman"/>
                  <w:color w:val="000000"/>
                  <w:sz w:val="20"/>
                </w:rPr>
                <w:t>123 A.3d 938 (Del. 2015)</w:t>
              </w:r>
            </w:hyperlink>
            <w:r>
              <w:rPr>
                <w:rFonts w:ascii="Times New Roman" w:hAnsi="Times New Roman"/>
                <w:color w:val="000000"/>
                <w:sz w:val="20"/>
              </w:rPr>
              <w:t xml:space="preserve"> (TABLE); </w:t>
            </w:r>
            <w:hyperlink r:id="r159">
              <w:r>
                <w:rPr>
                  <w:rFonts w:ascii="Times New Roman" w:hAnsi="Times New Roman"/>
                  <w:i/>
                  <w:color w:val="000000"/>
                  <w:sz w:val="20"/>
                </w:rPr>
                <w:t>Oliver v. Bos. Univ.</w:t>
              </w:r>
              <w:r>
                <w:rPr>
                  <w:rFonts w:ascii="Times New Roman" w:hAnsi="Times New Roman"/>
                  <w:color w:val="000000"/>
                  <w:sz w:val="20"/>
                </w:rPr>
                <w:t>, 2006 WL 1064169, at *19–21 (Del. Ch. Apr. 14, 2006)</w:t>
              </w:r>
            </w:hyperlink>
            <w:r>
              <w:rPr>
                <w:rFonts w:ascii="Times New Roman" w:hAnsi="Times New Roman"/>
                <w:color w:val="000000"/>
                <w:sz w:val="20"/>
              </w:rPr>
              <w:t xml:space="preserve"> (including value of potential derivative claims in entire fairness award); </w:t>
            </w:r>
            <w:hyperlink r:id="r160">
              <w:r>
                <w:rPr>
                  <w:rFonts w:ascii="Times New Roman" w:hAnsi="Times New Roman"/>
                  <w:i/>
                  <w:color w:val="000000"/>
                  <w:sz w:val="20"/>
                </w:rPr>
                <w:t>Nagy v. Bistricer</w:t>
              </w:r>
              <w:r>
                <w:rPr>
                  <w:rFonts w:ascii="Times New Roman" w:hAnsi="Times New Roman"/>
                  <w:color w:val="000000"/>
                  <w:sz w:val="20"/>
                </w:rPr>
                <w:t>, 770 A.2d 43, 55 n.23 (Del. Ch. 2000)</w:t>
              </w:r>
            </w:hyperlink>
            <w:r>
              <w:rPr>
                <w:rFonts w:ascii="Times New Roman" w:hAnsi="Times New Roman"/>
                <w:color w:val="000000"/>
                <w:sz w:val="20"/>
              </w:rPr>
              <w:t xml:space="preserve"> (“To the extent that the entity possessed valuable legal claims, the value of those claims is part of the overall value of the entity....”); </w:t>
            </w:r>
            <w:hyperlink r:id="r161">
              <w:r>
                <w:rPr>
                  <w:rFonts w:ascii="Times New Roman" w:hAnsi="Times New Roman"/>
                  <w:i/>
                  <w:color w:val="000000"/>
                  <w:sz w:val="20"/>
                </w:rPr>
                <w:t>Merritt v. Colonial Foods, Inc.</w:t>
              </w:r>
              <w:r>
                <w:rPr>
                  <w:rFonts w:ascii="Times New Roman" w:hAnsi="Times New Roman"/>
                  <w:color w:val="000000"/>
                  <w:sz w:val="20"/>
                </w:rPr>
                <w:t>, 505 A.2d 757, 765–66 (Del. Ch. 1986)</w:t>
              </w:r>
            </w:hyperlink>
            <w:r>
              <w:rPr>
                <w:rFonts w:ascii="Times New Roman" w:hAnsi="Times New Roman"/>
                <w:color w:val="000000"/>
                <w:sz w:val="20"/>
              </w:rPr>
              <w:t xml:space="preserve"> (Allen, C.) (holding defendants failed to prove “that the merger price was fair considering the value of the then pending derivative claims to the corporation” and that “[i]n the relief phase of this class-action litigation, plaintiffs will be free to introduce evidence relating to .... the value ... of the claims previously asserted in the derivative litigation”); </w:t>
            </w:r>
            <w:hyperlink r:id="r162">
              <w:r>
                <w:rPr>
                  <w:rFonts w:ascii="Times New Roman" w:hAnsi="Times New Roman"/>
                  <w:i/>
                  <w:color w:val="000000"/>
                  <w:sz w:val="20"/>
                </w:rPr>
                <w:t>id.</w:t>
              </w:r>
              <w:r>
                <w:rPr>
                  <w:rFonts w:ascii="Times New Roman" w:hAnsi="Times New Roman"/>
                  <w:color w:val="000000"/>
                  <w:sz w:val="20"/>
                </w:rPr>
                <w:t xml:space="preserve"> at 763 n.3</w:t>
              </w:r>
            </w:hyperlink>
            <w:r>
              <w:rPr>
                <w:rFonts w:ascii="Times New Roman" w:hAnsi="Times New Roman"/>
                <w:color w:val="000000"/>
                <w:sz w:val="20"/>
              </w:rPr>
              <w:t xml:space="preserve"> (extinguishment of derivative claim in merger transaction does not “permit self-dealing fiduciaries inappropriately to avoid their duty to account to minority shareholders” in subsequent entire fairness action); </w:t>
            </w:r>
            <w:r>
              <w:rPr>
                <w:rFonts w:ascii="Times New Roman" w:hAnsi="Times New Roman"/>
                <w:i/>
                <w:color w:val="000000"/>
                <w:sz w:val="20"/>
              </w:rPr>
              <w:t>see also</w:t>
            </w:r>
            <w:r>
              <w:rPr>
                <w:rFonts w:ascii="Times New Roman" w:hAnsi="Times New Roman"/>
                <w:color w:val="000000"/>
                <w:sz w:val="20"/>
              </w:rPr>
              <w:t xml:space="preserve"> </w:t>
            </w:r>
            <w:hyperlink r:id="r163">
              <w:r>
                <w:rPr>
                  <w:rFonts w:ascii="Times New Roman" w:hAnsi="Times New Roman"/>
                  <w:i/>
                  <w:color w:val="000000"/>
                  <w:sz w:val="20"/>
                </w:rPr>
                <w:t>Brinckerhoff v. Tex. E. Prods. Pipeline Co., LLC</w:t>
              </w:r>
              <w:r>
                <w:rPr>
                  <w:rFonts w:ascii="Times New Roman" w:hAnsi="Times New Roman"/>
                  <w:color w:val="000000"/>
                  <w:sz w:val="20"/>
                </w:rPr>
                <w:t>, 986 A.2d 370, 393–94 (Del. Ch. 2010)</w:t>
              </w:r>
            </w:hyperlink>
            <w:r>
              <w:rPr>
                <w:rFonts w:ascii="Times New Roman" w:hAnsi="Times New Roman"/>
                <w:color w:val="000000"/>
                <w:sz w:val="20"/>
              </w:rPr>
              <w:t xml:space="preserve"> (failure by special committee's financial advisor to value derivative action “as a non-operating asset” weighed against finding that merger price was fair); </w:t>
            </w:r>
            <w:hyperlink r:id="r164">
              <w:r>
                <w:rPr>
                  <w:rFonts w:ascii="Times New Roman" w:hAnsi="Times New Roman"/>
                  <w:i/>
                  <w:color w:val="000000"/>
                  <w:sz w:val="20"/>
                </w:rPr>
                <w:t>In re TD Banknorth S'holders Litig.</w:t>
              </w:r>
              <w:r>
                <w:rPr>
                  <w:rFonts w:ascii="Times New Roman" w:hAnsi="Times New Roman"/>
                  <w:color w:val="000000"/>
                  <w:sz w:val="20"/>
                </w:rPr>
                <w:t>, 938 A.2d 654, 665 (Del. Ch. 2007)</w:t>
              </w:r>
            </w:hyperlink>
            <w:r>
              <w:rPr>
                <w:rFonts w:ascii="Times New Roman" w:hAnsi="Times New Roman"/>
                <w:color w:val="000000"/>
                <w:sz w:val="20"/>
              </w:rPr>
              <w:t xml:space="preserve"> (declining to approve settlement that would extinguish derivative claims because “[a] reasonable class representative in the plaintiff's position certainly would have tried to extract substantial consideration for the settlement of these claims”); </w:t>
            </w:r>
            <w:hyperlink r:id="r165">
              <w:r>
                <w:rPr>
                  <w:rFonts w:ascii="Times New Roman" w:hAnsi="Times New Roman"/>
                  <w:i/>
                  <w:color w:val="000000"/>
                  <w:sz w:val="20"/>
                </w:rPr>
                <w:t>Kohls v. Duthie</w:t>
              </w:r>
              <w:r>
                <w:rPr>
                  <w:rFonts w:ascii="Times New Roman" w:hAnsi="Times New Roman"/>
                  <w:color w:val="000000"/>
                  <w:sz w:val="20"/>
                </w:rPr>
                <w:t>, 765 A.2d 1274, 1277–78, 1284 (Del. Ch. 2000)</w:t>
              </w:r>
            </w:hyperlink>
            <w:r>
              <w:rPr>
                <w:rFonts w:ascii="Times New Roman" w:hAnsi="Times New Roman"/>
                <w:color w:val="000000"/>
                <w:sz w:val="20"/>
              </w:rPr>
              <w:t xml:space="preserve"> (recognizing that challenged management buyout of corporation would extinguish derivative claim whose value would “positively affect” the value of stockholders’ shares but declining to enjoin transaction on basis of director defendant's status as a defendant in derivative action because derivative claim was weak, chance of recovery against director defendant in derivative action appeared “exceedingly remote,” and challenged transaction included “a substantial premium” that would compensate for value of derivative claim). </w:t>
            </w:r>
            <w:r>
              <w:rPr>
                <w:rFonts w:ascii="Times New Roman" w:hAnsi="Times New Roman"/>
                <w:i/>
                <w:color w:val="000000"/>
                <w:sz w:val="20"/>
              </w:rPr>
              <w:t>See generally</w:t>
            </w:r>
            <w:r>
              <w:rPr>
                <w:rFonts w:ascii="Times New Roman" w:hAnsi="Times New Roman"/>
                <w:color w:val="000000"/>
                <w:sz w:val="20"/>
              </w:rPr>
              <w:t xml:space="preserve"> David A. Drexler et al., </w:t>
            </w:r>
            <w:r>
              <w:rPr>
                <w:rFonts w:ascii="Times New Roman" w:hAnsi="Times New Roman"/>
                <w:i/>
                <w:color w:val="000000"/>
                <w:sz w:val="20"/>
              </w:rPr>
              <w:t>Delaware Corporation Law and Practice</w:t>
            </w:r>
            <w:r>
              <w:rPr>
                <w:rFonts w:ascii="Times New Roman" w:hAnsi="Times New Roman"/>
                <w:color w:val="000000"/>
                <w:sz w:val="20"/>
              </w:rPr>
              <w:t xml:space="preserve"> § 36.08(1)(E), at 36-25 (1999 &amp; Supp.) (“Where the corporate cause of action involves a reasonably readily ascertainable quantum of damages ... and the cause of action is clearly established in the record, the Delaware courts appear willing to include the value of such a cause of action in determining the overall asset value.” (collecting cases)).</w:t>
            </w:r>
          </w:p>
        </w:tc>
      </w:tr>
      <w:tr>
        <w:tblPrEx/>
        <w:trPr/>
        <w:tc>
          <w:tcPr>
            <w:vAlign w:val="top"/>
          </w:tcPr>
          <w:p>
            <w:pPr>
              <w:spacing w:before="0" w:after="0" w:line="275" w:lineRule="atLeast"/>
            </w:pPr>
            <w:bookmarkStart w:id="245" w:name="co_footnote_B00242055700832_1"/>
            <w:hyperlink w:anchor="co_fnRef_B00242055700832_ID0EYYAK_1">
              <w:r>
                <w:rPr>
                  <w:rFonts w:ascii="Times New Roman" w:hAnsi="Times New Roman"/>
                  <w:color w:val="000000"/>
                  <w:sz w:val="20"/>
                  <w:vertAlign w:val="superscript"/>
                </w:rPr>
                <w:t>24</w:t>
              </w:r>
            </w:hyperlink>
            <w:bookmarkEnd w:id="245"/>
          </w:p>
        </w:tc>
        <w:tc>
          <w:tcPr>
            <w:vAlign w:val="top"/>
          </w:tcPr>
          <w:p>
            <w:pPr>
              <w:pBdr>
                <w:bottom w:val="none" w:space="8"/>
              </w:pBdr>
              <w:spacing w:before="0" w:after="0" w:line="275" w:lineRule="atLeast"/>
              <w:jc w:val="both"/>
            </w:pPr>
            <w:r>
              <w:rPr>
                <w:rFonts w:ascii="Times New Roman" w:hAnsi="Times New Roman"/>
                <w:i/>
                <w:color w:val="000000"/>
                <w:sz w:val="20"/>
              </w:rPr>
              <w:t>See</w:t>
            </w:r>
            <w:r>
              <w:rPr>
                <w:rFonts w:ascii="Times New Roman" w:hAnsi="Times New Roman"/>
                <w:color w:val="000000"/>
                <w:sz w:val="20"/>
              </w:rPr>
              <w:t xml:space="preserve"> </w:t>
            </w:r>
            <w:hyperlink r:id="r166">
              <w:r>
                <w:rPr>
                  <w:rFonts w:ascii="Times New Roman" w:hAnsi="Times New Roman"/>
                  <w:i/>
                  <w:color w:val="000000"/>
                  <w:sz w:val="20"/>
                </w:rPr>
                <w:t>Merion</w:t>
              </w:r>
              <w:r>
                <w:rPr>
                  <w:rFonts w:ascii="Times New Roman" w:hAnsi="Times New Roman"/>
                  <w:color w:val="000000"/>
                  <w:sz w:val="20"/>
                </w:rPr>
                <w:t>, 2013 WL 3793896, at *7</w:t>
              </w:r>
            </w:hyperlink>
            <w:r>
              <w:rPr>
                <w:rFonts w:ascii="Times New Roman" w:hAnsi="Times New Roman"/>
                <w:color w:val="000000"/>
                <w:sz w:val="20"/>
              </w:rPr>
              <w:t xml:space="preserve"> (rejecting use of comparable companies analysis due to difference in size between “comparable” companies and subject company); </w:t>
            </w:r>
            <w:r>
              <w:rPr>
                <w:rFonts w:ascii="Times New Roman" w:hAnsi="Times New Roman"/>
                <w:i/>
                <w:color w:val="000000"/>
                <w:sz w:val="20"/>
              </w:rPr>
              <w:t>Orchard</w:t>
            </w:r>
            <w:r>
              <w:rPr>
                <w:rFonts w:ascii="Times New Roman" w:hAnsi="Times New Roman"/>
                <w:color w:val="000000"/>
                <w:sz w:val="20"/>
              </w:rPr>
              <w:t xml:space="preserve">, </w:t>
            </w:r>
            <w:hyperlink r:id="r167">
              <w:r>
                <w:rPr>
                  <w:rFonts w:ascii="Times New Roman" w:hAnsi="Times New Roman"/>
                  <w:color w:val="000000"/>
                  <w:sz w:val="20"/>
                </w:rPr>
                <w:t>2012 WL 2923305, at *9</w:t>
              </w:r>
            </w:hyperlink>
            <w:r>
              <w:rPr>
                <w:rFonts w:ascii="Times New Roman" w:hAnsi="Times New Roman"/>
                <w:color w:val="000000"/>
                <w:sz w:val="20"/>
              </w:rPr>
              <w:t xml:space="preserve"> (“When ... it is difficult to find companies that actually do the same thing as the subject company, the comparables method is less reliable.”); </w:t>
            </w:r>
            <w:hyperlink r:id="r168">
              <w:r>
                <w:rPr>
                  <w:rFonts w:ascii="Times New Roman" w:hAnsi="Times New Roman"/>
                  <w:i/>
                  <w:color w:val="000000"/>
                  <w:sz w:val="20"/>
                </w:rPr>
                <w:t>id.</w:t>
              </w:r>
              <w:r>
                <w:rPr>
                  <w:rFonts w:ascii="Times New Roman" w:hAnsi="Times New Roman"/>
                  <w:color w:val="000000"/>
                  <w:sz w:val="20"/>
                </w:rPr>
                <w:t xml:space="preserve"> at *10</w:t>
              </w:r>
            </w:hyperlink>
            <w:r>
              <w:rPr>
                <w:rFonts w:ascii="Times New Roman" w:hAnsi="Times New Roman"/>
                <w:color w:val="000000"/>
                <w:sz w:val="20"/>
              </w:rPr>
              <w:t xml:space="preserve"> (rejecting use of comparable companies analysis when the “comparable” companies “often make money in ways that do not resemble [the subject company's] business at all”); </w:t>
            </w:r>
            <w:hyperlink r:id="r169">
              <w:r>
                <w:rPr>
                  <w:rFonts w:ascii="Times New Roman" w:hAnsi="Times New Roman"/>
                  <w:i/>
                  <w:color w:val="000000"/>
                  <w:sz w:val="20"/>
                </w:rPr>
                <w:t>Est. of Gallo v. Comm'r</w:t>
              </w:r>
              <w:r>
                <w:rPr>
                  <w:rFonts w:ascii="Times New Roman" w:hAnsi="Times New Roman"/>
                  <w:color w:val="000000"/>
                  <w:sz w:val="20"/>
                </w:rPr>
                <w:t>, 50 T.C.M. (CCH) 470 (T.C. 1985)</w:t>
              </w:r>
            </w:hyperlink>
            <w:r>
              <w:rPr>
                <w:rFonts w:ascii="Times New Roman" w:hAnsi="Times New Roman"/>
                <w:color w:val="000000"/>
                <w:sz w:val="20"/>
              </w:rPr>
              <w:t xml:space="preserve"> (acknowledging that a “mature company with [a] vast national distribution system in place” was not “remotely comparable” to a much smaller, private company in the same industry, necessitating the use of comparable companies from other industries); Pratt, </w:t>
            </w:r>
            <w:r>
              <w:rPr>
                <w:rFonts w:ascii="Times New Roman" w:hAnsi="Times New Roman"/>
                <w:i/>
                <w:color w:val="000000"/>
                <w:sz w:val="20"/>
              </w:rPr>
              <w:t>supra</w:t>
            </w:r>
            <w:r>
              <w:rPr>
                <w:rFonts w:ascii="Times New Roman" w:hAnsi="Times New Roman"/>
                <w:color w:val="000000"/>
                <w:sz w:val="20"/>
              </w:rPr>
              <w:t>, at 276–77.</w:t>
            </w:r>
          </w:p>
        </w:tc>
      </w:tr>
      <w:tr>
        <w:tblPrEx/>
        <w:trPr/>
        <w:tc>
          <w:tcPr>
            <w:vAlign w:val="top"/>
          </w:tcPr>
          <w:p>
            <w:pPr>
              <w:spacing w:before="0" w:after="0" w:line="275" w:lineRule="atLeast"/>
            </w:pPr>
            <w:bookmarkStart w:id="246" w:name="co_footnote_B00252055700832_1"/>
            <w:hyperlink w:anchor="co_fnRef_B00252055700832_ID0E1CBK_1">
              <w:r>
                <w:rPr>
                  <w:rFonts w:ascii="Times New Roman" w:hAnsi="Times New Roman"/>
                  <w:color w:val="000000"/>
                  <w:sz w:val="20"/>
                  <w:vertAlign w:val="superscript"/>
                </w:rPr>
                <w:t>25</w:t>
              </w:r>
            </w:hyperlink>
            <w:bookmarkEnd w:id="246"/>
          </w:p>
        </w:tc>
        <w:tc>
          <w:tcPr>
            <w:vAlign w:val="top"/>
          </w:tcPr>
          <w:p>
            <w:pPr>
              <w:pBdr>
                <w:bottom w:val="none" w:space="8"/>
              </w:pBdr>
              <w:spacing w:before="0" w:after="0" w:line="275" w:lineRule="atLeast"/>
              <w:jc w:val="both"/>
            </w:pPr>
            <w:r>
              <w:rPr>
                <w:rFonts w:ascii="Times New Roman" w:hAnsi="Times New Roman"/>
                <w:color w:val="000000"/>
                <w:sz w:val="20"/>
              </w:rPr>
              <w:t xml:space="preserve">JX 1239 at 12;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i/>
                <w:color w:val="000000"/>
                <w:sz w:val="20"/>
              </w:rPr>
              <w:t>id.</w:t>
            </w:r>
            <w:r>
              <w:rPr>
                <w:rFonts w:ascii="Times New Roman" w:hAnsi="Times New Roman"/>
                <w:color w:val="000000"/>
                <w:sz w:val="20"/>
              </w:rPr>
              <w:t xml:space="preserve"> at 6 (observing AT&amp;T had a “[s]olid [p]latform[ ]” due to its “[s]trong spectrum position,” while its competitors’ “biggest challenge” was their “lack of scale to compete with the likes of Verizon and AT&amp;T”); JX 1209 at ’046 (“Wireless carriers license spectrum from the FCC. Complete spectrum coverage of a geographic area served by a carrier is critical to success. Just as critical is the ability to broadcast more data over the same spectrum (i.e., increasing bandwidth).”); JX 3551 (Duff &amp; Phelps license impairment test explaining that AT&amp;T's “marketing and branding strategy is centered on being able to provide subscribers with a national wireless service footprint,” which depended on AT&amp;T's ownership of spectrum licenses); </w:t>
            </w:r>
            <w:r>
              <w:rPr>
                <w:rFonts w:ascii="Times New Roman" w:hAnsi="Times New Roman"/>
                <w:i/>
                <w:color w:val="000000"/>
                <w:sz w:val="20"/>
              </w:rPr>
              <w:t>see also</w:t>
            </w:r>
            <w:r>
              <w:rPr>
                <w:rFonts w:ascii="Times New Roman" w:hAnsi="Times New Roman"/>
                <w:color w:val="000000"/>
                <w:sz w:val="20"/>
              </w:rPr>
              <w:t xml:space="preserve"> Taylor Report at 10 (“Going forward, consolidation activity in the sector would be heavily influenced by the need of carriers to access additional spectrum, because fulfilling data demand for more advanced 4G services would require significantly greater bandwidth.”).</w:t>
            </w:r>
          </w:p>
        </w:tc>
      </w:tr>
      <w:tr>
        <w:tblPrEx/>
        <w:trPr/>
        <w:tc>
          <w:tcPr>
            <w:vAlign w:val="top"/>
          </w:tcPr>
          <w:p>
            <w:pPr>
              <w:spacing w:before="0" w:after="0" w:line="275" w:lineRule="atLeast"/>
            </w:pPr>
            <w:bookmarkStart w:id="247" w:name="co_footnote_B00262055700832_1"/>
            <w:hyperlink w:anchor="co_fnRef_B00262055700832_ID0EKGCK_1">
              <w:r>
                <w:rPr>
                  <w:rFonts w:ascii="Times New Roman" w:hAnsi="Times New Roman"/>
                  <w:color w:val="000000"/>
                  <w:sz w:val="20"/>
                  <w:vertAlign w:val="superscript"/>
                </w:rPr>
                <w:t>26</w:t>
              </w:r>
            </w:hyperlink>
            <w:bookmarkEnd w:id="247"/>
          </w:p>
        </w:tc>
        <w:tc>
          <w:tcPr>
            <w:vAlign w:val="top"/>
          </w:tcPr>
          <w:p>
            <w:pPr>
              <w:pBdr>
                <w:bottom w:val="none" w:space="8"/>
              </w:pBdr>
              <w:spacing w:before="0" w:after="0" w:line="275" w:lineRule="atLeast"/>
              <w:jc w:val="both"/>
            </w:pPr>
            <w:r>
              <w:rPr>
                <w:rFonts w:ascii="Times New Roman" w:hAnsi="Times New Roman"/>
                <w:color w:val="000000"/>
                <w:sz w:val="20"/>
              </w:rPr>
              <w:t xml:space="preserve">Taylor tried to justify using NPA-NXX by claiming that any inaccuracy would be partially offset by the outcollect roaming revenue the Partnership would receive when would-be subscribers of the Partnership used their wireless devices in the Salem Market. Taylor Report at 68. In the </w:t>
            </w:r>
            <w:r>
              <w:rPr>
                <w:rFonts w:ascii="Times New Roman" w:hAnsi="Times New Roman"/>
                <w:i/>
                <w:color w:val="000000"/>
                <w:sz w:val="20"/>
              </w:rPr>
              <w:t>Salem Contract Decision</w:t>
            </w:r>
            <w:r>
              <w:rPr>
                <w:rFonts w:ascii="Times New Roman" w:hAnsi="Times New Roman"/>
                <w:color w:val="000000"/>
                <w:sz w:val="20"/>
              </w:rPr>
              <w:t>, this court found that</w:t>
            </w:r>
          </w:p>
          <w:p>
            <w:pPr>
              <w:pBdr>
                <w:left w:val="none" w:space="10"/>
                <w:bottom w:val="none" w:space="8"/>
              </w:pBdr>
              <w:spacing w:before="0" w:after="0" w:line="275" w:lineRule="atLeast"/>
              <w:ind w:left="200" w:right="0" w:firstLine="0"/>
              <w:jc w:val="both"/>
            </w:pPr>
            <w:r>
              <w:rPr>
                <w:rFonts w:ascii="Times New Roman" w:hAnsi="Times New Roman"/>
                <w:color w:val="000000"/>
                <w:sz w:val="20"/>
              </w:rPr>
              <w:t>the outcollect-incollect system did not fairly account for the revenue and expense of the Partnership. Under AT&amp;T's system, a subscriber who moved out of the Partnership's area continued to generate incollect expense for the Partnership, but the subscriber no longer generated any offsetting network usage revenue for the Partnership. AT&amp;T's methodology thus generated expense that had nothing to do with the operation of the Partnership's business.</w:t>
            </w:r>
          </w:p>
          <w:p>
            <w:pPr>
              <w:pBdr>
                <w:bottom w:val="none" w:space="8"/>
              </w:pBdr>
              <w:spacing w:before="0" w:after="0" w:line="275" w:lineRule="atLeast"/>
              <w:jc w:val="both"/>
            </w:pPr>
            <w:r>
              <w:rPr>
                <w:rFonts w:ascii="Times New Roman" w:hAnsi="Times New Roman"/>
                <w:i/>
                <w:color w:val="000000"/>
                <w:sz w:val="20"/>
              </w:rPr>
              <w:t>Salem Contract Decision</w:t>
            </w:r>
            <w:r>
              <w:rPr>
                <w:rFonts w:ascii="Times New Roman" w:hAnsi="Times New Roman"/>
                <w:color w:val="000000"/>
                <w:sz w:val="20"/>
              </w:rPr>
              <w:t xml:space="preserve">, </w:t>
            </w:r>
            <w:hyperlink r:id="r170">
              <w:r>
                <w:rPr>
                  <w:rFonts w:ascii="Times New Roman" w:hAnsi="Times New Roman"/>
                  <w:color w:val="000000"/>
                  <w:sz w:val="20"/>
                </w:rPr>
                <w:t>2021 WL 4438046, at *54</w:t>
              </w:r>
            </w:hyperlink>
            <w:r>
              <w:rPr>
                <w:rFonts w:ascii="Times New Roman" w:hAnsi="Times New Roman"/>
                <w:color w:val="000000"/>
                <w:sz w:val="20"/>
              </w:rPr>
              <w:t xml:space="preserve">. AT&amp;T also suggested that the use of the NPA-NXX </w:t>
            </w:r>
            <w:r>
              <w:rPr>
                <w:rFonts w:ascii="Times New Roman" w:hAnsi="Times New Roman"/>
                <w:i/>
                <w:color w:val="000000"/>
                <w:sz w:val="20"/>
              </w:rPr>
              <w:t>benefited</w:t>
            </w:r>
            <w:r>
              <w:rPr>
                <w:rFonts w:ascii="Times New Roman" w:hAnsi="Times New Roman"/>
                <w:color w:val="000000"/>
                <w:sz w:val="20"/>
              </w:rPr>
              <w:t xml:space="preserve"> the Partnership because a subscriber who relocated to another market still would generate monthly access fees that would be allocated to the Partnership. Dkt. 614 at 12–13; </w:t>
            </w:r>
            <w:r>
              <w:rPr>
                <w:rFonts w:ascii="Times New Roman" w:hAnsi="Times New Roman"/>
                <w:i/>
                <w:color w:val="000000"/>
                <w:sz w:val="20"/>
              </w:rPr>
              <w:t>see</w:t>
            </w:r>
            <w:r>
              <w:rPr>
                <w:rFonts w:ascii="Times New Roman" w:hAnsi="Times New Roman"/>
                <w:color w:val="000000"/>
                <w:sz w:val="20"/>
              </w:rPr>
              <w:t xml:space="preserve"> Wages Tr. 344–45; Hall Tr. 1040–41. In the </w:t>
            </w:r>
            <w:r>
              <w:rPr>
                <w:rFonts w:ascii="Times New Roman" w:hAnsi="Times New Roman"/>
                <w:i/>
                <w:color w:val="000000"/>
                <w:sz w:val="20"/>
              </w:rPr>
              <w:t>Salem Contract Decision</w:t>
            </w:r>
            <w:r>
              <w:rPr>
                <w:rFonts w:ascii="Times New Roman" w:hAnsi="Times New Roman"/>
                <w:color w:val="000000"/>
                <w:sz w:val="20"/>
              </w:rPr>
              <w:t xml:space="preserve">, this court held that “the evidence does not establish that the monthly recurring access fees exceeded the incollect expense, and there is no evidence that anyone at AT&amp;T ever conducted the cost-benefit calculation in real time. Instead, the record evidence makes it unlikely that the Partnership came out ahead.” </w:t>
            </w:r>
            <w:hyperlink r:id="r171">
              <w:r>
                <w:rPr>
                  <w:rFonts w:ascii="Times New Roman" w:hAnsi="Times New Roman"/>
                  <w:color w:val="000000"/>
                  <w:sz w:val="20"/>
                </w:rPr>
                <w:t>2021 WL 4438046, at *54</w:t>
              </w:r>
            </w:hyperlink>
            <w:r>
              <w:rPr>
                <w:rFonts w:ascii="Times New Roman" w:hAnsi="Times New Roman"/>
                <w:color w:val="000000"/>
                <w:sz w:val="20"/>
              </w:rPr>
              <w:t xml:space="preserve">. Taylor recognized that the partnerships likely incurred net losses from subscribers who relocated. Taylor Tr. 711–12. And, as noted in the </w:t>
            </w:r>
            <w:r>
              <w:rPr>
                <w:rFonts w:ascii="Times New Roman" w:hAnsi="Times New Roman"/>
                <w:i/>
                <w:color w:val="000000"/>
                <w:sz w:val="20"/>
              </w:rPr>
              <w:t>Salem Contract Decision</w:t>
            </w:r>
            <w:r>
              <w:rPr>
                <w:rFonts w:ascii="Times New Roman" w:hAnsi="Times New Roman"/>
                <w:color w:val="000000"/>
                <w:sz w:val="20"/>
              </w:rPr>
              <w:t xml:space="preserve">, AT&amp;T continued to allocate equipment expenses to the Partnership each time a relocated subscriber purchased a new cell phone, even though the </w:t>
            </w:r>
            <w:hyperlink r:id="r172">
              <w:r>
                <w:rPr>
                  <w:rFonts w:ascii="Times New Roman" w:hAnsi="Times New Roman"/>
                  <w:color w:val="000000"/>
                  <w:sz w:val="20"/>
                </w:rPr>
                <w:t>Partnership no longer received revenue from that subscriber's use of AT&amp;T's network. 2021 WL 4438046, at *54</w:t>
              </w:r>
            </w:hyperlink>
            <w:r>
              <w:rPr>
                <w:rFonts w:ascii="Times New Roman" w:hAnsi="Times New Roman"/>
                <w:color w:val="000000"/>
                <w:sz w:val="20"/>
              </w:rPr>
              <w:t>. Worse still for the Partnership, AT&amp;T allocated three categories of General and Administrative expenses to the Partnership for each subscriber whose NPA-NXX number was associated with the Partnership, regardless of whether that subscriber long since had relocated outside of the Salem Market. Wages 2019 Dep. 174–75. The Partnership thus incurred those categories of General and Administrative expense without offsetting revenue. By the time of the Freeze-Out, the NPA-NXX system was unreliable, and its continued use penalized the Partnership.</w:t>
            </w:r>
          </w:p>
        </w:tc>
      </w:tr>
      <w:tr>
        <w:tblPrEx/>
        <w:trPr/>
        <w:tc>
          <w:tcPr>
            <w:vAlign w:val="top"/>
          </w:tcPr>
          <w:p>
            <w:pPr>
              <w:spacing w:before="0" w:after="0" w:line="275" w:lineRule="atLeast"/>
            </w:pPr>
            <w:bookmarkStart w:id="248" w:name="co_footnote_B00272055700832_1"/>
            <w:hyperlink w:anchor="co_fnRef_B00272055700832_ID0EW4CK_1">
              <w:r>
                <w:rPr>
                  <w:rFonts w:ascii="Times New Roman" w:hAnsi="Times New Roman"/>
                  <w:color w:val="000000"/>
                  <w:sz w:val="20"/>
                  <w:vertAlign w:val="superscript"/>
                </w:rPr>
                <w:t>27</w:t>
              </w:r>
            </w:hyperlink>
            <w:bookmarkEnd w:id="248"/>
          </w:p>
        </w:tc>
        <w:tc>
          <w:tcPr>
            <w:vAlign w:val="top"/>
          </w:tcPr>
          <w:p>
            <w:pPr>
              <w:pBdr>
                <w:bottom w:val="none" w:space="8"/>
              </w:pBdr>
              <w:spacing w:before="0" w:after="0" w:line="275" w:lineRule="atLeast"/>
              <w:jc w:val="both"/>
            </w:pPr>
            <w:r>
              <w:rPr>
                <w:rFonts w:ascii="Times New Roman" w:hAnsi="Times New Roman"/>
                <w:i/>
                <w:color w:val="000000"/>
                <w:sz w:val="20"/>
              </w:rPr>
              <w:t>See</w:t>
            </w:r>
            <w:r>
              <w:rPr>
                <w:rFonts w:ascii="Times New Roman" w:hAnsi="Times New Roman"/>
                <w:color w:val="000000"/>
                <w:sz w:val="20"/>
              </w:rPr>
              <w:t xml:space="preserve"> JX 3530, “Salem Subs Build” tab, Rows 32:34. For example, the three-year CAGR for the share of postpaid subscribers in Taylor's model was 0.5%.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i/>
                <w:color w:val="000000"/>
                <w:sz w:val="20"/>
              </w:rPr>
              <w:t>id.</w:t>
            </w:r>
            <w:r>
              <w:rPr>
                <w:rFonts w:ascii="Times New Roman" w:hAnsi="Times New Roman"/>
                <w:color w:val="000000"/>
                <w:sz w:val="20"/>
              </w:rPr>
              <w:t xml:space="preserve">, Cells D32:F32, I32. Following that trend would have been even more favorable to the Partnership than following AT&amp;T's projections, which projected that the share of postpaid subscribers would increase at a 0.29% CAGR. Instead of growing postpaid subscribers at that rate, Taylor grew postpaid subscribers at a 0.09% CAGR over the ten-year discrete projection period. More strikingly, prepaid subscribers declined during the four years before the Freeze-Out, but Taylor forecasted that they would increase as a share of total subscribers. </w:t>
            </w:r>
            <w:r>
              <w:rPr>
                <w:rFonts w:ascii="Times New Roman" w:hAnsi="Times New Roman"/>
                <w:i/>
                <w:color w:val="000000"/>
                <w:sz w:val="20"/>
              </w:rPr>
              <w:t>Id.</w:t>
            </w:r>
            <w:r>
              <w:rPr>
                <w:rFonts w:ascii="Times New Roman" w:hAnsi="Times New Roman"/>
                <w:color w:val="000000"/>
                <w:sz w:val="20"/>
              </w:rPr>
              <w:t>, Row 33.</w:t>
            </w:r>
          </w:p>
        </w:tc>
      </w:tr>
      <w:tr>
        <w:tblPrEx/>
        <w:trPr/>
        <w:tc>
          <w:tcPr>
            <w:vAlign w:val="top"/>
          </w:tcPr>
          <w:p>
            <w:pPr>
              <w:spacing w:before="0" w:after="0" w:line="275" w:lineRule="atLeast"/>
            </w:pPr>
            <w:bookmarkStart w:id="249" w:name="co_footnote_B00282055700832_1"/>
            <w:hyperlink w:anchor="co_fnRef_B00282055700832_ID0ECIDK_1">
              <w:r>
                <w:rPr>
                  <w:rFonts w:ascii="Times New Roman" w:hAnsi="Times New Roman"/>
                  <w:color w:val="000000"/>
                  <w:sz w:val="20"/>
                  <w:vertAlign w:val="superscript"/>
                </w:rPr>
                <w:t>28</w:t>
              </w:r>
            </w:hyperlink>
            <w:bookmarkEnd w:id="249"/>
          </w:p>
        </w:tc>
        <w:tc>
          <w:tcPr>
            <w:vAlign w:val="top"/>
          </w:tcPr>
          <w:p>
            <w:pPr>
              <w:pBdr>
                <w:bottom w:val="none" w:space="8"/>
              </w:pBdr>
              <w:spacing w:before="0" w:after="0" w:line="275" w:lineRule="atLeast"/>
              <w:jc w:val="both"/>
            </w:pPr>
            <w:hyperlink r:id="r173">
              <w:r>
                <w:rPr>
                  <w:rFonts w:ascii="Times New Roman" w:hAnsi="Times New Roman"/>
                  <w:i/>
                  <w:color w:val="000000"/>
                  <w:sz w:val="20"/>
                </w:rPr>
                <w:t>Glob. GT LP v. Golden Telecom, Inc.</w:t>
              </w:r>
              <w:r>
                <w:rPr>
                  <w:rFonts w:ascii="Times New Roman" w:hAnsi="Times New Roman"/>
                  <w:color w:val="000000"/>
                  <w:sz w:val="20"/>
                </w:rPr>
                <w:t>, 993 A.2d 497, 511 (Del. Ch. 2010)</w:t>
              </w:r>
            </w:hyperlink>
            <w:r>
              <w:rPr>
                <w:rFonts w:ascii="Times New Roman" w:hAnsi="Times New Roman"/>
                <w:color w:val="000000"/>
                <w:sz w:val="20"/>
              </w:rPr>
              <w:t xml:space="preserve">, </w:t>
            </w:r>
            <w:r>
              <w:rPr>
                <w:rFonts w:ascii="Times New Roman" w:hAnsi="Times New Roman"/>
                <w:i/>
                <w:color w:val="000000"/>
                <w:sz w:val="20"/>
              </w:rPr>
              <w:t>aff'd</w:t>
            </w:r>
            <w:r>
              <w:rPr>
                <w:rFonts w:ascii="Times New Roman" w:hAnsi="Times New Roman"/>
                <w:color w:val="000000"/>
                <w:sz w:val="20"/>
              </w:rPr>
              <w:t xml:space="preserve">, </w:t>
            </w:r>
            <w:hyperlink r:id="r174">
              <w:r>
                <w:rPr>
                  <w:rFonts w:ascii="Times New Roman" w:hAnsi="Times New Roman"/>
                  <w:color w:val="000000"/>
                  <w:sz w:val="20"/>
                </w:rPr>
                <w:t>11 A.3d 214 (Del. 2010)</w:t>
              </w:r>
            </w:hyperlink>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Pratt, </w:t>
            </w:r>
            <w:r>
              <w:rPr>
                <w:rFonts w:ascii="Times New Roman" w:hAnsi="Times New Roman"/>
                <w:i/>
                <w:color w:val="000000"/>
                <w:sz w:val="20"/>
              </w:rPr>
              <w:t>supra</w:t>
            </w:r>
            <w:r>
              <w:rPr>
                <w:rFonts w:ascii="Times New Roman" w:hAnsi="Times New Roman"/>
                <w:color w:val="000000"/>
                <w:sz w:val="20"/>
              </w:rPr>
              <w:t xml:space="preserve">, at 247 (explaining that when a capital asset pricing model (“CAPM”) “is used to develop the present value discount rate from which the growth rate is to be subtracted, ... that discount rate incorporates the expected rate of inflation as part of the required rate of return,” so “the selected long-term growth rate should also reflect the impact of expected inflation”); </w:t>
            </w:r>
            <w:r>
              <w:rPr>
                <w:rFonts w:ascii="Times New Roman" w:hAnsi="Times New Roman"/>
                <w:i/>
                <w:color w:val="000000"/>
                <w:sz w:val="20"/>
              </w:rPr>
              <w:t>see also</w:t>
            </w:r>
            <w:r>
              <w:rPr>
                <w:rFonts w:ascii="Times New Roman" w:hAnsi="Times New Roman"/>
                <w:color w:val="000000"/>
                <w:sz w:val="20"/>
              </w:rPr>
              <w:t xml:space="preserve"> </w:t>
            </w:r>
            <w:hyperlink r:id="r175">
              <w:r>
                <w:rPr>
                  <w:rFonts w:ascii="Times New Roman" w:hAnsi="Times New Roman"/>
                  <w:i/>
                  <w:color w:val="000000"/>
                  <w:sz w:val="20"/>
                </w:rPr>
                <w:t>Maclane Gas Co. Ltd. P'ship v. Enserch Corp.</w:t>
              </w:r>
              <w:r>
                <w:rPr>
                  <w:rFonts w:ascii="Times New Roman" w:hAnsi="Times New Roman"/>
                  <w:color w:val="000000"/>
                  <w:sz w:val="20"/>
                </w:rPr>
                <w:t>, 1992 WL 368614, at *2 (Del. Ch. Dec. 9, 1992)</w:t>
              </w:r>
            </w:hyperlink>
            <w:r>
              <w:rPr>
                <w:rFonts w:ascii="Times New Roman" w:hAnsi="Times New Roman"/>
                <w:color w:val="000000"/>
                <w:sz w:val="20"/>
              </w:rPr>
              <w:t xml:space="preserve"> (adopting inflation adjustment to terminal year cash flow to “achieve a model that fairly depicts a firm whose capital base is maintained in value”), </w:t>
            </w:r>
            <w:r>
              <w:rPr>
                <w:rFonts w:ascii="Times New Roman" w:hAnsi="Times New Roman"/>
                <w:i/>
                <w:color w:val="000000"/>
                <w:sz w:val="20"/>
              </w:rPr>
              <w:t>aff'd</w:t>
            </w:r>
            <w:r>
              <w:rPr>
                <w:rFonts w:ascii="Times New Roman" w:hAnsi="Times New Roman"/>
                <w:color w:val="000000"/>
                <w:sz w:val="20"/>
              </w:rPr>
              <w:t xml:space="preserve">, </w:t>
            </w:r>
            <w:hyperlink r:id="r176">
              <w:r>
                <w:rPr>
                  <w:rFonts w:ascii="Times New Roman" w:hAnsi="Times New Roman"/>
                  <w:color w:val="000000"/>
                  <w:sz w:val="20"/>
                </w:rPr>
                <w:t>633 A.2d 369 (Del. 1993)</w:t>
              </w:r>
            </w:hyperlink>
            <w:r>
              <w:rPr>
                <w:rFonts w:ascii="Times New Roman" w:hAnsi="Times New Roman"/>
                <w:color w:val="000000"/>
                <w:sz w:val="20"/>
              </w:rPr>
              <w:t xml:space="preserve"> (TABLE); </w:t>
            </w:r>
            <w:hyperlink r:id="r177">
              <w:r>
                <w:rPr>
                  <w:rFonts w:ascii="Times New Roman" w:hAnsi="Times New Roman"/>
                  <w:i/>
                  <w:color w:val="000000"/>
                  <w:sz w:val="20"/>
                </w:rPr>
                <w:t>Cede &amp; Co. v. Technicolor</w:t>
              </w:r>
              <w:r>
                <w:rPr>
                  <w:rFonts w:ascii="Times New Roman" w:hAnsi="Times New Roman"/>
                  <w:color w:val="000000"/>
                  <w:sz w:val="20"/>
                </w:rPr>
                <w:t>, 1990 WL 161084, at *26–27 (Del. Ch. Oct. 19, 1990)</w:t>
              </w:r>
            </w:hyperlink>
            <w:r>
              <w:rPr>
                <w:rFonts w:ascii="Times New Roman" w:hAnsi="Times New Roman"/>
                <w:color w:val="000000"/>
                <w:sz w:val="20"/>
              </w:rPr>
              <w:t xml:space="preserve"> (describing upward adjustment to terminal period cash flow to account for inflation as not “wrong as a matter of logic” and “present[ing] a reasonable approach recognized in the world of financial analysis”).</w:t>
            </w:r>
          </w:p>
        </w:tc>
      </w:tr>
      <w:tr>
        <w:tblPrEx/>
        <w:trPr/>
        <w:tc>
          <w:tcPr>
            <w:vAlign w:val="top"/>
          </w:tcPr>
          <w:p>
            <w:pPr>
              <w:spacing w:before="0" w:after="0" w:line="275" w:lineRule="atLeast"/>
            </w:pPr>
            <w:bookmarkStart w:id="250" w:name="co_footnote_B00292055700832_1"/>
            <w:hyperlink w:anchor="co_fnRef_B00292055700832_ID0ERPDK_1">
              <w:r>
                <w:rPr>
                  <w:rFonts w:ascii="Times New Roman" w:hAnsi="Times New Roman"/>
                  <w:color w:val="000000"/>
                  <w:sz w:val="20"/>
                  <w:vertAlign w:val="superscript"/>
                </w:rPr>
                <w:t>29</w:t>
              </w:r>
            </w:hyperlink>
            <w:bookmarkEnd w:id="250"/>
          </w:p>
        </w:tc>
        <w:tc>
          <w:tcPr>
            <w:vAlign w:val="top"/>
          </w:tcPr>
          <w:p>
            <w:pPr>
              <w:pBdr>
                <w:bottom w:val="none" w:space="8"/>
              </w:pBdr>
              <w:spacing w:before="0" w:after="0" w:line="275" w:lineRule="atLeast"/>
              <w:jc w:val="both"/>
            </w:pPr>
            <w:r>
              <w:rPr>
                <w:rFonts w:ascii="Times New Roman" w:hAnsi="Times New Roman"/>
                <w:i/>
                <w:color w:val="000000"/>
                <w:sz w:val="20"/>
              </w:rPr>
              <w:t>See</w:t>
            </w:r>
            <w:r>
              <w:rPr>
                <w:rFonts w:ascii="Times New Roman" w:hAnsi="Times New Roman"/>
                <w:color w:val="000000"/>
                <w:sz w:val="20"/>
              </w:rPr>
              <w:t xml:space="preserve"> JX 1132, “Revenue Excl Overlays” tab, Cells BO56, BO64. For the reasons stated above the line, the comparison is not valid. In addition, the revenue growth forecasts in the Ten-Year Plan did not include Connected Device revenue, meaning that they omitted the effects of the high-growth segment that AT&amp;T saw as the future of its wireless business. </w:t>
            </w:r>
            <w:r>
              <w:rPr>
                <w:rFonts w:ascii="Times New Roman" w:hAnsi="Times New Roman"/>
                <w:i/>
                <w:color w:val="000000"/>
                <w:sz w:val="20"/>
              </w:rPr>
              <w:t>See</w:t>
            </w:r>
            <w:r>
              <w:rPr>
                <w:rFonts w:ascii="Times New Roman" w:hAnsi="Times New Roman"/>
                <w:color w:val="000000"/>
                <w:sz w:val="20"/>
              </w:rPr>
              <w:t xml:space="preserve"> JX 1132, “Revenue Excl Overlays” tab;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i/>
                <w:color w:val="000000"/>
                <w:sz w:val="20"/>
              </w:rPr>
              <w:t>id.</w:t>
            </w:r>
            <w:r>
              <w:rPr>
                <w:rFonts w:ascii="Times New Roman" w:hAnsi="Times New Roman"/>
                <w:color w:val="000000"/>
                <w:sz w:val="20"/>
              </w:rPr>
              <w:t>, “Conn_Devices” tab (Connected Devices accounted for separately and not included in “Revenue Excluding Overlays” tab Taylor used to support her growth rates).</w:t>
            </w:r>
          </w:p>
        </w:tc>
      </w:tr>
      <w:tr>
        <w:tblPrEx/>
        <w:trPr/>
        <w:tc>
          <w:tcPr>
            <w:vAlign w:val="top"/>
          </w:tcPr>
          <w:p>
            <w:pPr>
              <w:spacing w:before="0" w:after="0" w:line="275" w:lineRule="atLeast"/>
            </w:pPr>
            <w:bookmarkStart w:id="251" w:name="co_footnote_B00302055700832_1"/>
            <w:hyperlink w:anchor="co_fnRef_B00302055700832_ID0EYYDK_1">
              <w:r>
                <w:rPr>
                  <w:rFonts w:ascii="Times New Roman" w:hAnsi="Times New Roman"/>
                  <w:color w:val="000000"/>
                  <w:sz w:val="20"/>
                  <w:vertAlign w:val="superscript"/>
                </w:rPr>
                <w:t>30</w:t>
              </w:r>
            </w:hyperlink>
            <w:bookmarkEnd w:id="251"/>
          </w:p>
        </w:tc>
        <w:tc>
          <w:tcPr>
            <w:vAlign w:val="top"/>
          </w:tcPr>
          <w:p>
            <w:pPr>
              <w:pBdr>
                <w:bottom w:val="none" w:space="8"/>
              </w:pBdr>
              <w:spacing w:before="0" w:after="0" w:line="275" w:lineRule="atLeast"/>
              <w:jc w:val="both"/>
            </w:pPr>
            <w:r>
              <w:rPr>
                <w:rFonts w:ascii="Times New Roman" w:hAnsi="Times New Roman"/>
                <w:i/>
                <w:color w:val="000000"/>
                <w:sz w:val="20"/>
              </w:rPr>
              <w:t>See</w:t>
            </w:r>
            <w:r>
              <w:rPr>
                <w:rFonts w:ascii="Times New Roman" w:hAnsi="Times New Roman"/>
                <w:color w:val="000000"/>
                <w:sz w:val="20"/>
              </w:rPr>
              <w:t xml:space="preserve"> Damodaran, </w:t>
            </w:r>
            <w:r>
              <w:rPr>
                <w:rFonts w:ascii="Times New Roman" w:hAnsi="Times New Roman"/>
                <w:i/>
                <w:color w:val="000000"/>
                <w:sz w:val="20"/>
              </w:rPr>
              <w:t>supra</w:t>
            </w:r>
            <w:r>
              <w:rPr>
                <w:rFonts w:ascii="Times New Roman" w:hAnsi="Times New Roman"/>
                <w:color w:val="000000"/>
                <w:sz w:val="20"/>
              </w:rPr>
              <w:t xml:space="preserve">, at 252 (“If the same tax rate has to be applied to earnings every period, the safer choice is the marginal tax rate ....”); </w:t>
            </w:r>
            <w:r>
              <w:rPr>
                <w:rFonts w:ascii="Times New Roman" w:hAnsi="Times New Roman"/>
                <w:i/>
                <w:color w:val="000000"/>
                <w:sz w:val="20"/>
              </w:rPr>
              <w:t>accord</w:t>
            </w:r>
            <w:r>
              <w:rPr>
                <w:rFonts w:ascii="Times New Roman" w:hAnsi="Times New Roman"/>
                <w:color w:val="000000"/>
                <w:sz w:val="20"/>
              </w:rPr>
              <w:t xml:space="preserve"> </w:t>
            </w:r>
            <w:hyperlink r:id="r178">
              <w:r>
                <w:rPr>
                  <w:rFonts w:ascii="Times New Roman" w:hAnsi="Times New Roman"/>
                  <w:i/>
                  <w:color w:val="000000"/>
                  <w:sz w:val="20"/>
                </w:rPr>
                <w:t>In re Appraisal of Ancestry.com, Inc.</w:t>
              </w:r>
              <w:r>
                <w:rPr>
                  <w:rFonts w:ascii="Times New Roman" w:hAnsi="Times New Roman"/>
                  <w:color w:val="000000"/>
                  <w:sz w:val="20"/>
                </w:rPr>
                <w:t>, 2015 WL 399726, at *20 (Del. Ch. Jan. 30, 2015)</w:t>
              </w:r>
            </w:hyperlink>
            <w:r>
              <w:rPr>
                <w:rFonts w:ascii="Times New Roman" w:hAnsi="Times New Roman"/>
                <w:color w:val="000000"/>
                <w:sz w:val="20"/>
              </w:rPr>
              <w:t xml:space="preserve"> (holding that it would be “overly speculative to apply the current tax rate in perpetuity” because use of effective tax rate failed to account for “the transitory nature of tax deductions and credits” (cleaned up)).</w:t>
            </w:r>
          </w:p>
        </w:tc>
      </w:tr>
      <w:tr>
        <w:tblPrEx/>
        <w:trPr/>
        <w:tc>
          <w:tcPr>
            <w:vAlign w:val="top"/>
          </w:tcPr>
          <w:p>
            <w:pPr>
              <w:spacing w:before="0" w:after="0" w:line="275" w:lineRule="atLeast"/>
            </w:pPr>
            <w:bookmarkStart w:id="252" w:name="co_footnote_B00312055700832_1"/>
            <w:hyperlink w:anchor="co_fnRef_B00312055700832_ID0EXOEK_1">
              <w:r>
                <w:rPr>
                  <w:rFonts w:ascii="Times New Roman" w:hAnsi="Times New Roman"/>
                  <w:color w:val="000000"/>
                  <w:sz w:val="20"/>
                  <w:vertAlign w:val="superscript"/>
                </w:rPr>
                <w:t>31</w:t>
              </w:r>
            </w:hyperlink>
            <w:bookmarkEnd w:id="252"/>
          </w:p>
        </w:tc>
        <w:tc>
          <w:tcPr>
            <w:vAlign w:val="top"/>
          </w:tcPr>
          <w:p>
            <w:pPr>
              <w:pBdr>
                <w:bottom w:val="none" w:space="8"/>
              </w:pBdr>
              <w:spacing w:before="0" w:after="0" w:line="275" w:lineRule="atLeast"/>
              <w:jc w:val="both"/>
            </w:pPr>
            <w:r>
              <w:rPr>
                <w:rFonts w:ascii="Times New Roman" w:hAnsi="Times New Roman"/>
                <w:color w:val="000000"/>
                <w:sz w:val="20"/>
              </w:rPr>
              <w:t>The parties focused their disputes on the determinants of revenue. The parties generally agreed on how to calculate expense. Most of the Partnership's expenses are calculated on a per-subscriber basis, so adjustments to the subscriber counts in the flowshare model result in adjustments to expenses.</w:t>
            </w:r>
          </w:p>
        </w:tc>
      </w:tr>
      <w:tr>
        <w:tblPrEx/>
        <w:trPr/>
        <w:tc>
          <w:tcPr>
            <w:vAlign w:val="top"/>
          </w:tcPr>
          <w:p>
            <w:pPr>
              <w:spacing w:before="0" w:after="0" w:line="275" w:lineRule="atLeast"/>
            </w:pPr>
            <w:bookmarkStart w:id="253" w:name="co_footnote_B00322055700832_1"/>
            <w:hyperlink w:anchor="co_fnRef_B00322055700832_ID0ETZEK_1">
              <w:r>
                <w:rPr>
                  <w:rFonts w:ascii="Times New Roman" w:hAnsi="Times New Roman"/>
                  <w:color w:val="000000"/>
                  <w:sz w:val="20"/>
                  <w:vertAlign w:val="superscript"/>
                </w:rPr>
                <w:t>32</w:t>
              </w:r>
            </w:hyperlink>
            <w:bookmarkEnd w:id="253"/>
          </w:p>
        </w:tc>
        <w:tc>
          <w:tcPr>
            <w:vAlign w:val="top"/>
          </w:tcPr>
          <w:p>
            <w:pPr>
              <w:pBdr>
                <w:bottom w:val="none" w:space="8"/>
              </w:pBdr>
              <w:spacing w:before="0" w:after="0" w:line="275" w:lineRule="atLeast"/>
              <w:jc w:val="both"/>
            </w:pPr>
            <w:r>
              <w:rPr>
                <w:rFonts w:ascii="Times New Roman" w:hAnsi="Times New Roman"/>
                <w:color w:val="000000"/>
                <w:sz w:val="20"/>
              </w:rPr>
              <w:t xml:space="preserve">Musey Report at 57; </w:t>
            </w:r>
            <w:r>
              <w:rPr>
                <w:rFonts w:ascii="Times New Roman" w:hAnsi="Times New Roman"/>
                <w:i/>
                <w:color w:val="000000"/>
                <w:sz w:val="20"/>
              </w:rPr>
              <w:t>see</w:t>
            </w:r>
            <w:r>
              <w:rPr>
                <w:rFonts w:ascii="Times New Roman" w:hAnsi="Times New Roman"/>
                <w:color w:val="000000"/>
                <w:sz w:val="20"/>
              </w:rPr>
              <w:t xml:space="preserve"> Taylor Report at 42, Ex. 2. PwC used 78.4% as its initial estimate based on Gopalan's statement that “a market penetration in the high 70s for 2009 is reasonable.” JX 1209 at ’033, ’212. Neither Gopalan nor PwC possessed any data to support this figure. Musey explained persuasively that the estimate was too low. </w:t>
            </w:r>
            <w:r>
              <w:rPr>
                <w:rFonts w:ascii="Times New Roman" w:hAnsi="Times New Roman"/>
                <w:i/>
                <w:color w:val="000000"/>
                <w:sz w:val="20"/>
              </w:rPr>
              <w:t>See</w:t>
            </w:r>
            <w:r>
              <w:rPr>
                <w:rFonts w:ascii="Times New Roman" w:hAnsi="Times New Roman"/>
                <w:color w:val="000000"/>
                <w:sz w:val="20"/>
              </w:rPr>
              <w:t xml:space="preserve"> Musey Report at 56–57. Five months before the Freeze-Out, the FCC published the national and local penetration rates for the United States in 2008, reporting a national penetration rate of 90% and a penetration rate of 86% in the economic area that included the Salem Market. JX 1142 at 9, 221. Musey projected that the penetration rate for the Salem Market would grow to 88% in 2009, consistent with the increase Taylor used. That figure is likely to be conservative. For example, between 2007 and 2008, the national wireless penetration rate increased by 5%. JX 1142 at 9; </w:t>
            </w:r>
            <w:r>
              <w:rPr>
                <w:rFonts w:ascii="Times New Roman" w:hAnsi="Times New Roman"/>
                <w:i/>
                <w:color w:val="000000"/>
                <w:sz w:val="20"/>
              </w:rPr>
              <w:t>see also</w:t>
            </w:r>
            <w:r>
              <w:rPr>
                <w:rFonts w:ascii="Times New Roman" w:hAnsi="Times New Roman"/>
                <w:color w:val="000000"/>
                <w:sz w:val="20"/>
              </w:rPr>
              <w:t xml:space="preserve"> JX 1994 at 95 (2011 FCC report stating that national wireless penetration rate for year-end 2009 was 93.5%).</w:t>
            </w:r>
          </w:p>
        </w:tc>
      </w:tr>
      <w:tr>
        <w:tblPrEx/>
        <w:trPr/>
        <w:tc>
          <w:tcPr>
            <w:vAlign w:val="top"/>
          </w:tcPr>
          <w:p>
            <w:pPr>
              <w:spacing w:before="0" w:after="0" w:line="275" w:lineRule="atLeast"/>
            </w:pPr>
            <w:bookmarkStart w:id="254" w:name="co_footnote_B00332055700832_1"/>
            <w:hyperlink w:anchor="co_fnRef_B00332055700832_ID0EAGFK_1">
              <w:r>
                <w:rPr>
                  <w:rFonts w:ascii="Times New Roman" w:hAnsi="Times New Roman"/>
                  <w:color w:val="000000"/>
                  <w:sz w:val="20"/>
                  <w:vertAlign w:val="superscript"/>
                </w:rPr>
                <w:t>33</w:t>
              </w:r>
            </w:hyperlink>
            <w:bookmarkEnd w:id="254"/>
          </w:p>
        </w:tc>
        <w:tc>
          <w:tcPr>
            <w:vAlign w:val="top"/>
          </w:tcPr>
          <w:p>
            <w:pPr>
              <w:pBdr>
                <w:bottom w:val="none" w:space="8"/>
              </w:pBdr>
              <w:spacing w:before="0" w:after="0" w:line="275" w:lineRule="atLeast"/>
              <w:jc w:val="both"/>
            </w:pPr>
            <w:r>
              <w:rPr>
                <w:rFonts w:ascii="Times New Roman" w:hAnsi="Times New Roman"/>
                <w:i/>
                <w:color w:val="000000"/>
                <w:sz w:val="20"/>
              </w:rPr>
              <w:t>Compare</w:t>
            </w:r>
            <w:r>
              <w:rPr>
                <w:rFonts w:ascii="Times New Roman" w:hAnsi="Times New Roman"/>
                <w:color w:val="000000"/>
                <w:sz w:val="20"/>
              </w:rPr>
              <w:t xml:space="preserve"> JX 1132, “Subscribers” tab, Cell BN12 (148.7 million total subscribers in 2019), </w:t>
            </w:r>
            <w:r>
              <w:rPr>
                <w:rFonts w:ascii="Times New Roman" w:hAnsi="Times New Roman"/>
                <w:i/>
                <w:color w:val="000000"/>
                <w:sz w:val="20"/>
              </w:rPr>
              <w:t>with</w:t>
            </w:r>
            <w:r>
              <w:rPr>
                <w:rFonts w:ascii="Times New Roman" w:hAnsi="Times New Roman"/>
                <w:color w:val="000000"/>
                <w:sz w:val="20"/>
              </w:rPr>
              <w:t xml:space="preserve"> JX 1132, “Subscribers” tab, Cell BN72 (52.94 Connected Device subscribers in 2019).</w:t>
            </w:r>
          </w:p>
        </w:tc>
      </w:tr>
      <w:tr>
        <w:tblPrEx/>
        <w:trPr/>
        <w:tc>
          <w:tcPr>
            <w:vAlign w:val="top"/>
          </w:tcPr>
          <w:p>
            <w:pPr>
              <w:spacing w:before="0" w:after="0" w:line="275" w:lineRule="atLeast"/>
            </w:pPr>
            <w:bookmarkStart w:id="255" w:name="co_footnote_B00342055700832_1"/>
            <w:hyperlink w:anchor="co_fnRef_B00342055700832_ID0EZHFK_1">
              <w:r>
                <w:rPr>
                  <w:rFonts w:ascii="Times New Roman" w:hAnsi="Times New Roman"/>
                  <w:color w:val="000000"/>
                  <w:sz w:val="20"/>
                  <w:vertAlign w:val="superscript"/>
                </w:rPr>
                <w:t>34</w:t>
              </w:r>
            </w:hyperlink>
            <w:bookmarkEnd w:id="255"/>
          </w:p>
        </w:tc>
        <w:tc>
          <w:tcPr>
            <w:vAlign w:val="top"/>
          </w:tcPr>
          <w:p>
            <w:pPr>
              <w:pBdr>
                <w:bottom w:val="none" w:space="8"/>
              </w:pBdr>
              <w:spacing w:before="0" w:after="0" w:line="275" w:lineRule="atLeast"/>
              <w:jc w:val="both"/>
            </w:pPr>
            <w:r>
              <w:rPr>
                <w:rFonts w:ascii="Times New Roman" w:hAnsi="Times New Roman"/>
                <w:color w:val="000000"/>
                <w:sz w:val="20"/>
              </w:rPr>
              <w:t xml:space="preserve">This decision uses the 2010 Ten-Year Plan's ARPU projections for “Reseller Connected Device Subscribers” instead of the ARPU projections for “Retail Connected Devices Subscribers.” The ARPU for Retail Connected Device Subscribers was over four times higher than the ARPU for Reseller Connected Device Subscribers. </w:t>
            </w:r>
            <w:r>
              <w:rPr>
                <w:rFonts w:ascii="Times New Roman" w:hAnsi="Times New Roman"/>
                <w:i/>
                <w:color w:val="000000"/>
                <w:sz w:val="20"/>
              </w:rPr>
              <w:t>Compare</w:t>
            </w:r>
            <w:r>
              <w:rPr>
                <w:rFonts w:ascii="Times New Roman" w:hAnsi="Times New Roman"/>
                <w:color w:val="000000"/>
                <w:sz w:val="20"/>
              </w:rPr>
              <w:t xml:space="preserve"> JX 1132, “ARPU” tab, Row 373, </w:t>
            </w:r>
            <w:r>
              <w:rPr>
                <w:rFonts w:ascii="Times New Roman" w:hAnsi="Times New Roman"/>
                <w:i/>
                <w:color w:val="000000"/>
                <w:sz w:val="20"/>
              </w:rPr>
              <w:t>with</w:t>
            </w:r>
            <w:r>
              <w:rPr>
                <w:rFonts w:ascii="Times New Roman" w:hAnsi="Times New Roman"/>
                <w:color w:val="000000"/>
                <w:sz w:val="20"/>
              </w:rPr>
              <w:t xml:space="preserve"> JX 1132, “ARPU” tab, Row 328. Two reasons support this selection. First, prepaid Connected Device subscribers included iPad users, and it appears likely that those subscribers had NPA-NXX numbers, making it more likely that they already were included within Taylor's estimates of traditional prepaid subscribers. </w:t>
            </w:r>
            <w:r>
              <w:rPr>
                <w:rFonts w:ascii="Times New Roman" w:hAnsi="Times New Roman"/>
                <w:i/>
                <w:color w:val="000000"/>
                <w:sz w:val="20"/>
              </w:rPr>
              <w:t>See</w:t>
            </w:r>
            <w:r>
              <w:rPr>
                <w:rFonts w:ascii="Times New Roman" w:hAnsi="Times New Roman"/>
                <w:color w:val="000000"/>
                <w:sz w:val="20"/>
              </w:rPr>
              <w:t xml:space="preserve"> Taylor Tr. 958–59; Taylor Report at 16–17. Second, the overwhelming majority of the growth in Connected Devices that AT&amp;T projected in the 2010 Ten-Year Plan was from reseller Connected Devices. </w:t>
            </w:r>
            <w:r>
              <w:rPr>
                <w:rFonts w:ascii="Times New Roman" w:hAnsi="Times New Roman"/>
                <w:i/>
                <w:color w:val="000000"/>
                <w:sz w:val="20"/>
              </w:rPr>
              <w:t>Compare</w:t>
            </w:r>
            <w:r>
              <w:rPr>
                <w:rFonts w:ascii="Times New Roman" w:hAnsi="Times New Roman"/>
                <w:color w:val="000000"/>
                <w:sz w:val="20"/>
              </w:rPr>
              <w:t xml:space="preserve"> JX 1132, “Subscribers” tab, Row 82, </w:t>
            </w:r>
            <w:r>
              <w:rPr>
                <w:rFonts w:ascii="Times New Roman" w:hAnsi="Times New Roman"/>
                <w:i/>
                <w:color w:val="000000"/>
                <w:sz w:val="20"/>
              </w:rPr>
              <w:t>with</w:t>
            </w:r>
            <w:r>
              <w:rPr>
                <w:rFonts w:ascii="Times New Roman" w:hAnsi="Times New Roman"/>
                <w:color w:val="000000"/>
                <w:sz w:val="20"/>
              </w:rPr>
              <w:t xml:space="preserve"> JX 1132, “Subscribers” tab, row 86. That dynamic reflects a majority of the growth in Connected Devices coming from Commercial Network Agreements, which used wholesale prices and thus had lower ARPUs. </w:t>
            </w:r>
            <w:r>
              <w:rPr>
                <w:rFonts w:ascii="Times New Roman" w:hAnsi="Times New Roman"/>
                <w:i/>
                <w:color w:val="000000"/>
                <w:sz w:val="20"/>
              </w:rPr>
              <w:t>See</w:t>
            </w:r>
            <w:r>
              <w:rPr>
                <w:rFonts w:ascii="Times New Roman" w:hAnsi="Times New Roman"/>
                <w:color w:val="000000"/>
                <w:sz w:val="20"/>
              </w:rPr>
              <w:t xml:space="preserve"> Taylor Report at 16–17. Using the ARPU estimate for reseller Connected Devices results in a more conservative estimate. </w:t>
            </w:r>
            <w:r>
              <w:rPr>
                <w:rFonts w:ascii="Times New Roman" w:hAnsi="Times New Roman"/>
                <w:i/>
                <w:color w:val="000000"/>
                <w:sz w:val="20"/>
              </w:rPr>
              <w:t>See</w:t>
            </w:r>
            <w:r>
              <w:rPr>
                <w:rFonts w:ascii="Times New Roman" w:hAnsi="Times New Roman"/>
                <w:color w:val="000000"/>
                <w:sz w:val="20"/>
              </w:rPr>
              <w:t xml:space="preserve"> Musey Tr. 1260–61.</w:t>
            </w:r>
          </w:p>
        </w:tc>
      </w:tr>
      <w:tr>
        <w:tblPrEx/>
        <w:trPr/>
        <w:tc>
          <w:tcPr>
            <w:vAlign w:val="top"/>
          </w:tcPr>
          <w:p>
            <w:pPr>
              <w:spacing w:before="0" w:after="0" w:line="275" w:lineRule="atLeast"/>
            </w:pPr>
            <w:bookmarkStart w:id="256" w:name="co_footnote_B00352055700832_1"/>
            <w:hyperlink w:anchor="co_fnRef_B00352055700832_ID0EHMFK_1">
              <w:r>
                <w:rPr>
                  <w:rFonts w:ascii="Times New Roman" w:hAnsi="Times New Roman"/>
                  <w:color w:val="000000"/>
                  <w:sz w:val="20"/>
                  <w:vertAlign w:val="superscript"/>
                </w:rPr>
                <w:t>35</w:t>
              </w:r>
            </w:hyperlink>
            <w:bookmarkEnd w:id="256"/>
          </w:p>
        </w:tc>
        <w:tc>
          <w:tcPr>
            <w:vAlign w:val="top"/>
          </w:tcPr>
          <w:p>
            <w:pPr>
              <w:pBdr>
                <w:bottom w:val="none" w:space="8"/>
              </w:pBdr>
              <w:spacing w:before="0" w:after="0" w:line="275" w:lineRule="atLeast"/>
              <w:jc w:val="both"/>
            </w:pPr>
            <w:r>
              <w:rPr>
                <w:rFonts w:ascii="Times New Roman" w:hAnsi="Times New Roman"/>
                <w:color w:val="000000"/>
                <w:sz w:val="20"/>
              </w:rPr>
              <w:t xml:space="preserve">In the </w:t>
            </w:r>
            <w:r>
              <w:rPr>
                <w:rFonts w:ascii="Times New Roman" w:hAnsi="Times New Roman"/>
                <w:i/>
                <w:color w:val="000000"/>
                <w:sz w:val="20"/>
              </w:rPr>
              <w:t>Salem Contract Decision</w:t>
            </w:r>
            <w:r>
              <w:rPr>
                <w:rFonts w:ascii="Times New Roman" w:hAnsi="Times New Roman"/>
                <w:color w:val="000000"/>
                <w:sz w:val="20"/>
              </w:rPr>
              <w:t xml:space="preserve">, the court found that the roaming methodology violated AT&amp;T's contractual commitments. AT&amp;T agreed to eliminate any direct charges associated with intra-company roaming, and the wholesale fee arrangement violated that commitment. </w:t>
            </w:r>
            <w:r>
              <w:rPr>
                <w:rFonts w:ascii="Times New Roman" w:hAnsi="Times New Roman"/>
                <w:i/>
                <w:color w:val="000000"/>
                <w:sz w:val="20"/>
              </w:rPr>
              <w:t>See Salem Contract Decision</w:t>
            </w:r>
            <w:r>
              <w:rPr>
                <w:rFonts w:ascii="Times New Roman" w:hAnsi="Times New Roman"/>
                <w:color w:val="000000"/>
                <w:sz w:val="20"/>
              </w:rPr>
              <w:t xml:space="preserve">, </w:t>
            </w:r>
            <w:hyperlink r:id="r179">
              <w:r>
                <w:rPr>
                  <w:rFonts w:ascii="Times New Roman" w:hAnsi="Times New Roman"/>
                  <w:color w:val="000000"/>
                  <w:sz w:val="20"/>
                </w:rPr>
                <w:t>2021 WL 4438046, at *19</w:t>
              </w:r>
            </w:hyperlink>
            <w:r>
              <w:rPr>
                <w:rFonts w:ascii="Times New Roman" w:hAnsi="Times New Roman"/>
                <w:color w:val="000000"/>
                <w:sz w:val="20"/>
              </w:rPr>
              <w:t xml:space="preserve">. AT&amp;T committed to include any roaming-related revenue, whether from intra-carrier roaming or inter-carrier roaming, within the Shared Revenues Formula as revenue generated by subscribers using the Entire Network. AT&amp;T then committed to allocate a proportionate share of the revenue to the Partnership based on the Traffic Ratio and add a premium to comply with the Premium Provision. AT&amp;T did not do that. </w:t>
            </w:r>
            <w:r>
              <w:rPr>
                <w:rFonts w:ascii="Times New Roman" w:hAnsi="Times New Roman"/>
                <w:i/>
                <w:color w:val="000000"/>
                <w:sz w:val="20"/>
              </w:rPr>
              <w:t>See</w:t>
            </w:r>
            <w:r>
              <w:rPr>
                <w:rFonts w:ascii="Times New Roman" w:hAnsi="Times New Roman"/>
                <w:color w:val="000000"/>
                <w:sz w:val="20"/>
              </w:rPr>
              <w:t xml:space="preserve"> </w:t>
            </w:r>
            <w:hyperlink r:id="r180">
              <w:r>
                <w:rPr>
                  <w:rFonts w:ascii="Times New Roman" w:hAnsi="Times New Roman"/>
                  <w:i/>
                  <w:color w:val="000000"/>
                  <w:sz w:val="20"/>
                </w:rPr>
                <w:t>id.</w:t>
              </w:r>
              <w:r>
                <w:rPr>
                  <w:rFonts w:ascii="Times New Roman" w:hAnsi="Times New Roman"/>
                  <w:color w:val="000000"/>
                  <w:sz w:val="20"/>
                </w:rPr>
                <w:t xml:space="preserve"> at *53–55, *57–58</w:t>
              </w:r>
            </w:hyperlink>
            <w:r>
              <w:rPr>
                <w:rFonts w:ascii="Times New Roman" w:hAnsi="Times New Roman"/>
                <w:color w:val="000000"/>
                <w:sz w:val="20"/>
              </w:rPr>
              <w:t>. Instead, AT&amp;T used its wholesale system for voice roaming. AT&amp;T's noncompliant system constituted the operative reality of the Partnership at the time of the Freeze-Out.</w:t>
            </w:r>
          </w:p>
        </w:tc>
      </w:tr>
      <w:tr>
        <w:tblPrEx/>
        <w:trPr/>
        <w:tc>
          <w:tcPr>
            <w:vAlign w:val="top"/>
          </w:tcPr>
          <w:p>
            <w:pPr>
              <w:spacing w:before="0" w:after="0" w:line="275" w:lineRule="atLeast"/>
            </w:pPr>
            <w:bookmarkStart w:id="257" w:name="co_footnote_B00362055700832_1"/>
            <w:hyperlink w:anchor="co_fnRef_B00362055700832_ID0ETPFK_1">
              <w:r>
                <w:rPr>
                  <w:rFonts w:ascii="Times New Roman" w:hAnsi="Times New Roman"/>
                  <w:color w:val="000000"/>
                  <w:sz w:val="20"/>
                  <w:vertAlign w:val="superscript"/>
                </w:rPr>
                <w:t>36</w:t>
              </w:r>
            </w:hyperlink>
            <w:bookmarkEnd w:id="257"/>
          </w:p>
        </w:tc>
        <w:tc>
          <w:tcPr>
            <w:vAlign w:val="top"/>
          </w:tcPr>
          <w:p>
            <w:pPr>
              <w:pBdr>
                <w:bottom w:val="none" w:space="8"/>
              </w:pBdr>
              <w:spacing w:before="0" w:after="0" w:line="275" w:lineRule="atLeast"/>
              <w:jc w:val="both"/>
            </w:pPr>
            <w:r>
              <w:rPr>
                <w:rFonts w:ascii="Times New Roman" w:hAnsi="Times New Roman"/>
                <w:color w:val="000000"/>
                <w:sz w:val="20"/>
              </w:rPr>
              <w:t>As with voice roaming, AT&amp;T's approach to data roaming violated AT&amp;T's contractual commitments in the Management Agreement. It nevertheless constituted the Company's operative reality at the time of the Freeze-Out.</w:t>
            </w:r>
          </w:p>
        </w:tc>
      </w:tr>
      <w:tr>
        <w:tblPrEx/>
        <w:trPr/>
        <w:tc>
          <w:tcPr>
            <w:vAlign w:val="top"/>
          </w:tcPr>
          <w:p>
            <w:pPr>
              <w:spacing w:before="0" w:after="0" w:line="275" w:lineRule="atLeast"/>
            </w:pPr>
            <w:bookmarkStart w:id="258" w:name="co_footnote_B00372055700832_1"/>
            <w:hyperlink w:anchor="co_fnRef_B00372055700832_ID0E3YGK_1">
              <w:r>
                <w:rPr>
                  <w:rFonts w:ascii="Times New Roman" w:hAnsi="Times New Roman"/>
                  <w:color w:val="000000"/>
                  <w:sz w:val="20"/>
                  <w:vertAlign w:val="superscript"/>
                </w:rPr>
                <w:t>37</w:t>
              </w:r>
            </w:hyperlink>
            <w:bookmarkEnd w:id="258"/>
          </w:p>
        </w:tc>
        <w:tc>
          <w:tcPr>
            <w:vAlign w:val="top"/>
          </w:tcPr>
          <w:p>
            <w:pPr>
              <w:pBdr>
                <w:bottom w:val="none" w:space="8"/>
              </w:pBdr>
              <w:spacing w:before="0" w:after="0" w:line="275" w:lineRule="atLeast"/>
              <w:jc w:val="both"/>
            </w:pPr>
            <w:r>
              <w:rPr>
                <w:rFonts w:ascii="Times New Roman" w:hAnsi="Times New Roman"/>
                <w:color w:val="000000"/>
                <w:sz w:val="20"/>
              </w:rPr>
              <w:t xml:space="preserve">The formula is: WACC = </w:t>
            </w:r>
            <w:r>
              <w:rPr>
                <w:rFonts w:ascii="Times New Roman" w:hAnsi="Times New Roman"/>
                <w:i/>
                <w:color w:val="000000"/>
                <w:sz w:val="20"/>
              </w:rPr>
              <w:t>K</w:t>
            </w:r>
            <w:r>
              <w:rPr>
                <w:rFonts w:ascii="Times New Roman" w:hAnsi="Times New Roman"/>
                <w:i/>
                <w:color w:val="000000"/>
                <w:sz w:val="16"/>
                <w:vertAlign w:val="subscript"/>
              </w:rPr>
              <w:t>d</w:t>
            </w:r>
            <w:r>
              <w:rPr>
                <w:rFonts w:ascii="Times New Roman" w:hAnsi="Times New Roman"/>
                <w:color w:val="000000"/>
                <w:sz w:val="20"/>
              </w:rPr>
              <w:t xml:space="preserve"> * (1 – </w:t>
            </w:r>
            <w:r>
              <w:rPr>
                <w:rFonts w:ascii="Times New Roman" w:hAnsi="Times New Roman"/>
                <w:i/>
                <w:color w:val="000000"/>
                <w:sz w:val="20"/>
              </w:rPr>
              <w:t>T</w:t>
            </w:r>
            <w:r>
              <w:rPr>
                <w:rFonts w:ascii="Times New Roman" w:hAnsi="Times New Roman"/>
                <w:color w:val="000000"/>
                <w:sz w:val="20"/>
              </w:rPr>
              <w:t>) (</w:t>
            </w:r>
            <w:r>
              <w:rPr>
                <w:rFonts w:ascii="Times New Roman" w:hAnsi="Times New Roman"/>
                <w:i/>
                <w:color w:val="000000"/>
                <w:sz w:val="20"/>
              </w:rPr>
              <w:t>D</w:t>
            </w:r>
            <w:r>
              <w:rPr>
                <w:rFonts w:ascii="Times New Roman" w:hAnsi="Times New Roman"/>
                <w:color w:val="000000"/>
                <w:sz w:val="20"/>
              </w:rPr>
              <w:t>/</w:t>
            </w:r>
            <w:r>
              <w:rPr>
                <w:rFonts w:ascii="Times New Roman" w:hAnsi="Times New Roman"/>
                <w:i/>
                <w:color w:val="000000"/>
                <w:sz w:val="20"/>
              </w:rPr>
              <w:t>V</w:t>
            </w:r>
            <w:r>
              <w:rPr>
                <w:rFonts w:ascii="Times New Roman" w:hAnsi="Times New Roman"/>
                <w:color w:val="000000"/>
                <w:sz w:val="20"/>
              </w:rPr>
              <w:t xml:space="preserve">) + </w:t>
            </w:r>
            <w:r>
              <w:rPr>
                <w:rFonts w:ascii="Times New Roman" w:hAnsi="Times New Roman"/>
                <w:i/>
                <w:color w:val="000000"/>
                <w:sz w:val="20"/>
              </w:rPr>
              <w:t>K</w:t>
            </w:r>
            <w:r>
              <w:rPr>
                <w:rFonts w:ascii="Times New Roman" w:hAnsi="Times New Roman"/>
                <w:i/>
                <w:color w:val="000000"/>
                <w:sz w:val="16"/>
                <w:vertAlign w:val="subscript"/>
              </w:rPr>
              <w:t>e</w:t>
            </w:r>
            <w:r>
              <w:rPr>
                <w:rFonts w:ascii="Times New Roman" w:hAnsi="Times New Roman"/>
                <w:color w:val="000000"/>
                <w:sz w:val="20"/>
              </w:rPr>
              <w:t xml:space="preserve"> * (</w:t>
            </w:r>
            <w:r>
              <w:rPr>
                <w:rFonts w:ascii="Times New Roman" w:hAnsi="Times New Roman"/>
                <w:i/>
                <w:color w:val="000000"/>
                <w:sz w:val="20"/>
              </w:rPr>
              <w:t>E</w:t>
            </w:r>
            <w:r>
              <w:rPr>
                <w:rFonts w:ascii="Times New Roman" w:hAnsi="Times New Roman"/>
                <w:color w:val="000000"/>
                <w:sz w:val="20"/>
              </w:rPr>
              <w:t>/</w:t>
            </w:r>
            <w:r>
              <w:rPr>
                <w:rFonts w:ascii="Times New Roman" w:hAnsi="Times New Roman"/>
                <w:i/>
                <w:color w:val="000000"/>
                <w:sz w:val="20"/>
              </w:rPr>
              <w:t>V</w:t>
            </w:r>
            <w:r>
              <w:rPr>
                <w:rFonts w:ascii="Times New Roman" w:hAnsi="Times New Roman"/>
                <w:color w:val="000000"/>
                <w:sz w:val="20"/>
              </w:rPr>
              <w:t xml:space="preserve">), where </w:t>
            </w:r>
            <w:r>
              <w:rPr>
                <w:rFonts w:ascii="Times New Roman" w:hAnsi="Times New Roman"/>
                <w:i/>
                <w:color w:val="000000"/>
                <w:sz w:val="20"/>
              </w:rPr>
              <w:t>K</w:t>
            </w:r>
            <w:r>
              <w:rPr>
                <w:rFonts w:ascii="Times New Roman" w:hAnsi="Times New Roman"/>
                <w:i/>
                <w:color w:val="000000"/>
                <w:sz w:val="16"/>
                <w:vertAlign w:val="subscript"/>
              </w:rPr>
              <w:t>d</w:t>
            </w:r>
            <w:r>
              <w:rPr>
                <w:rFonts w:ascii="Times New Roman" w:hAnsi="Times New Roman"/>
                <w:color w:val="000000"/>
                <w:sz w:val="20"/>
              </w:rPr>
              <w:t xml:space="preserve"> is the company's pre-tax cost of debt capital, </w:t>
            </w:r>
            <w:r>
              <w:rPr>
                <w:rFonts w:ascii="Times New Roman" w:hAnsi="Times New Roman"/>
                <w:i/>
                <w:color w:val="000000"/>
                <w:sz w:val="20"/>
              </w:rPr>
              <w:t>T</w:t>
            </w:r>
            <w:r>
              <w:rPr>
                <w:rFonts w:ascii="Times New Roman" w:hAnsi="Times New Roman"/>
                <w:color w:val="000000"/>
                <w:sz w:val="20"/>
              </w:rPr>
              <w:t xml:space="preserve"> is the company's tax rate, </w:t>
            </w:r>
            <w:r>
              <w:rPr>
                <w:rFonts w:ascii="Times New Roman" w:hAnsi="Times New Roman"/>
                <w:i/>
                <w:color w:val="000000"/>
                <w:sz w:val="20"/>
              </w:rPr>
              <w:t>D</w:t>
            </w:r>
            <w:r>
              <w:rPr>
                <w:rFonts w:ascii="Times New Roman" w:hAnsi="Times New Roman"/>
                <w:color w:val="000000"/>
                <w:sz w:val="20"/>
              </w:rPr>
              <w:t>/</w:t>
            </w:r>
            <w:r>
              <w:rPr>
                <w:rFonts w:ascii="Times New Roman" w:hAnsi="Times New Roman"/>
                <w:i/>
                <w:color w:val="000000"/>
                <w:sz w:val="20"/>
              </w:rPr>
              <w:t>V</w:t>
            </w:r>
            <w:r>
              <w:rPr>
                <w:rFonts w:ascii="Times New Roman" w:hAnsi="Times New Roman"/>
                <w:color w:val="000000"/>
                <w:sz w:val="20"/>
              </w:rPr>
              <w:t xml:space="preserve"> is the proportion of the company's operations that are funded by debt capital, </w:t>
            </w:r>
            <w:r>
              <w:rPr>
                <w:rFonts w:ascii="Times New Roman" w:hAnsi="Times New Roman"/>
                <w:i/>
                <w:color w:val="000000"/>
                <w:sz w:val="20"/>
              </w:rPr>
              <w:t>K</w:t>
            </w:r>
            <w:r>
              <w:rPr>
                <w:rFonts w:ascii="Times New Roman" w:hAnsi="Times New Roman"/>
                <w:i/>
                <w:color w:val="000000"/>
                <w:sz w:val="16"/>
                <w:vertAlign w:val="subscript"/>
              </w:rPr>
              <w:t>e</w:t>
            </w:r>
            <w:r>
              <w:rPr>
                <w:rFonts w:ascii="Times New Roman" w:hAnsi="Times New Roman"/>
                <w:color w:val="000000"/>
                <w:sz w:val="20"/>
              </w:rPr>
              <w:t xml:space="preserve"> is the company's cost of equity capital, and </w:t>
            </w:r>
            <w:r>
              <w:rPr>
                <w:rFonts w:ascii="Times New Roman" w:hAnsi="Times New Roman"/>
                <w:i/>
                <w:color w:val="000000"/>
                <w:sz w:val="20"/>
              </w:rPr>
              <w:t>E</w:t>
            </w:r>
            <w:r>
              <w:rPr>
                <w:rFonts w:ascii="Times New Roman" w:hAnsi="Times New Roman"/>
                <w:color w:val="000000"/>
                <w:sz w:val="20"/>
              </w:rPr>
              <w:t>/</w:t>
            </w:r>
            <w:r>
              <w:rPr>
                <w:rFonts w:ascii="Times New Roman" w:hAnsi="Times New Roman"/>
                <w:i/>
                <w:color w:val="000000"/>
                <w:sz w:val="20"/>
              </w:rPr>
              <w:t>V</w:t>
            </w:r>
            <w:r>
              <w:rPr>
                <w:rFonts w:ascii="Times New Roman" w:hAnsi="Times New Roman"/>
                <w:color w:val="000000"/>
                <w:sz w:val="20"/>
              </w:rPr>
              <w:t xml:space="preserve"> is the proportion of the company's operations that are funded by equity capital. The relative proportions of </w:t>
            </w:r>
            <w:r>
              <w:rPr>
                <w:rFonts w:ascii="Times New Roman" w:hAnsi="Times New Roman"/>
                <w:i/>
                <w:color w:val="000000"/>
                <w:sz w:val="20"/>
              </w:rPr>
              <w:t>D</w:t>
            </w:r>
            <w:r>
              <w:rPr>
                <w:rFonts w:ascii="Times New Roman" w:hAnsi="Times New Roman"/>
                <w:color w:val="000000"/>
                <w:sz w:val="20"/>
              </w:rPr>
              <w:t>/</w:t>
            </w:r>
            <w:r>
              <w:rPr>
                <w:rFonts w:ascii="Times New Roman" w:hAnsi="Times New Roman"/>
                <w:i/>
                <w:color w:val="000000"/>
                <w:sz w:val="20"/>
              </w:rPr>
              <w:t>V</w:t>
            </w:r>
            <w:r>
              <w:rPr>
                <w:rFonts w:ascii="Times New Roman" w:hAnsi="Times New Roman"/>
                <w:color w:val="000000"/>
                <w:sz w:val="20"/>
              </w:rPr>
              <w:t xml:space="preserve"> and </w:t>
            </w:r>
            <w:r>
              <w:rPr>
                <w:rFonts w:ascii="Times New Roman" w:hAnsi="Times New Roman"/>
                <w:i/>
                <w:color w:val="000000"/>
                <w:sz w:val="20"/>
              </w:rPr>
              <w:t>E</w:t>
            </w:r>
            <w:r>
              <w:rPr>
                <w:rFonts w:ascii="Times New Roman" w:hAnsi="Times New Roman"/>
                <w:color w:val="000000"/>
                <w:sz w:val="20"/>
              </w:rPr>
              <w:t>/</w:t>
            </w:r>
            <w:r>
              <w:rPr>
                <w:rFonts w:ascii="Times New Roman" w:hAnsi="Times New Roman"/>
                <w:i/>
                <w:color w:val="000000"/>
                <w:sz w:val="20"/>
              </w:rPr>
              <w:t>V</w:t>
            </w:r>
            <w:r>
              <w:rPr>
                <w:rFonts w:ascii="Times New Roman" w:hAnsi="Times New Roman"/>
                <w:color w:val="000000"/>
                <w:sz w:val="20"/>
              </w:rPr>
              <w:t xml:space="preserve"> comprise the company's capital structure. </w:t>
            </w:r>
            <w:r>
              <w:rPr>
                <w:rFonts w:ascii="Times New Roman" w:hAnsi="Times New Roman"/>
                <w:i/>
                <w:color w:val="000000"/>
                <w:sz w:val="20"/>
              </w:rPr>
              <w:t>See</w:t>
            </w:r>
            <w:r>
              <w:rPr>
                <w:rFonts w:ascii="Times New Roman" w:hAnsi="Times New Roman"/>
                <w:color w:val="000000"/>
                <w:sz w:val="20"/>
              </w:rPr>
              <w:t xml:space="preserve"> Richard A. Brealey &amp; Stewart C. Myers, </w:t>
            </w:r>
            <w:r>
              <w:rPr>
                <w:rFonts w:ascii="Times New Roman" w:hAnsi="Times New Roman"/>
                <w:i/>
                <w:color w:val="000000"/>
                <w:sz w:val="20"/>
              </w:rPr>
              <w:t>Capital Investment and Valuation</w:t>
            </w:r>
            <w:r>
              <w:rPr>
                <w:rFonts w:ascii="Times New Roman" w:hAnsi="Times New Roman"/>
                <w:color w:val="000000"/>
                <w:sz w:val="20"/>
              </w:rPr>
              <w:t xml:space="preserve"> 365 (2003).</w:t>
            </w:r>
          </w:p>
          <w:p>
            <w:pPr>
              <w:pBdr>
                <w:bottom w:val="none" w:space="8"/>
              </w:pBdr>
              <w:spacing w:before="0" w:after="0" w:line="275" w:lineRule="atLeast"/>
              <w:jc w:val="both"/>
            </w:pPr>
            <w:r>
              <w:rPr>
                <w:rFonts w:ascii="Times New Roman" w:hAnsi="Times New Roman"/>
                <w:color w:val="000000"/>
                <w:sz w:val="20"/>
              </w:rPr>
              <w:t xml:space="preserve">The cost of equity represents the market rate of return on an equity investment. Valuation professionals typically use a CAPM to calculate the cost of equity. CAPM starts with the “risk-free rate,” meaning the market rate of return on a debt security with no default risk. CAPM then adds the risk-free rate to the product of the “equity risk premium,” meaning the required rate of return on equity securities above the risk-free rate, and the company's “beta,” a measure of the company's sensitivity to systemic market risk. The result of that calculation is the cost of equity: </w:t>
            </w:r>
            <w:r>
              <w:rPr>
                <w:rFonts w:ascii="Times New Roman" w:hAnsi="Times New Roman"/>
                <w:i/>
                <w:color w:val="000000"/>
                <w:sz w:val="20"/>
              </w:rPr>
              <w:t>K</w:t>
            </w:r>
            <w:r>
              <w:rPr>
                <w:rFonts w:ascii="Times New Roman" w:hAnsi="Times New Roman"/>
                <w:i/>
                <w:color w:val="000000"/>
                <w:sz w:val="16"/>
                <w:vertAlign w:val="subscript"/>
              </w:rPr>
              <w:t>e</w:t>
            </w:r>
            <w:r>
              <w:rPr>
                <w:rFonts w:ascii="Times New Roman" w:hAnsi="Times New Roman"/>
                <w:color w:val="000000"/>
                <w:sz w:val="20"/>
              </w:rPr>
              <w:t xml:space="preserve"> = </w:t>
            </w:r>
            <w:r>
              <w:rPr>
                <w:rFonts w:ascii="Times New Roman" w:hAnsi="Times New Roman"/>
                <w:i/>
                <w:color w:val="000000"/>
                <w:sz w:val="20"/>
              </w:rPr>
              <w:t>R</w:t>
            </w:r>
            <w:r>
              <w:rPr>
                <w:rFonts w:ascii="Times New Roman" w:hAnsi="Times New Roman"/>
                <w:i/>
                <w:color w:val="000000"/>
                <w:sz w:val="16"/>
                <w:vertAlign w:val="subscript"/>
              </w:rPr>
              <w:t>f</w:t>
            </w:r>
            <w:r>
              <w:rPr>
                <w:rFonts w:ascii="Times New Roman" w:hAnsi="Times New Roman"/>
                <w:color w:val="000000"/>
                <w:sz w:val="20"/>
              </w:rPr>
              <w:t xml:space="preserve"> + (</w:t>
            </w:r>
            <w:r>
              <w:rPr>
                <w:rFonts w:ascii="Times New Roman" w:hAnsi="Times New Roman"/>
                <w:i/>
                <w:color w:val="000000"/>
                <w:sz w:val="20"/>
              </w:rPr>
              <w:t>ß</w:t>
            </w:r>
            <w:r>
              <w:rPr>
                <w:rFonts w:ascii="Times New Roman" w:hAnsi="Times New Roman"/>
                <w:color w:val="000000"/>
                <w:sz w:val="20"/>
              </w:rPr>
              <w:t xml:space="preserve"> * </w:t>
            </w:r>
            <w:r>
              <w:rPr>
                <w:rFonts w:ascii="Times New Roman" w:hAnsi="Times New Roman"/>
                <w:i/>
                <w:color w:val="000000"/>
                <w:sz w:val="20"/>
              </w:rPr>
              <w:t>R</w:t>
            </w:r>
            <w:r>
              <w:rPr>
                <w:rFonts w:ascii="Times New Roman" w:hAnsi="Times New Roman"/>
                <w:i/>
                <w:color w:val="000000"/>
                <w:sz w:val="16"/>
                <w:vertAlign w:val="subscript"/>
              </w:rPr>
              <w:t>m</w:t>
            </w:r>
            <w:r>
              <w:rPr>
                <w:rFonts w:ascii="Times New Roman" w:hAnsi="Times New Roman"/>
                <w:color w:val="000000"/>
                <w:sz w:val="20"/>
              </w:rPr>
              <w:t xml:space="preserve">), where </w:t>
            </w:r>
            <w:r>
              <w:rPr>
                <w:rFonts w:ascii="Times New Roman" w:hAnsi="Times New Roman"/>
                <w:i/>
                <w:color w:val="000000"/>
                <w:sz w:val="20"/>
              </w:rPr>
              <w:t>R</w:t>
            </w:r>
            <w:r>
              <w:rPr>
                <w:rFonts w:ascii="Times New Roman" w:hAnsi="Times New Roman"/>
                <w:i/>
                <w:color w:val="000000"/>
                <w:sz w:val="16"/>
                <w:vertAlign w:val="subscript"/>
              </w:rPr>
              <w:t>f</w:t>
            </w:r>
            <w:r>
              <w:rPr>
                <w:rFonts w:ascii="Times New Roman" w:hAnsi="Times New Roman"/>
                <w:color w:val="000000"/>
                <w:sz w:val="20"/>
              </w:rPr>
              <w:t xml:space="preserve"> is the risk-free rate, </w:t>
            </w:r>
            <w:r>
              <w:rPr>
                <w:rFonts w:ascii="Times New Roman" w:hAnsi="Times New Roman"/>
                <w:i/>
                <w:color w:val="000000"/>
                <w:sz w:val="20"/>
              </w:rPr>
              <w:t>ß</w:t>
            </w:r>
            <w:r>
              <w:rPr>
                <w:rFonts w:ascii="Times New Roman" w:hAnsi="Times New Roman"/>
                <w:color w:val="000000"/>
                <w:sz w:val="20"/>
              </w:rPr>
              <w:t xml:space="preserve"> is the company's beta, and </w:t>
            </w:r>
            <w:r>
              <w:rPr>
                <w:rFonts w:ascii="Times New Roman" w:hAnsi="Times New Roman"/>
                <w:i/>
                <w:color w:val="000000"/>
                <w:sz w:val="20"/>
              </w:rPr>
              <w:t>R</w:t>
            </w:r>
            <w:r>
              <w:rPr>
                <w:rFonts w:ascii="Times New Roman" w:hAnsi="Times New Roman"/>
                <w:i/>
                <w:color w:val="000000"/>
                <w:sz w:val="16"/>
                <w:vertAlign w:val="subscript"/>
              </w:rPr>
              <w:t>m</w:t>
            </w:r>
            <w:r>
              <w:rPr>
                <w:rFonts w:ascii="Times New Roman" w:hAnsi="Times New Roman"/>
                <w:color w:val="000000"/>
                <w:sz w:val="20"/>
              </w:rPr>
              <w:t xml:space="preserve"> is the equity risk premium.</w:t>
            </w:r>
          </w:p>
        </w:tc>
      </w:tr>
      <w:tr>
        <w:tblPrEx/>
        <w:trPr/>
        <w:tc>
          <w:tcPr>
            <w:vAlign w:val="top"/>
          </w:tcPr>
          <w:p>
            <w:pPr>
              <w:spacing w:before="0" w:after="0" w:line="275" w:lineRule="atLeast"/>
            </w:pPr>
            <w:bookmarkStart w:id="259" w:name="co_footnote_B00382055700832_1"/>
            <w:hyperlink w:anchor="co_fnRef_B00382055700832_ID0EJZGK_1">
              <w:r>
                <w:rPr>
                  <w:rFonts w:ascii="Times New Roman" w:hAnsi="Times New Roman"/>
                  <w:color w:val="000000"/>
                  <w:sz w:val="20"/>
                  <w:vertAlign w:val="superscript"/>
                </w:rPr>
                <w:t>38</w:t>
              </w:r>
            </w:hyperlink>
            <w:bookmarkEnd w:id="259"/>
          </w:p>
        </w:tc>
        <w:tc>
          <w:tcPr>
            <w:vAlign w:val="top"/>
          </w:tcPr>
          <w:p>
            <w:pPr>
              <w:pBdr>
                <w:bottom w:val="none" w:space="8"/>
              </w:pBdr>
              <w:spacing w:before="0" w:after="0" w:line="275" w:lineRule="atLeast"/>
              <w:jc w:val="both"/>
            </w:pPr>
            <w:r>
              <w:rPr>
                <w:rFonts w:ascii="Times New Roman" w:hAnsi="Times New Roman"/>
                <w:color w:val="000000"/>
                <w:sz w:val="20"/>
              </w:rPr>
              <w:t xml:space="preserve">The experts agreed on a risk free rate of 3.4%, which this decision adopts. The experts also agreed on using AT&amp;T's capital structure when calculating the Partnership's WACC. Barrick used AT&amp;T's five-year average capital structure. </w:t>
            </w:r>
            <w:r>
              <w:rPr>
                <w:rFonts w:ascii="Times New Roman" w:hAnsi="Times New Roman"/>
                <w:i/>
                <w:color w:val="000000"/>
                <w:sz w:val="20"/>
              </w:rPr>
              <w:t>See</w:t>
            </w:r>
            <w:r>
              <w:rPr>
                <w:rFonts w:ascii="Times New Roman" w:hAnsi="Times New Roman"/>
                <w:color w:val="000000"/>
                <w:sz w:val="20"/>
              </w:rPr>
              <w:t xml:space="preserve"> Barrick Report Sched. 15. Taylor used AT&amp;T's reported capital structure on the day of the Freeze-Out. </w:t>
            </w:r>
            <w:r>
              <w:rPr>
                <w:rFonts w:ascii="Times New Roman" w:hAnsi="Times New Roman"/>
                <w:i/>
                <w:color w:val="000000"/>
                <w:sz w:val="20"/>
              </w:rPr>
              <w:t>See</w:t>
            </w:r>
            <w:r>
              <w:rPr>
                <w:rFonts w:ascii="Times New Roman" w:hAnsi="Times New Roman"/>
                <w:color w:val="000000"/>
                <w:sz w:val="20"/>
              </w:rPr>
              <w:t xml:space="preserve"> Taylor Report at 98–100, Ex. 33. Because the value of the Partnership must be determined on the day of the Freeze-Out, the decision adopts Taylor's approach. On the day of the Freeze-Out, AT&amp;T's capital structure consisted of 29.1% debt and 70.9% equity. </w:t>
            </w:r>
            <w:r>
              <w:rPr>
                <w:rFonts w:ascii="Times New Roman" w:hAnsi="Times New Roman"/>
                <w:i/>
                <w:color w:val="000000"/>
                <w:sz w:val="20"/>
              </w:rPr>
              <w:t>Id.</w:t>
            </w:r>
            <w:r>
              <w:rPr>
                <w:rFonts w:ascii="Times New Roman" w:hAnsi="Times New Roman"/>
                <w:color w:val="000000"/>
                <w:sz w:val="20"/>
              </w:rPr>
              <w:t xml:space="preserve"> Ex. 33.</w:t>
            </w:r>
          </w:p>
        </w:tc>
      </w:tr>
      <w:tr>
        <w:tblPrEx/>
        <w:trPr/>
        <w:tc>
          <w:tcPr>
            <w:vAlign w:val="top"/>
          </w:tcPr>
          <w:p>
            <w:pPr>
              <w:spacing w:before="0" w:after="0" w:line="275" w:lineRule="atLeast"/>
            </w:pPr>
            <w:bookmarkStart w:id="260" w:name="co_footnote_B00392055700832_1"/>
            <w:hyperlink w:anchor="co_fnRef_B00392055700832_ID0EGGHK_1">
              <w:r>
                <w:rPr>
                  <w:rFonts w:ascii="Times New Roman" w:hAnsi="Times New Roman"/>
                  <w:color w:val="000000"/>
                  <w:sz w:val="20"/>
                  <w:vertAlign w:val="superscript"/>
                </w:rPr>
                <w:t>39</w:t>
              </w:r>
            </w:hyperlink>
            <w:bookmarkEnd w:id="260"/>
          </w:p>
        </w:tc>
        <w:tc>
          <w:tcPr>
            <w:vAlign w:val="top"/>
          </w:tcPr>
          <w:p>
            <w:pPr>
              <w:pBdr>
                <w:bottom w:val="none" w:space="8"/>
              </w:pBdr>
              <w:spacing w:before="0" w:after="0" w:line="275" w:lineRule="atLeast"/>
              <w:jc w:val="both"/>
            </w:pPr>
            <w:r>
              <w:rPr>
                <w:rFonts w:ascii="Times New Roman" w:hAnsi="Times New Roman"/>
                <w:color w:val="000000"/>
                <w:sz w:val="20"/>
              </w:rPr>
              <w:t xml:space="preserve">The inclusion of a size premium changes the conventional CAPM equation for a company's cost of equity from </w:t>
            </w:r>
            <w:r>
              <w:rPr>
                <w:rFonts w:ascii="Times New Roman" w:hAnsi="Times New Roman"/>
                <w:i/>
                <w:color w:val="000000"/>
                <w:sz w:val="20"/>
              </w:rPr>
              <w:t>K</w:t>
            </w:r>
            <w:r>
              <w:rPr>
                <w:rFonts w:ascii="Times New Roman" w:hAnsi="Times New Roman"/>
                <w:i/>
                <w:color w:val="000000"/>
                <w:sz w:val="16"/>
                <w:vertAlign w:val="subscript"/>
              </w:rPr>
              <w:t>e</w:t>
            </w:r>
            <w:r>
              <w:rPr>
                <w:rFonts w:ascii="Times New Roman" w:hAnsi="Times New Roman"/>
                <w:color w:val="000000"/>
                <w:sz w:val="20"/>
              </w:rPr>
              <w:t xml:space="preserve"> = </w:t>
            </w:r>
            <w:r>
              <w:rPr>
                <w:rFonts w:ascii="Times New Roman" w:hAnsi="Times New Roman"/>
                <w:i/>
                <w:color w:val="000000"/>
                <w:sz w:val="20"/>
              </w:rPr>
              <w:t>R</w:t>
            </w:r>
            <w:r>
              <w:rPr>
                <w:rFonts w:ascii="Times New Roman" w:hAnsi="Times New Roman"/>
                <w:i/>
                <w:color w:val="000000"/>
                <w:sz w:val="16"/>
                <w:vertAlign w:val="subscript"/>
              </w:rPr>
              <w:t>f</w:t>
            </w:r>
            <w:r>
              <w:rPr>
                <w:rFonts w:ascii="Times New Roman" w:hAnsi="Times New Roman"/>
                <w:color w:val="000000"/>
                <w:sz w:val="20"/>
              </w:rPr>
              <w:t xml:space="preserve"> + (</w:t>
            </w:r>
            <w:r>
              <w:rPr>
                <w:rFonts w:ascii="Times New Roman" w:hAnsi="Times New Roman"/>
                <w:i/>
                <w:color w:val="000000"/>
                <w:sz w:val="20"/>
              </w:rPr>
              <w:t>B</w:t>
            </w:r>
            <w:r>
              <w:rPr>
                <w:rFonts w:ascii="Times New Roman" w:hAnsi="Times New Roman"/>
                <w:color w:val="000000"/>
                <w:sz w:val="20"/>
              </w:rPr>
              <w:t xml:space="preserve"> * </w:t>
            </w:r>
            <w:r>
              <w:rPr>
                <w:rFonts w:ascii="Times New Roman" w:hAnsi="Times New Roman"/>
                <w:i/>
                <w:color w:val="000000"/>
                <w:sz w:val="20"/>
              </w:rPr>
              <w:t>R</w:t>
            </w:r>
            <w:r>
              <w:rPr>
                <w:rFonts w:ascii="Times New Roman" w:hAnsi="Times New Roman"/>
                <w:i/>
                <w:color w:val="000000"/>
                <w:sz w:val="16"/>
                <w:vertAlign w:val="subscript"/>
              </w:rPr>
              <w:t>m</w:t>
            </w:r>
            <w:r>
              <w:rPr>
                <w:rFonts w:ascii="Times New Roman" w:hAnsi="Times New Roman"/>
                <w:color w:val="000000"/>
                <w:sz w:val="20"/>
              </w:rPr>
              <w:t xml:space="preserve">), to </w:t>
            </w:r>
            <w:r>
              <w:rPr>
                <w:rFonts w:ascii="Times New Roman" w:hAnsi="Times New Roman"/>
                <w:i/>
                <w:color w:val="000000"/>
                <w:sz w:val="20"/>
              </w:rPr>
              <w:t>K</w:t>
            </w:r>
            <w:r>
              <w:rPr>
                <w:rFonts w:ascii="Times New Roman" w:hAnsi="Times New Roman"/>
                <w:i/>
                <w:color w:val="000000"/>
                <w:sz w:val="16"/>
                <w:vertAlign w:val="subscript"/>
              </w:rPr>
              <w:t>e</w:t>
            </w:r>
            <w:r>
              <w:rPr>
                <w:rFonts w:ascii="Times New Roman" w:hAnsi="Times New Roman"/>
                <w:color w:val="000000"/>
                <w:sz w:val="20"/>
              </w:rPr>
              <w:t xml:space="preserve"> = </w:t>
            </w:r>
            <w:r>
              <w:rPr>
                <w:rFonts w:ascii="Times New Roman" w:hAnsi="Times New Roman"/>
                <w:i/>
                <w:color w:val="000000"/>
                <w:sz w:val="20"/>
              </w:rPr>
              <w:t>R</w:t>
            </w:r>
            <w:r>
              <w:rPr>
                <w:rFonts w:ascii="Times New Roman" w:hAnsi="Times New Roman"/>
                <w:i/>
                <w:color w:val="000000"/>
                <w:sz w:val="16"/>
                <w:vertAlign w:val="subscript"/>
              </w:rPr>
              <w:t>f</w:t>
            </w:r>
            <w:r>
              <w:rPr>
                <w:rFonts w:ascii="Times New Roman" w:hAnsi="Times New Roman"/>
                <w:color w:val="000000"/>
                <w:sz w:val="20"/>
              </w:rPr>
              <w:t xml:space="preserve"> + (</w:t>
            </w:r>
            <w:r>
              <w:rPr>
                <w:rFonts w:ascii="Times New Roman" w:hAnsi="Times New Roman"/>
                <w:i/>
                <w:color w:val="000000"/>
                <w:sz w:val="20"/>
              </w:rPr>
              <w:t>B</w:t>
            </w:r>
            <w:r>
              <w:rPr>
                <w:rFonts w:ascii="Times New Roman" w:hAnsi="Times New Roman"/>
                <w:color w:val="000000"/>
                <w:sz w:val="20"/>
              </w:rPr>
              <w:t xml:space="preserve"> * </w:t>
            </w:r>
            <w:r>
              <w:rPr>
                <w:rFonts w:ascii="Times New Roman" w:hAnsi="Times New Roman"/>
                <w:i/>
                <w:color w:val="000000"/>
                <w:sz w:val="20"/>
              </w:rPr>
              <w:t>R</w:t>
            </w:r>
            <w:r>
              <w:rPr>
                <w:rFonts w:ascii="Times New Roman" w:hAnsi="Times New Roman"/>
                <w:i/>
                <w:color w:val="000000"/>
                <w:sz w:val="16"/>
                <w:vertAlign w:val="subscript"/>
              </w:rPr>
              <w:t>m</w:t>
            </w:r>
            <w:r>
              <w:rPr>
                <w:rFonts w:ascii="Times New Roman" w:hAnsi="Times New Roman"/>
                <w:color w:val="000000"/>
                <w:sz w:val="20"/>
              </w:rPr>
              <w:t>) + Size Premium.</w:t>
            </w:r>
          </w:p>
        </w:tc>
      </w:tr>
      <w:tr>
        <w:tblPrEx/>
        <w:trPr/>
        <w:tc>
          <w:tcPr>
            <w:vAlign w:val="top"/>
          </w:tcPr>
          <w:p>
            <w:pPr>
              <w:spacing w:before="0" w:after="0" w:line="275" w:lineRule="atLeast"/>
            </w:pPr>
            <w:bookmarkStart w:id="261" w:name="co_footnote_B00402055700832_1"/>
            <w:hyperlink w:anchor="co_fnRef_B00402055700832_ID0ELTHK_1">
              <w:r>
                <w:rPr>
                  <w:rFonts w:ascii="Times New Roman" w:hAnsi="Times New Roman"/>
                  <w:color w:val="000000"/>
                  <w:sz w:val="20"/>
                  <w:vertAlign w:val="superscript"/>
                </w:rPr>
                <w:t>40</w:t>
              </w:r>
            </w:hyperlink>
            <w:bookmarkEnd w:id="261"/>
          </w:p>
        </w:tc>
        <w:tc>
          <w:tcPr>
            <w:vAlign w:val="top"/>
          </w:tcPr>
          <w:p>
            <w:pPr>
              <w:pBdr>
                <w:bottom w:val="none" w:space="8"/>
              </w:pBdr>
              <w:spacing w:before="0" w:after="0" w:line="275" w:lineRule="atLeast"/>
              <w:jc w:val="both"/>
            </w:pPr>
            <w:r>
              <w:rPr>
                <w:rFonts w:ascii="Times New Roman" w:hAnsi="Times New Roman"/>
                <w:i/>
                <w:color w:val="000000"/>
                <w:sz w:val="20"/>
              </w:rPr>
              <w:t>See</w:t>
            </w:r>
            <w:r>
              <w:rPr>
                <w:rFonts w:ascii="Times New Roman" w:hAnsi="Times New Roman"/>
                <w:color w:val="000000"/>
                <w:sz w:val="20"/>
              </w:rPr>
              <w:t xml:space="preserve"> Robert F. Bruner, </w:t>
            </w:r>
            <w:r>
              <w:rPr>
                <w:rFonts w:ascii="Times New Roman" w:hAnsi="Times New Roman"/>
                <w:i/>
                <w:color w:val="000000"/>
                <w:sz w:val="20"/>
              </w:rPr>
              <w:t>Applied Mergers &amp; Acquisitions</w:t>
            </w:r>
            <w:r>
              <w:rPr>
                <w:rFonts w:ascii="Times New Roman" w:hAnsi="Times New Roman"/>
                <w:color w:val="000000"/>
                <w:sz w:val="20"/>
              </w:rPr>
              <w:t xml:space="preserve"> 266 (2004) (presenting beta levering and unlevering formulas using “the target's marginal tax rate”); </w:t>
            </w:r>
            <w:r>
              <w:rPr>
                <w:rFonts w:ascii="Times New Roman" w:hAnsi="Times New Roman"/>
                <w:i/>
                <w:color w:val="000000"/>
                <w:sz w:val="20"/>
              </w:rPr>
              <w:t>accord</w:t>
            </w:r>
            <w:r>
              <w:rPr>
                <w:rFonts w:ascii="Times New Roman" w:hAnsi="Times New Roman"/>
                <w:color w:val="000000"/>
                <w:sz w:val="20"/>
              </w:rPr>
              <w:t xml:space="preserve"> Richard A. Brealey &amp; Stewart C. Myers, </w:t>
            </w:r>
            <w:r>
              <w:rPr>
                <w:rFonts w:ascii="Times New Roman" w:hAnsi="Times New Roman"/>
                <w:i/>
                <w:color w:val="000000"/>
                <w:sz w:val="20"/>
              </w:rPr>
              <w:t>Principles of Corporate Finance</w:t>
            </w:r>
            <w:r>
              <w:rPr>
                <w:rFonts w:ascii="Times New Roman" w:hAnsi="Times New Roman"/>
                <w:color w:val="000000"/>
                <w:sz w:val="20"/>
              </w:rPr>
              <w:t xml:space="preserve"> 366, 525 (7th ed. 2003); </w:t>
            </w:r>
            <w:r>
              <w:rPr>
                <w:rFonts w:ascii="Times New Roman" w:hAnsi="Times New Roman"/>
                <w:i/>
                <w:color w:val="000000"/>
                <w:sz w:val="20"/>
              </w:rPr>
              <w:t>see also</w:t>
            </w:r>
            <w:r>
              <w:rPr>
                <w:rFonts w:ascii="Times New Roman" w:hAnsi="Times New Roman"/>
                <w:color w:val="000000"/>
                <w:sz w:val="20"/>
              </w:rPr>
              <w:t xml:space="preserve"> Robert W. Holthausen &amp; Mark E. Zmijewski, </w:t>
            </w:r>
            <w:r>
              <w:rPr>
                <w:rFonts w:ascii="Times New Roman" w:hAnsi="Times New Roman"/>
                <w:i/>
                <w:color w:val="000000"/>
                <w:sz w:val="20"/>
              </w:rPr>
              <w:t>Corporate Valuation: Theory, Evidence &amp; Practice</w:t>
            </w:r>
            <w:r>
              <w:rPr>
                <w:rFonts w:ascii="Times New Roman" w:hAnsi="Times New Roman"/>
                <w:color w:val="000000"/>
                <w:sz w:val="20"/>
              </w:rPr>
              <w:t xml:space="preserve"> 174 (1st ed. 2014) (recommending use of “the corporate tax rate that is applicable to the interest deduction”); Shannon P. Pratt &amp; Roger J. Grabowski, </w:t>
            </w:r>
            <w:r>
              <w:rPr>
                <w:rFonts w:ascii="Times New Roman" w:hAnsi="Times New Roman"/>
                <w:i/>
                <w:color w:val="000000"/>
                <w:sz w:val="20"/>
              </w:rPr>
              <w:t>Cost of Capital in Litigation: Applications and Examples</w:t>
            </w:r>
            <w:r>
              <w:rPr>
                <w:rFonts w:ascii="Times New Roman" w:hAnsi="Times New Roman"/>
                <w:color w:val="000000"/>
                <w:sz w:val="20"/>
              </w:rPr>
              <w:t xml:space="preserve"> 168 (2011) (noting that the Court of Chancery “normally tax-effects the cost of debt based on the company's marginal tax rate”) (citing </w:t>
            </w:r>
            <w:hyperlink r:id="r181">
              <w:r>
                <w:rPr>
                  <w:rFonts w:ascii="Times New Roman" w:hAnsi="Times New Roman"/>
                  <w:i/>
                  <w:color w:val="000000"/>
                  <w:sz w:val="20"/>
                </w:rPr>
                <w:t>Cede &amp; Co. v. Technicolor, Inc.</w:t>
              </w:r>
              <w:r>
                <w:rPr>
                  <w:rFonts w:ascii="Times New Roman" w:hAnsi="Times New Roman"/>
                  <w:color w:val="000000"/>
                  <w:sz w:val="20"/>
                </w:rPr>
                <w:t>, 2003 WL 23700218, at *43 (Del. Ch. Dec. 31, 2003)</w:t>
              </w:r>
            </w:hyperlink>
            <w:r>
              <w:rPr>
                <w:rFonts w:ascii="Times New Roman" w:hAnsi="Times New Roman"/>
                <w:color w:val="000000"/>
                <w:sz w:val="20"/>
              </w:rPr>
              <w:t xml:space="preserve"> (“Using the 46% tax rate agreed upon by both experts, the resulting after-tax cost of debt is 7.54% ....”), </w:t>
            </w:r>
            <w:r>
              <w:rPr>
                <w:rFonts w:ascii="Times New Roman" w:hAnsi="Times New Roman"/>
                <w:i/>
                <w:color w:val="000000"/>
                <w:sz w:val="20"/>
              </w:rPr>
              <w:t>aff'd in part, rev'd in part on other grounds</w:t>
            </w:r>
            <w:r>
              <w:rPr>
                <w:rFonts w:ascii="Times New Roman" w:hAnsi="Times New Roman"/>
                <w:color w:val="000000"/>
                <w:sz w:val="20"/>
              </w:rPr>
              <w:t xml:space="preserve">, </w:t>
            </w:r>
            <w:hyperlink r:id="r182">
              <w:r>
                <w:rPr>
                  <w:rFonts w:ascii="Times New Roman" w:hAnsi="Times New Roman"/>
                  <w:color w:val="000000"/>
                  <w:sz w:val="20"/>
                </w:rPr>
                <w:t>884 A.2d 26 (Del. 2005)</w:t>
              </w:r>
            </w:hyperlink>
            <w:r>
              <w:rPr>
                <w:rFonts w:ascii="Times New Roman" w:hAnsi="Times New Roman"/>
                <w:color w:val="000000"/>
                <w:sz w:val="20"/>
              </w:rPr>
              <w:t xml:space="preserve">). </w:t>
            </w:r>
            <w:r>
              <w:rPr>
                <w:rFonts w:ascii="Times New Roman" w:hAnsi="Times New Roman"/>
                <w:i/>
                <w:color w:val="000000"/>
                <w:sz w:val="20"/>
              </w:rPr>
              <w:t>But see</w:t>
            </w:r>
            <w:r>
              <w:rPr>
                <w:rFonts w:ascii="Times New Roman" w:hAnsi="Times New Roman"/>
                <w:color w:val="000000"/>
                <w:sz w:val="20"/>
              </w:rPr>
              <w:t xml:space="preserve"> Pratt, </w:t>
            </w:r>
            <w:r>
              <w:rPr>
                <w:rFonts w:ascii="Times New Roman" w:hAnsi="Times New Roman"/>
                <w:i/>
                <w:color w:val="000000"/>
                <w:sz w:val="20"/>
              </w:rPr>
              <w:t>supra</w:t>
            </w:r>
            <w:r>
              <w:rPr>
                <w:rFonts w:ascii="Times New Roman" w:hAnsi="Times New Roman"/>
                <w:color w:val="000000"/>
                <w:sz w:val="20"/>
              </w:rPr>
              <w:t>, at 217.</w:t>
            </w:r>
          </w:p>
        </w:tc>
      </w:tr>
      <w:tr>
        <w:tblPrEx/>
        <w:trPr/>
        <w:tc>
          <w:tcPr>
            <w:vAlign w:val="top"/>
          </w:tcPr>
          <w:p>
            <w:pPr>
              <w:spacing w:before="0" w:after="0" w:line="275" w:lineRule="atLeast"/>
            </w:pPr>
            <w:bookmarkStart w:id="262" w:name="co_footnote_B00412055700832_1"/>
            <w:hyperlink w:anchor="co_fnRef_B00412055700832_ID0EFBAM_1">
              <w:r>
                <w:rPr>
                  <w:rFonts w:ascii="Times New Roman" w:hAnsi="Times New Roman"/>
                  <w:color w:val="000000"/>
                  <w:sz w:val="20"/>
                  <w:vertAlign w:val="superscript"/>
                </w:rPr>
                <w:t>41</w:t>
              </w:r>
            </w:hyperlink>
            <w:bookmarkEnd w:id="262"/>
          </w:p>
        </w:tc>
        <w:tc>
          <w:tcPr>
            <w:vAlign w:val="top"/>
          </w:tcPr>
          <w:p>
            <w:pPr>
              <w:pBdr>
                <w:bottom w:val="none" w:space="8"/>
              </w:pBdr>
              <w:spacing w:before="0" w:after="0" w:line="275" w:lineRule="atLeast"/>
              <w:jc w:val="both"/>
            </w:pPr>
            <w:r>
              <w:rPr>
                <w:rFonts w:ascii="Times New Roman" w:hAnsi="Times New Roman"/>
                <w:color w:val="000000"/>
                <w:sz w:val="20"/>
              </w:rPr>
              <w:t xml:space="preserve">AT&amp;T notes that in the </w:t>
            </w:r>
            <w:r>
              <w:rPr>
                <w:rFonts w:ascii="Times New Roman" w:hAnsi="Times New Roman"/>
                <w:i/>
                <w:color w:val="000000"/>
                <w:sz w:val="20"/>
              </w:rPr>
              <w:t>AMWOH</w:t>
            </w:r>
            <w:r>
              <w:rPr>
                <w:rFonts w:ascii="Times New Roman" w:hAnsi="Times New Roman"/>
                <w:color w:val="000000"/>
                <w:sz w:val="20"/>
              </w:rPr>
              <w:t xml:space="preserve"> decision, this court adopted Taylor's perpetuity growth rates of 1.5% to 1.7%. </w:t>
            </w:r>
            <w:hyperlink r:id="r183">
              <w:r>
                <w:rPr>
                  <w:rFonts w:ascii="Times New Roman" w:hAnsi="Times New Roman"/>
                  <w:color w:val="000000"/>
                  <w:sz w:val="20"/>
                </w:rPr>
                <w:t>2013 WL 3865099, at *5</w:t>
              </w:r>
            </w:hyperlink>
            <w:r>
              <w:rPr>
                <w:rFonts w:ascii="Times New Roman" w:hAnsi="Times New Roman"/>
                <w:color w:val="000000"/>
                <w:sz w:val="20"/>
              </w:rPr>
              <w:t xml:space="preserve">. In that case, the petitioners had “largely abandoned” their expert's calculations and had failed to support his growth rates with “any underlying facts.” </w:t>
            </w:r>
            <w:r>
              <w:rPr>
                <w:rFonts w:ascii="Times New Roman" w:hAnsi="Times New Roman"/>
                <w:i/>
                <w:color w:val="000000"/>
                <w:sz w:val="20"/>
              </w:rPr>
              <w:t>Id.</w:t>
            </w:r>
            <w:r>
              <w:rPr>
                <w:rFonts w:ascii="Times New Roman" w:hAnsi="Times New Roman"/>
                <w:color w:val="000000"/>
                <w:sz w:val="20"/>
              </w:rPr>
              <w:t xml:space="preserve"> This is a different case with a different record. Here, the plaintiffs and their experts have persuasively established that AT&amp;T expected significant growth in its wireless business.</w:t>
            </w:r>
          </w:p>
        </w:tc>
      </w:tr>
      <w:tr>
        <w:tblPrEx/>
        <w:trPr/>
        <w:tc>
          <w:tcPr>
            <w:vAlign w:val="top"/>
          </w:tcPr>
          <w:p>
            <w:pPr>
              <w:spacing w:before="0" w:after="0" w:line="275" w:lineRule="atLeast"/>
            </w:pPr>
            <w:bookmarkStart w:id="263" w:name="co_footnote_B00422055700832_1"/>
            <w:hyperlink w:anchor="co_fnRef_B00422055700832_ID0E4MAM_1">
              <w:r>
                <w:rPr>
                  <w:rFonts w:ascii="Times New Roman" w:hAnsi="Times New Roman"/>
                  <w:color w:val="000000"/>
                  <w:sz w:val="20"/>
                  <w:vertAlign w:val="superscript"/>
                </w:rPr>
                <w:t>42</w:t>
              </w:r>
            </w:hyperlink>
            <w:bookmarkEnd w:id="263"/>
          </w:p>
        </w:tc>
        <w:tc>
          <w:tcPr>
            <w:vAlign w:val="top"/>
          </w:tcPr>
          <w:p>
            <w:pPr>
              <w:pBdr>
                <w:bottom w:val="none" w:space="8"/>
              </w:pBdr>
              <w:spacing w:before="0" w:after="0" w:line="275" w:lineRule="atLeast"/>
              <w:jc w:val="both"/>
            </w:pPr>
            <w:r>
              <w:rPr>
                <w:rFonts w:ascii="Times New Roman" w:hAnsi="Times New Roman"/>
                <w:color w:val="000000"/>
                <w:sz w:val="20"/>
              </w:rPr>
              <w:t xml:space="preserve">AT&amp;T attempts to avoid the comparison by claiming that the Partnership's “distributions in the years leading up to the transactions exceeded both EBITDA and free cash flow,” and that “Barrick extrapolates these excessive distributions in perpetuity, which is impossible.” Dkt. 614 at 69; </w:t>
            </w:r>
            <w:r>
              <w:rPr>
                <w:rFonts w:ascii="Times New Roman" w:hAnsi="Times New Roman"/>
                <w:i/>
                <w:color w:val="000000"/>
                <w:sz w:val="20"/>
              </w:rPr>
              <w:t>see</w:t>
            </w:r>
            <w:r>
              <w:rPr>
                <w:rFonts w:ascii="Times New Roman" w:hAnsi="Times New Roman"/>
                <w:color w:val="000000"/>
                <w:sz w:val="20"/>
              </w:rPr>
              <w:t xml:space="preserve"> JX 1209 at ’124; JX 3530, “Salem DCF” tab, Cell D31. After removing the effect of taxes, applying the same analysis to Taylor's projections for the Partnership's free cash flows in 2010 translates to a fair value estimate of $487.6 million.</w:t>
            </w:r>
          </w:p>
        </w:tc>
      </w:tr>
    </w:tbl>
    <w:p>
      <w:pPr>
        <w:spacing w:before="0" w:after="0" w:line="240" w:lineRule="auto"/>
        <w:rPr>
          <w:sz w:val="24"/>
        </w:rPr>
      </w:pPr>
    </w:p>
    <w:tbl>
      <w:tblPr>
        <w:tblInd w:w="24" w:type="dxa"/>
        <w:tblLayout w:type="fixed"/>
      </w:tblPr>
      <w:tblGrid>
        <w:gridCol w:w="4305"/>
        <w:gridCol w:w="5745"/>
      </w:tblGrid>
      <w:tr>
        <w:tblPrEx/>
        <w:trPr/>
        <w:tc>
          <w:tcPr>
            <w:tcBorders>
              <w:top w:val="single" w:sz="4" w:color="777777"/>
            </w:tcBorders>
            <w:tcMar>
              <w:top w:w="75" w:type="dxa"/>
              <w:left w:w="24" w:type="dxa"/>
              <w:right w:w="24" w:type="dxa"/>
            </w:tcMar>
            <w:vAlign w:val="top"/>
          </w:tcPr>
          <w:p>
            <w:pPr>
              <w:spacing w:before="0" w:after="0" w:line="235" w:lineRule="atLeast"/>
            </w:pPr>
            <w:r>
              <w:rPr>
                <w:rFonts w:ascii="Times New Roman" w:hAnsi="Times New Roman"/>
                <w:b/>
                <w:color w:val="777777"/>
                <w:sz w:val="16"/>
              </w:rPr>
              <w:t>End of Document</w:t>
            </w:r>
          </w:p>
        </w:tc>
        <w:tc>
          <w:tcPr>
            <w:tcBorders>
              <w:top w:val="single" w:sz="4" w:color="777777"/>
            </w:tcBorders>
            <w:tcMar>
              <w:top w:w="75" w:type="dxa"/>
              <w:left w:w="24" w:type="dxa"/>
              <w:right w:w="24" w:type="dxa"/>
            </w:tcMar>
            <w:vAlign w:val="top"/>
          </w:tcPr>
          <w:p>
            <w:pPr>
              <w:spacing w:before="0" w:after="0" w:line="235" w:lineRule="atLeast"/>
              <w:jc w:val="right"/>
            </w:pPr>
            <w:r>
              <w:rPr>
                <w:rFonts w:ascii="Times New Roman" w:hAnsi="Times New Roman"/>
                <w:color w:val="777777"/>
                <w:sz w:val="16"/>
              </w:rPr>
              <w:t>© 2022 Thomson Reuters. No claim to original U.S. Government Works.</w:t>
            </w:r>
          </w:p>
        </w:tc>
      </w:tr>
    </w:tbl>
    <w:sectPr>
      <w:pgSz w:w="12240" w:h="15840"/>
      <w:pgMar w:top="1800" w:bottom="1080" w:left="1080" w:right="1080" w:header="720" w:footer="720" w:gutter="0"/>
      <w:pgNumType w:fmt="decimal"/>
    </w:sectPr>
  </w:body>
</w:document>
</file>

<file path=fonts.xml><?xml version="1.0" encoding="utf-8"?>
<w:fonts xmlns:w="http://schemas.openxmlformats.org/wordprocessingml/2006/main">
  <w:font w:name="Times New Roman">
    <w:family w:val="roman"/>
  </w:font>
  <w:font w:name="Arial">
    <w:family w:val="swiss"/>
  </w:font>
  <w:font w:name="Courier New">
    <w:family w:val="modern"/>
    <w:pitch w:val="fixed"/>
  </w:font>
  <w:font w:name="Georgia">
    <w:family w:val="roma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9270"/>
      <w:gridCol w:w="690"/>
    </w:tblGrid>
    <w:tr>
      <w:tblPrEx/>
      <w:trPr/>
      <w:tc>
        <w:tcPr>
          <w:tcBorders>
            <w:top w:val="single" w:sz="6" w:color="aaaaaa"/>
          </w:tcBorders>
          <w:tcMar>
            <w:top w:w="60" w:type="dxa"/>
          </w:tcMar>
          <w:vAlign w:val="bottom"/>
        </w:tcPr>
        <w:p>
          <w:pPr>
            <w:spacing w:before="0" w:after="0" w:line="240" w:lineRule="auto"/>
          </w:pPr>
          <w:r>
            <w:rPr>
              <w:rFonts w:ascii="Arial" w:hAnsi="Arial"/>
              <w:color w:val="aaaaaa"/>
              <w:sz w:val="20"/>
            </w:rPr>
            <w:drawing>
              <wp:inline>
                <wp:extent cx="742950" cy="95250"/>
                <wp:docPr id="5" name="Picture 0" descr="Westlaw Logo"/>
                <a:graphic>
                  <a:graphicData uri="http://schemas.openxmlformats.org/drawingml/2006/picture">
                    <p:pic>
                      <p:nvPicPr>
                        <p:cNvPr id="6" name="Picture 0" descr="Westlaw Logo"/>
                        <p:cNvPicPr/>
                      </p:nvPicPr>
                      <p:blipFill>
                        <a:blip r:embed="r1"/>
                        <a:srcRect/>
                        <a:stretch>
                          <a:fillRect/>
                        </a:stretch>
                      </p:blipFill>
                      <p:spPr>
                        <a:xfrm>
                          <a:off x="0" y="0"/>
                          <a:ext cx="742950" cy="95250"/>
                        </a:xfrm>
                        <a:prstGeom prst="rect"/>
                      </p:spPr>
                    </p:pic>
                  </a:graphicData>
                </a:graphic>
              </wp:inline>
            </w:drawing>
          </w:r>
          <w:r>
            <w:rPr>
              <w:rFonts w:ascii="Arial" w:hAnsi="Arial"/>
              <w:color w:val="aaaaaa"/>
              <w:sz w:val="20"/>
            </w:rPr>
            <w:t xml:space="preserve"> © 2022 Thomson Reuters. No claim to original U.S. Government Works.</w:t>
          </w:r>
        </w:p>
      </w:tc>
      <w:tc>
        <w:tcPr>
          <w:tcBorders>
            <w:top w:val="single" w:sz="6" w:color="aaaaaa"/>
          </w:tcBorders>
          <w:tcMar>
            <w:top w:w="60" w:type="dxa"/>
          </w:tcMar>
          <w:vAlign w:val="top"/>
        </w:tcPr>
        <w:p>
          <w:pPr>
            <w:spacing w:before="0" w:after="0" w:line="240" w:lineRule="auto"/>
            <w:jc w:val="right"/>
          </w:pPr>
          <w:r>
            <w:rPr>
              <w:rFonts w:ascii="Arial" w:hAnsi="Arial"/>
              <w:color w:val="aaaaaa"/>
              <w:sz w:val="20"/>
            </w:rPr>
            <w:pgNum/>
          </w: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9360"/>
      <w:gridCol w:w="705"/>
    </w:tblGrid>
    <w:tr>
      <w:tblPrEx/>
      <w:trPr/>
      <w:tc>
        <w:tcPr>
          <w:tcMar>
            <w:top w:w="300" w:type="dxa"/>
            <w:bottom w:w="45" w:type="dxa"/>
          </w:tcMar>
          <w:vAlign w:val="bottom"/>
        </w:tcPr>
        <w:p>
          <w:pPr>
            <w:spacing w:before="0" w:after="0" w:line="240" w:lineRule="auto"/>
            <w:jc w:val="center"/>
          </w:pPr>
          <w:r>
            <w:rPr>
              <w:rFonts w:ascii="Arial" w:hAnsi="Arial"/>
              <w:b/>
              <w:color w:val="000000"/>
              <w:sz w:val="18"/>
            </w:rPr>
            <w:t>Colon, Jeff</w:t>
          </w:r>
          <w:r>
            <w:rPr>
              <w:rFonts w:ascii="Arial" w:hAnsi="Arial"/>
              <w:color w:val="000000"/>
              <w:sz w:val="18"/>
            </w:rPr>
            <w:t xml:space="preserve"> </w:t>
          </w:r>
          <w:r>
            <w:rPr>
              <w:rFonts w:ascii="Arial" w:hAnsi="Arial"/>
              <w:b/>
              <w:color w:val="000000"/>
              <w:sz w:val="18"/>
            </w:rPr>
            <w:t>6/5/2022</w:t>
          </w:r>
        </w:p>
        <w:p>
          <w:pPr>
            <w:spacing w:before="0" w:after="0" w:line="240" w:lineRule="auto"/>
            <w:jc w:val="center"/>
          </w:pPr>
          <w:r>
            <w:rPr>
              <w:rFonts w:ascii="Arial" w:hAnsi="Arial"/>
              <w:b/>
              <w:color w:val="000000"/>
              <w:sz w:val="18"/>
            </w:rPr>
            <w:t>For Educational Use Only</w:t>
          </w:r>
        </w:p>
      </w:tc>
      <w:tc>
        <w:tcPr>
          <w:vAlign w:val="top"/>
        </w:tcPr>
        <w:p>
          <w:pPr>
            <w:spacing w:before="0" w:after="0" w:line="240" w:lineRule="auto"/>
          </w:pPr>
        </w:p>
      </w:tc>
    </w:tr>
    <w:tr>
      <w:tblPrEx/>
      <w:trPr/>
      <w:tc>
        <w:tcPr>
          <w:tcBorders>
            <w:bottom w:val="single" w:sz="6" w:color="aaaaaa"/>
          </w:tcBorders>
          <w:tcMar>
            <w:top w:w="390" w:type="dxa"/>
            <w:bottom w:w="60" w:type="dxa"/>
          </w:tcMar>
          <w:vAlign w:val="bottom"/>
        </w:tcPr>
        <w:p>
          <w:pPr>
            <w:spacing w:before="0" w:after="0" w:line="240" w:lineRule="auto"/>
          </w:pPr>
          <w:r>
            <w:rPr>
              <w:rFonts w:ascii="Arial" w:hAnsi="Arial"/>
              <w:b/>
              <w:color w:val="555555"/>
              <w:sz w:val="18"/>
            </w:rPr>
            <w:t>In re Cellular Telephone Partnership Litigation, Not Reported in Atl. Rptr. (2022)</w:t>
          </w:r>
        </w:p>
      </w:tc>
      <w:tc>
        <w:tcPr>
          <w:tcBorders>
            <w:bottom w:val="single" w:sz="6" w:color="aaaaaa"/>
          </w:tcBorders>
          <w:tcMar>
            <w:top w:w="390" w:type="dxa"/>
            <w:bottom w:w="60" w:type="dxa"/>
          </w:tcMar>
          <w:vAlign w:val="top"/>
        </w:tcPr>
        <w:p>
          <w:pPr>
            <w:spacing w:before="0" w:after="0" w:line="240" w:lineRule="auto"/>
            <w:rPr>
              <w:rFonts w:ascii="Arial" w:hAnsi="Arial"/>
              <w:color w:val="000000"/>
              <w:sz w:val="18"/>
            </w:rPr>
          </w:pPr>
        </w:p>
      </w:tc>
    </w:tr>
    <w:tr>
      <w:tblPrEx/>
      <w:trPr/>
      <w:tc>
        <w:tcPr>
          <w:hMerge w:val="restart"/>
          <w:vAlign w:val="top"/>
        </w:tcPr>
        <w:p>
          <w:pPr>
            <w:spacing w:before="0" w:after="0" w:line="240" w:lineRule="auto"/>
            <w:rPr>
              <w:rFonts w:ascii="Arial" w:hAnsi="Arial"/>
              <w:color w:val="000000"/>
              <w:sz w:val="18"/>
            </w:rPr>
          </w:pPr>
        </w:p>
      </w:tc>
      <w:tc>
        <w:tcPr>
          <w:hMerge w:val="continue"/>
          <w:vAlign w:val="top"/>
        </w:tcPr>
        <w:p>
          <w:pPr>
            <w:spacing w:before="0" w:after="0" w:line="240" w:lineRule="auto"/>
            <w:rPr>
              <w:rFonts w:ascii="Arial" w:hAnsi="Arial"/>
              <w:color w:val="000000"/>
              <w:sz w:val="18"/>
            </w:rPr>
          </w:pPr>
        </w:p>
      </w:tc>
    </w:tr>
  </w:tbl>
  <w:p>
    <w:pPr>
      <w:spacing w:before="0" w:after="0" w:line="240" w:lineRule="auto"/>
    </w:pPr>
    <w:r>
      <w:rPr>
        <w:rFonts w:ascii="Arial" w:hAnsi="Arial"/>
        <w:color w:val="000000"/>
        <w:sz w:val="18"/>
      </w:rPr>
      <w:t xml:space="preserve"> </w:t>
    </w:r>
  </w:p>
</w:hdr>
</file>

<file path=numbering.xml><?xml version="1.0" encoding="utf-8"?>
<w:numbering xmlns:w="http://schemas.openxmlformats.org/wordprocessingml/2006/main">
</w:numbering>
</file>

<file path=settings.xml><?xml version="1.0" encoding="utf-8"?>
<w:settings xmlns:w="http://schemas.openxmlformats.org/wordprocessingml/2006/main">
  <w:view w:val="print"/>
  <w:bordersDoNotSurroundHeader/>
  <w:bordersDoNotSurroundFooter/>
  <w:evenAndOddHeaders/>
</w:settings>
</file>