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ookmark_1"/>
    <w:bookmarkEnd w:id="0"/>
    <w:p w14:paraId="1DEFFB19" w14:textId="77777777" w:rsidR="00303AAE" w:rsidRDefault="00E53B66">
      <w:pPr>
        <w:pStyle w:val="Heading1"/>
        <w:keepNext w:val="0"/>
        <w:widowControl w:val="0"/>
        <w:spacing w:after="200" w:line="340" w:lineRule="atLeast"/>
        <w:jc w:val="center"/>
      </w:pPr>
      <w:r>
        <w:fldChar w:fldCharType="begin"/>
      </w:r>
      <w:r>
        <w:instrText xml:space="preserve"> HYPERLINK  https://advance.lexis.com/api/document?collection=cases&amp;id=urn:contentItem:58VB-R341-F04C-G01H-00000-00&amp;context=</w:instrText>
      </w:r>
      <w:r>
        <w:fldChar w:fldCharType="separate"/>
      </w:r>
      <w:r>
        <w:rPr>
          <w:rFonts w:ascii="Times" w:eastAsia="Times" w:hAnsi="Times" w:cs="Times"/>
          <w:color w:val="0077CC"/>
          <w:sz w:val="28"/>
          <w:u w:val="single"/>
        </w:rPr>
        <w:t>Merion Capital, L.P. v. 3M Cogent, Inc.</w:t>
      </w:r>
      <w:r>
        <w:fldChar w:fldCharType="end"/>
      </w:r>
    </w:p>
    <w:p w14:paraId="1A80C022" w14:textId="77777777" w:rsidR="00303AAE" w:rsidRDefault="00E53B66">
      <w:pPr>
        <w:pStyle w:val="Normal1"/>
        <w:widowControl w:val="0"/>
        <w:spacing w:before="120" w:line="260" w:lineRule="atLeast"/>
        <w:jc w:val="center"/>
      </w:pPr>
      <w:r>
        <w:rPr>
          <w:rFonts w:ascii="Times" w:eastAsia="Times" w:hAnsi="Times" w:cs="Times"/>
          <w:color w:val="000000"/>
          <w:sz w:val="20"/>
        </w:rPr>
        <w:t>Court of Chancery of Delaware, New Castle</w:t>
      </w:r>
    </w:p>
    <w:p w14:paraId="585787DB" w14:textId="77777777" w:rsidR="00303AAE" w:rsidRDefault="00E53B66">
      <w:pPr>
        <w:pStyle w:val="Normal1"/>
        <w:widowControl w:val="0"/>
        <w:spacing w:before="120" w:line="260" w:lineRule="atLeast"/>
        <w:jc w:val="center"/>
      </w:pPr>
      <w:r>
        <w:rPr>
          <w:rFonts w:ascii="Times" w:eastAsia="Times" w:hAnsi="Times" w:cs="Times"/>
          <w:color w:val="000000"/>
          <w:sz w:val="20"/>
        </w:rPr>
        <w:t>March 19, 2013, Submitted; July 8, 2013, Decided</w:t>
      </w:r>
    </w:p>
    <w:p w14:paraId="3103BC8B" w14:textId="77777777" w:rsidR="00303AAE" w:rsidRDefault="00E53B66">
      <w:pPr>
        <w:pStyle w:val="Normal1"/>
        <w:widowControl w:val="0"/>
        <w:spacing w:before="120" w:line="260" w:lineRule="atLeast"/>
        <w:jc w:val="center"/>
        <w:sectPr w:rsidR="00303AAE">
          <w:headerReference w:type="even" r:id="rId8"/>
          <w:headerReference w:type="default" r:id="rId9"/>
          <w:footerReference w:type="even" r:id="rId10"/>
          <w:footerReference w:type="default" r:id="rId11"/>
          <w:headerReference w:type="first" r:id="rId12"/>
          <w:footerReference w:type="first" r:id="rId13"/>
          <w:type w:val="continuous"/>
          <w:pgSz w:w="12240" w:h="15840"/>
          <w:pgMar w:top="840" w:right="1000" w:bottom="840" w:left="1000" w:header="400" w:footer="400" w:gutter="0"/>
          <w:cols w:space="240"/>
        </w:sectPr>
      </w:pPr>
      <w:r>
        <w:rPr>
          <w:rFonts w:ascii="Times" w:eastAsia="Times" w:hAnsi="Times" w:cs="Times"/>
          <w:color w:val="000000"/>
          <w:sz w:val="20"/>
        </w:rPr>
        <w:t>Civil Action No. 6247-VCP</w:t>
      </w:r>
    </w:p>
    <w:p w14:paraId="7764EE1E" w14:textId="77777777" w:rsidR="00303AAE" w:rsidRDefault="00303AAE">
      <w:pPr>
        <w:pStyle w:val="Normal1"/>
        <w:widowControl w:val="0"/>
        <w:spacing w:line="240" w:lineRule="atLeast"/>
        <w:jc w:val="both"/>
      </w:pPr>
    </w:p>
    <w:p w14:paraId="760FFBFE" w14:textId="77777777" w:rsidR="00303AAE" w:rsidRDefault="00303AAE">
      <w:pPr>
        <w:pStyle w:val="Normal1"/>
      </w:pPr>
    </w:p>
    <w:p w14:paraId="5E432C4B" w14:textId="77777777" w:rsidR="00303AAE" w:rsidRDefault="00E53B66">
      <w:pPr>
        <w:pStyle w:val="Normal1"/>
        <w:widowControl w:val="0"/>
        <w:spacing w:before="200" w:line="240" w:lineRule="atLeast"/>
      </w:pPr>
      <w:bookmarkStart w:id="1" w:name="Reporter"/>
      <w:bookmarkEnd w:id="1"/>
      <w:r>
        <w:rPr>
          <w:rFonts w:ascii="Times" w:eastAsia="Times" w:hAnsi="Times" w:cs="Times"/>
          <w:b/>
          <w:color w:val="000000"/>
          <w:sz w:val="18"/>
        </w:rPr>
        <w:t>Reporter</w:t>
      </w:r>
    </w:p>
    <w:p w14:paraId="52071E2C" w14:textId="77777777" w:rsidR="00303AAE" w:rsidRDefault="00E53B66">
      <w:pPr>
        <w:pStyle w:val="Normal1"/>
        <w:widowControl w:val="0"/>
        <w:spacing w:line="240" w:lineRule="atLeast"/>
        <w:sectPr w:rsidR="00303AAE">
          <w:type w:val="continuous"/>
          <w:pgSz w:w="12240" w:h="15840"/>
          <w:pgMar w:top="840" w:right="1000" w:bottom="840" w:left="1000" w:header="400" w:footer="400" w:gutter="0"/>
          <w:cols w:space="240"/>
        </w:sectPr>
      </w:pPr>
      <w:r>
        <w:rPr>
          <w:rFonts w:ascii="Times" w:eastAsia="Times" w:hAnsi="Times" w:cs="Times"/>
          <w:color w:val="000000"/>
          <w:sz w:val="18"/>
        </w:rPr>
        <w:t>2013 Del. Ch. LEXIS 172 *; 2013 WL 3793896</w:t>
      </w:r>
    </w:p>
    <w:p w14:paraId="761D7185" w14:textId="77777777" w:rsidR="00303AAE" w:rsidRDefault="00E53B66">
      <w:pPr>
        <w:pStyle w:val="Normal1"/>
        <w:keepNext/>
        <w:widowControl w:val="0"/>
        <w:spacing w:before="240" w:line="340" w:lineRule="atLeast"/>
      </w:pPr>
      <w:bookmarkStart w:id="2" w:name="Opinion"/>
      <w:bookmarkEnd w:id="2"/>
      <w:r>
        <w:rPr>
          <w:rFonts w:ascii="Times" w:eastAsia="Times" w:hAnsi="Times" w:cs="Times"/>
          <w:b/>
          <w:color w:val="000000"/>
          <w:sz w:val="28"/>
        </w:rPr>
        <w:lastRenderedPageBreak/>
        <w:t>Opinion</w:t>
      </w:r>
    </w:p>
    <w:p w14:paraId="6298FEF7" w14:textId="5079CBAB" w:rsidR="00303AAE" w:rsidRDefault="009A051E">
      <w:pPr>
        <w:pStyle w:val="Normal1"/>
        <w:spacing w:line="60" w:lineRule="exact"/>
      </w:pPr>
      <w:r>
        <w:rPr>
          <w:noProof/>
        </w:rPr>
        <mc:AlternateContent>
          <mc:Choice Requires="wps">
            <w:drawing>
              <wp:anchor distT="0" distB="0" distL="114300" distR="114300" simplePos="0" relativeHeight="251664384" behindDoc="0" locked="0" layoutInCell="1" allowOverlap="1" wp14:anchorId="28B4B141" wp14:editId="37298FAE">
                <wp:simplePos x="0" y="0"/>
                <wp:positionH relativeFrom="column">
                  <wp:posOffset>0</wp:posOffset>
                </wp:positionH>
                <wp:positionV relativeFrom="paragraph">
                  <wp:posOffset>25400</wp:posOffset>
                </wp:positionV>
                <wp:extent cx="3187700" cy="0"/>
                <wp:effectExtent l="25400" t="25400" r="38100" b="3810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175DB"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51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" strokecolor="#009ddb" strokeweight="2pt"/>
            </w:pict>
          </mc:Fallback>
        </mc:AlternateContent>
      </w:r>
    </w:p>
    <w:p w14:paraId="227A291E" w14:textId="77777777" w:rsidR="00303AAE" w:rsidRDefault="00303AAE">
      <w:pPr>
        <w:pStyle w:val="Normal1"/>
      </w:pPr>
    </w:p>
    <w:p w14:paraId="43882024" w14:textId="77777777" w:rsidR="00303AAE" w:rsidRDefault="00303AAE">
      <w:pPr>
        <w:pStyle w:val="Normal1"/>
        <w:spacing w:line="120" w:lineRule="exact"/>
      </w:pPr>
    </w:p>
    <w:p w14:paraId="5845E06A" w14:textId="77777777" w:rsidR="00303AAE" w:rsidRDefault="00E53B66">
      <w:pPr>
        <w:pStyle w:val="Normal1"/>
        <w:widowControl w:val="0"/>
        <w:spacing w:before="240" w:line="260" w:lineRule="atLeast"/>
      </w:pPr>
      <w:r>
        <w:rPr>
          <w:rFonts w:ascii="Times" w:eastAsia="Times" w:hAnsi="Times" w:cs="Times"/>
          <w:b/>
          <w:color w:val="000000"/>
          <w:sz w:val="20"/>
        </w:rPr>
        <w:t>MEMORANDUM OPINION</w:t>
      </w:r>
    </w:p>
    <w:p w14:paraId="0BBF2C76" w14:textId="77777777" w:rsidR="00303AAE" w:rsidRDefault="00E53B66">
      <w:pPr>
        <w:pStyle w:val="Normal1"/>
        <w:widowControl w:val="0"/>
        <w:spacing w:before="200" w:line="260" w:lineRule="atLeast"/>
        <w:jc w:val="both"/>
      </w:pPr>
      <w:bookmarkStart w:id="3" w:name="Bookmark_para_2"/>
      <w:bookmarkEnd w:id="3"/>
      <w:r>
        <w:rPr>
          <w:rFonts w:ascii="Times" w:eastAsia="Times" w:hAnsi="Times" w:cs="Times"/>
          <w:b/>
          <w:color w:val="000000"/>
          <w:sz w:val="20"/>
        </w:rPr>
        <w:t>PARSONS, Vice Chancellor.</w:t>
      </w:r>
    </w:p>
    <w:p w14:paraId="40195833" w14:textId="77777777" w:rsidR="00303AAE" w:rsidRDefault="00E53B66">
      <w:pPr>
        <w:pStyle w:val="Normal1"/>
        <w:widowControl w:val="0"/>
        <w:spacing w:before="200" w:line="260" w:lineRule="atLeast"/>
        <w:jc w:val="both"/>
      </w:pPr>
      <w:bookmarkStart w:id="4" w:name="Bookmark_para_3"/>
      <w:bookmarkEnd w:id="4"/>
      <w:r>
        <w:rPr>
          <w:rFonts w:ascii="Times" w:eastAsia="Times" w:hAnsi="Times" w:cs="Times"/>
          <w:color w:val="000000"/>
          <w:sz w:val="20"/>
        </w:rPr>
        <w:t xml:space="preserve">This is the post-trial decision in an appraisal brought pursuant to </w:t>
      </w:r>
      <w:hyperlink r:id="rId14" w:history="1">
        <w:r>
          <w:rPr>
            <w:rFonts w:ascii="Times" w:eastAsia="Times" w:hAnsi="Times" w:cs="Times"/>
            <w:color w:val="0077CC"/>
            <w:sz w:val="20"/>
            <w:u w:val="single"/>
          </w:rPr>
          <w:t xml:space="preserve">8 </w:t>
        </w:r>
      </w:hyperlink>
      <w:hyperlink r:id="rId15" w:history="1">
        <w:r>
          <w:rPr>
            <w:rFonts w:ascii="Times" w:eastAsia="Times" w:hAnsi="Times" w:cs="Times"/>
            <w:i/>
            <w:color w:val="0077CC"/>
            <w:sz w:val="20"/>
            <w:u w:val="single"/>
          </w:rPr>
          <w:t>Del. C.</w:t>
        </w:r>
      </w:hyperlink>
      <w:hyperlink r:id="rId16" w:history="1">
        <w:r>
          <w:rPr>
            <w:rFonts w:ascii="Times" w:eastAsia="Times" w:hAnsi="Times" w:cs="Times"/>
            <w:color w:val="0077CC"/>
            <w:sz w:val="20"/>
            <w:u w:val="single"/>
          </w:rPr>
          <w:t xml:space="preserve"> § 262</w:t>
        </w:r>
      </w:hyperlink>
      <w:r>
        <w:rPr>
          <w:rFonts w:ascii="Times" w:eastAsia="Times" w:hAnsi="Times" w:cs="Times"/>
          <w:color w:val="000000"/>
          <w:sz w:val="20"/>
        </w:rPr>
        <w:t xml:space="preserve"> and arising out of a merger in which a global technology conglomerate and its acquisition subsidiary acquired a biometrics technology company at a price of $10.50 per share. Relying upon a discounted cash flow ("DCF") analysis, the petitioners claim that each share of the biometrics company's common shares was worth $16.26 as of the merger date. By contrast, the respondent contends that the biometrics company's common shares were worth only $10.12 apiece as of the merger date. For the reasons set forth below, the Court concludes that, as of the merger date, the fair value of the biometrics company was approximately </w:t>
      </w:r>
      <w:r>
        <w:rPr>
          <w:rFonts w:ascii="Times" w:eastAsia="Times" w:hAnsi="Times" w:cs="Times"/>
          <w:color w:val="000000"/>
          <w:sz w:val="18"/>
        </w:rPr>
        <w:t> [*2] </w:t>
      </w:r>
      <w:r>
        <w:rPr>
          <w:rFonts w:ascii="Times" w:eastAsia="Times" w:hAnsi="Times" w:cs="Times"/>
          <w:color w:val="000000"/>
          <w:sz w:val="20"/>
        </w:rPr>
        <w:t>$963.4 million or $10.87 per share.</w:t>
      </w:r>
    </w:p>
    <w:p w14:paraId="2759723F" w14:textId="77777777" w:rsidR="00303AAE" w:rsidRDefault="00E53B66">
      <w:pPr>
        <w:pStyle w:val="Normal1"/>
        <w:widowControl w:val="0"/>
        <w:spacing w:before="240" w:line="260" w:lineRule="atLeast"/>
      </w:pPr>
      <w:r>
        <w:rPr>
          <w:rFonts w:ascii="Times" w:eastAsia="Times" w:hAnsi="Times" w:cs="Times"/>
          <w:b/>
          <w:color w:val="000000"/>
          <w:sz w:val="20"/>
        </w:rPr>
        <w:t>I. BACKGROUND</w:t>
      </w:r>
    </w:p>
    <w:p w14:paraId="2D80ACEF" w14:textId="77777777" w:rsidR="00303AAE" w:rsidRDefault="00E53B66">
      <w:pPr>
        <w:pStyle w:val="Normal1"/>
        <w:widowControl w:val="0"/>
        <w:spacing w:before="240" w:line="260" w:lineRule="atLeast"/>
      </w:pPr>
      <w:r>
        <w:rPr>
          <w:rFonts w:ascii="Times" w:eastAsia="Times" w:hAnsi="Times" w:cs="Times"/>
          <w:b/>
          <w:color w:val="000000"/>
          <w:sz w:val="20"/>
        </w:rPr>
        <w:t>A. The Parties</w:t>
      </w:r>
    </w:p>
    <w:p w14:paraId="417AC049" w14:textId="79971836" w:rsidR="00303AAE" w:rsidRDefault="00E53B66" w:rsidP="0029046B">
      <w:pPr>
        <w:pStyle w:val="Normal1"/>
        <w:widowControl w:val="0"/>
        <w:spacing w:before="200" w:line="260" w:lineRule="atLeast"/>
        <w:jc w:val="both"/>
      </w:pPr>
      <w:bookmarkStart w:id="5" w:name="Bookmark_para_4"/>
      <w:bookmarkEnd w:id="5"/>
      <w:r>
        <w:rPr>
          <w:rFonts w:ascii="Times" w:eastAsia="Times" w:hAnsi="Times" w:cs="Times"/>
          <w:color w:val="000000"/>
          <w:sz w:val="20"/>
        </w:rPr>
        <w:t>Respondent, 3M Cogent, Inc. ("3M Cogent"), formerly known as Cogent, Inc. ("Cogent" or the "Company"), is a Delaware corporation that provides biometric technology. Specifically, Cogent offers automated fingerprint identification systems ("AFIS") technology and other fingerprint biometrics solutions to government, immigration, and law enforcement agencies.</w:t>
      </w:r>
    </w:p>
    <w:p w14:paraId="4C6FBE58" w14:textId="0517A914" w:rsidR="00303AAE" w:rsidRDefault="00E53B66" w:rsidP="00963A44">
      <w:pPr>
        <w:pStyle w:val="Normal1"/>
        <w:widowControl w:val="0"/>
        <w:spacing w:before="200" w:line="260" w:lineRule="atLeast"/>
        <w:jc w:val="both"/>
      </w:pPr>
      <w:bookmarkStart w:id="6" w:name="Bookmark_para_5"/>
      <w:bookmarkEnd w:id="6"/>
      <w:r>
        <w:rPr>
          <w:rFonts w:ascii="Times" w:eastAsia="Times" w:hAnsi="Times" w:cs="Times"/>
          <w:color w:val="000000"/>
          <w:sz w:val="20"/>
        </w:rPr>
        <w:t xml:space="preserve">Petitioners are Merion Capital, L.P., </w:t>
      </w:r>
      <w:proofErr w:type="spellStart"/>
      <w:r>
        <w:rPr>
          <w:rFonts w:ascii="Times" w:eastAsia="Times" w:hAnsi="Times" w:cs="Times"/>
          <w:color w:val="000000"/>
          <w:sz w:val="20"/>
        </w:rPr>
        <w:t>Magnetar</w:t>
      </w:r>
      <w:proofErr w:type="spellEnd"/>
      <w:r>
        <w:rPr>
          <w:rFonts w:ascii="Times" w:eastAsia="Times" w:hAnsi="Times" w:cs="Times"/>
          <w:color w:val="000000"/>
          <w:sz w:val="20"/>
        </w:rPr>
        <w:t xml:space="preserve"> Capital Master Fund </w:t>
      </w:r>
      <w:proofErr w:type="gramStart"/>
      <w:r>
        <w:rPr>
          <w:rFonts w:ascii="Times" w:eastAsia="Times" w:hAnsi="Times" w:cs="Times"/>
          <w:color w:val="000000"/>
          <w:sz w:val="20"/>
        </w:rPr>
        <w:t>Ltd.,</w:t>
      </w:r>
      <w:r w:rsidR="0029046B">
        <w:rPr>
          <w:rFonts w:ascii="Times" w:eastAsia="Times" w:hAnsi="Times" w:cs="Times"/>
          <w:color w:val="000000"/>
          <w:sz w:val="20"/>
        </w:rPr>
        <w:t>…</w:t>
      </w:r>
      <w:proofErr w:type="gramEnd"/>
      <w:r>
        <w:rPr>
          <w:rFonts w:ascii="Times" w:eastAsia="Times" w:hAnsi="Times" w:cs="Times"/>
          <w:color w:val="000000"/>
          <w:sz w:val="20"/>
        </w:rPr>
        <w:t xml:space="preserve"> 3M acquired Cogent (or the "Company") through its acquisition subsidiary, nonparty Ventura Acquisition Corporation ("Ventura").</w:t>
      </w:r>
    </w:p>
    <w:p w14:paraId="75E626A8" w14:textId="77777777" w:rsidR="00303AAE" w:rsidRDefault="00E53B66">
      <w:pPr>
        <w:pStyle w:val="Normal1"/>
        <w:widowControl w:val="0"/>
        <w:spacing w:before="240" w:line="260" w:lineRule="atLeast"/>
      </w:pPr>
      <w:r>
        <w:rPr>
          <w:rFonts w:ascii="Times" w:eastAsia="Times" w:hAnsi="Times" w:cs="Times"/>
          <w:b/>
          <w:color w:val="000000"/>
          <w:sz w:val="20"/>
        </w:rPr>
        <w:lastRenderedPageBreak/>
        <w:t>B. Facts</w:t>
      </w:r>
    </w:p>
    <w:p w14:paraId="1966026E" w14:textId="77777777" w:rsidR="00303AAE" w:rsidRDefault="00E53B66">
      <w:pPr>
        <w:pStyle w:val="Normal1"/>
        <w:widowControl w:val="0"/>
        <w:spacing w:before="240" w:line="260" w:lineRule="atLeast"/>
      </w:pPr>
      <w:r>
        <w:rPr>
          <w:rFonts w:ascii="Times" w:eastAsia="Times" w:hAnsi="Times" w:cs="Times"/>
          <w:b/>
          <w:color w:val="000000"/>
          <w:sz w:val="20"/>
        </w:rPr>
        <w:t>1. The business</w:t>
      </w:r>
    </w:p>
    <w:p w14:paraId="0990B05C" w14:textId="18B57A0B" w:rsidR="00303AAE" w:rsidRDefault="00E53B66" w:rsidP="00963A44">
      <w:pPr>
        <w:pStyle w:val="Normal1"/>
        <w:widowControl w:val="0"/>
        <w:spacing w:before="200" w:line="260" w:lineRule="atLeast"/>
        <w:jc w:val="both"/>
      </w:pPr>
      <w:bookmarkStart w:id="7" w:name="Bookmark_para_7"/>
      <w:bookmarkEnd w:id="7"/>
      <w:r>
        <w:rPr>
          <w:rFonts w:ascii="Times" w:eastAsia="Times" w:hAnsi="Times" w:cs="Times"/>
          <w:color w:val="000000"/>
          <w:sz w:val="20"/>
        </w:rPr>
        <w:t xml:space="preserve">Cogent was founded by Ming Hsieh in 1990. From 1990 until 2004, Cogent operated as a private company and was profitable during that entire period.  Ultimately, Cogent went public on September 23, 2004, and thereafter was publicly traded on the NASDAQ Global Select Market under the symbol "COGT." </w:t>
      </w:r>
      <w:r>
        <w:rPr>
          <w:rFonts w:ascii="Times" w:eastAsia="Times" w:hAnsi="Times" w:cs="Times"/>
          <w:vertAlign w:val="superscript"/>
        </w:rPr>
        <w:footnoteReference w:customMarkFollows="1" w:id="1"/>
        <w:t>5</w:t>
      </w:r>
    </w:p>
    <w:p w14:paraId="0ECA8148"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At all relevant times, Hsieh was the President, Chairman, and Chief Executive Officer ("CEO") of Cogent, and Paul Kim was the Chief Financial Officer. Before the merger,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Board of Directors (the "Board") consisted of four members: Hsieh, John </w:t>
      </w:r>
      <w:r>
        <w:rPr>
          <w:rFonts w:ascii="Times" w:eastAsia="Times" w:hAnsi="Times" w:cs="Times"/>
          <w:color w:val="000000"/>
          <w:sz w:val="18"/>
        </w:rPr>
        <w:t> [*4] </w:t>
      </w:r>
      <w:r>
        <w:rPr>
          <w:rFonts w:ascii="Times" w:eastAsia="Times" w:hAnsi="Times" w:cs="Times"/>
          <w:color w:val="000000"/>
          <w:sz w:val="20"/>
        </w:rPr>
        <w:t xml:space="preserve">Bolger, John </w:t>
      </w:r>
      <w:proofErr w:type="spellStart"/>
      <w:r>
        <w:rPr>
          <w:rFonts w:ascii="Times" w:eastAsia="Times" w:hAnsi="Times" w:cs="Times"/>
          <w:color w:val="000000"/>
          <w:sz w:val="20"/>
        </w:rPr>
        <w:t>Stenbit</w:t>
      </w:r>
      <w:proofErr w:type="spellEnd"/>
      <w:r>
        <w:rPr>
          <w:rFonts w:ascii="Times" w:eastAsia="Times" w:hAnsi="Times" w:cs="Times"/>
          <w:color w:val="000000"/>
          <w:sz w:val="20"/>
        </w:rPr>
        <w:t>, and Kenneth Thornton.</w:t>
      </w:r>
    </w:p>
    <w:p w14:paraId="09CE620E" w14:textId="77777777" w:rsidR="00303AAE" w:rsidRDefault="00E53B66">
      <w:pPr>
        <w:pStyle w:val="Normal1"/>
        <w:widowControl w:val="0"/>
        <w:spacing w:before="240" w:line="260" w:lineRule="atLeast"/>
      </w:pPr>
      <w:r>
        <w:rPr>
          <w:rFonts w:ascii="Times" w:eastAsia="Times" w:hAnsi="Times" w:cs="Times"/>
          <w:b/>
          <w:color w:val="000000"/>
          <w:sz w:val="20"/>
        </w:rPr>
        <w:t>2. The transaction</w:t>
      </w:r>
    </w:p>
    <w:p w14:paraId="4FDC433F" w14:textId="09066267" w:rsidR="00303AAE" w:rsidRPr="00963A44" w:rsidRDefault="00E53B66" w:rsidP="00963A44">
      <w:pPr>
        <w:pStyle w:val="Normal1"/>
        <w:widowControl w:val="0"/>
        <w:spacing w:before="200" w:line="260" w:lineRule="atLeast"/>
        <w:jc w:val="both"/>
        <w:rPr>
          <w:rFonts w:ascii="Times" w:eastAsia="Times" w:hAnsi="Times" w:cs="Times"/>
          <w:color w:val="000000"/>
          <w:sz w:val="20"/>
        </w:rPr>
      </w:pPr>
      <w:bookmarkStart w:id="9" w:name="Bookmark_para_8"/>
      <w:bookmarkEnd w:id="9"/>
      <w:r>
        <w:rPr>
          <w:rFonts w:ascii="Times" w:eastAsia="Times" w:hAnsi="Times" w:cs="Times"/>
          <w:color w:val="000000"/>
          <w:sz w:val="20"/>
        </w:rPr>
        <w:t xml:space="preserve">In or around 2008, Cogent retained Credit Suisse to assist in the investigation and evaluation of potential strategic alternatives, including a sale of the Company. As part of that engagement, Credit Suisse contacted over twenty-five potential strategic and financial partners about the prospect of acquiring Cogent. Cogent also retained Goldman Sachs to pursue potential strategic alternatives with NEC, a competitor of Cogent. As a result of efforts by Cogent and its advisers, in 2010, 3M, Danaher Corporation ("Danaher"), Roper Industries ("Roper"), and NEC Corporation ("NEC") expressed interest in acquiring the Company. </w:t>
      </w:r>
      <w:r>
        <w:rPr>
          <w:rFonts w:ascii="Times" w:eastAsia="Times" w:hAnsi="Times" w:cs="Times"/>
          <w:vertAlign w:val="superscript"/>
        </w:rPr>
        <w:footnoteReference w:customMarkFollows="1" w:id="2"/>
        <w:t>7</w:t>
      </w:r>
    </w:p>
    <w:p w14:paraId="0DB6C47D" w14:textId="381C0564" w:rsidR="00303AAE" w:rsidRDefault="00E53B66" w:rsidP="00963A44">
      <w:pPr>
        <w:pStyle w:val="Normal1"/>
        <w:widowControl w:val="0"/>
        <w:spacing w:before="200" w:line="260" w:lineRule="atLeast"/>
        <w:jc w:val="both"/>
      </w:pPr>
      <w:bookmarkStart w:id="11" w:name="Bookmark_para_9"/>
      <w:bookmarkEnd w:id="11"/>
      <w:r>
        <w:rPr>
          <w:rFonts w:ascii="Times" w:eastAsia="Times" w:hAnsi="Times" w:cs="Times"/>
          <w:color w:val="000000"/>
          <w:sz w:val="20"/>
        </w:rPr>
        <w:t xml:space="preserve">Around that time, Cogent had direct meetings with executives of 3M in which Cogent and its advisors informed 3M that other potential suitors </w:t>
      </w:r>
      <w:proofErr w:type="gramStart"/>
      <w:r>
        <w:rPr>
          <w:rFonts w:ascii="Times" w:eastAsia="Times" w:hAnsi="Times" w:cs="Times"/>
          <w:color w:val="000000"/>
          <w:sz w:val="20"/>
        </w:rPr>
        <w:t xml:space="preserve">were </w:t>
      </w:r>
      <w:r>
        <w:rPr>
          <w:rFonts w:ascii="Times" w:eastAsia="Times" w:hAnsi="Times" w:cs="Times"/>
          <w:color w:val="000000"/>
          <w:sz w:val="18"/>
        </w:rPr>
        <w:t> [</w:t>
      </w:r>
      <w:proofErr w:type="gramEnd"/>
      <w:r>
        <w:rPr>
          <w:rFonts w:ascii="Times" w:eastAsia="Times" w:hAnsi="Times" w:cs="Times"/>
          <w:color w:val="000000"/>
          <w:sz w:val="18"/>
        </w:rPr>
        <w:t>*5] </w:t>
      </w:r>
      <w:r>
        <w:rPr>
          <w:rFonts w:ascii="Times" w:eastAsia="Times" w:hAnsi="Times" w:cs="Times"/>
          <w:color w:val="000000"/>
          <w:sz w:val="20"/>
        </w:rPr>
        <w:t>in discussions with Cogent.</w:t>
      </w:r>
      <w:r w:rsidR="00963A44">
        <w:rPr>
          <w:rFonts w:ascii="Times" w:eastAsia="Times" w:hAnsi="Times" w:cs="Times"/>
          <w:color w:val="000000"/>
          <w:sz w:val="20"/>
        </w:rPr>
        <w:t xml:space="preserve"> </w:t>
      </w:r>
      <w:r>
        <w:rPr>
          <w:rFonts w:ascii="Times" w:eastAsia="Times" w:hAnsi="Times" w:cs="Times"/>
          <w:color w:val="000000"/>
          <w:sz w:val="20"/>
        </w:rPr>
        <w:t xml:space="preserve"> In May 2010, 3M expressed interest in pursuing a strategic transaction with Cogent at a price range of $9.25 to $10.25 per share. </w:t>
      </w:r>
    </w:p>
    <w:p w14:paraId="4189524B" w14:textId="47A67F98" w:rsidR="00303AAE" w:rsidRDefault="00E53B66" w:rsidP="00963A44">
      <w:pPr>
        <w:pStyle w:val="Normal1"/>
        <w:widowControl w:val="0"/>
        <w:spacing w:before="200" w:line="260" w:lineRule="atLeast"/>
        <w:jc w:val="both"/>
      </w:pPr>
      <w:bookmarkStart w:id="12" w:name="Bookmark_para_10"/>
      <w:bookmarkEnd w:id="12"/>
      <w:r>
        <w:rPr>
          <w:rFonts w:ascii="Times" w:eastAsia="Times" w:hAnsi="Times" w:cs="Times"/>
          <w:color w:val="000000"/>
          <w:sz w:val="20"/>
        </w:rPr>
        <w:t xml:space="preserve">Shortly after 3M's verbal offer, Kim prepared financial </w:t>
      </w:r>
      <w:r>
        <w:rPr>
          <w:rFonts w:ascii="Times" w:eastAsia="Times" w:hAnsi="Times" w:cs="Times"/>
          <w:color w:val="000000"/>
          <w:sz w:val="20"/>
        </w:rPr>
        <w:lastRenderedPageBreak/>
        <w:t>projections for 2010-2015 (the "Five-Year Projections"). Up until that time, Cogent had not prepared projections beyond one year.</w:t>
      </w:r>
      <w:r w:rsidR="00963A44">
        <w:t xml:space="preserve"> </w:t>
      </w:r>
      <w:r>
        <w:rPr>
          <w:rFonts w:ascii="Times" w:eastAsia="Times" w:hAnsi="Times" w:cs="Times"/>
          <w:color w:val="000000"/>
          <w:sz w:val="20"/>
        </w:rPr>
        <w:t xml:space="preserve">Credit Suisse compiled the projections, but relied on information supplied by Kim, Hsieh, and Mary Jane </w:t>
      </w:r>
      <w:proofErr w:type="spellStart"/>
      <w:r>
        <w:rPr>
          <w:rFonts w:ascii="Times" w:eastAsia="Times" w:hAnsi="Times" w:cs="Times"/>
          <w:color w:val="000000"/>
          <w:sz w:val="20"/>
        </w:rPr>
        <w:t>Abalos</w:t>
      </w:r>
      <w:proofErr w:type="spellEnd"/>
      <w:r>
        <w:rPr>
          <w:rFonts w:ascii="Times" w:eastAsia="Times" w:hAnsi="Times" w:cs="Times"/>
          <w:color w:val="000000"/>
          <w:sz w:val="20"/>
        </w:rPr>
        <w:t xml:space="preserve">,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vice president of finance.</w:t>
      </w:r>
      <w:r w:rsidR="00963A44">
        <w:rPr>
          <w:rFonts w:ascii="Times" w:eastAsia="Times" w:hAnsi="Times" w:cs="Times"/>
          <w:color w:val="000000"/>
          <w:sz w:val="20"/>
        </w:rPr>
        <w:t xml:space="preserve">  </w:t>
      </w:r>
      <w:r>
        <w:rPr>
          <w:rFonts w:ascii="Times" w:eastAsia="Times" w:hAnsi="Times" w:cs="Times"/>
          <w:color w:val="000000"/>
          <w:sz w:val="20"/>
        </w:rPr>
        <w:t xml:space="preserve">According to Kim, the Five-Year Projections were "bottom-up" projections that did not rely on industry analysts or reports. </w:t>
      </w:r>
    </w:p>
    <w:p w14:paraId="0959A8E5" w14:textId="4E6FE440" w:rsidR="00303AAE" w:rsidRDefault="00E53B66" w:rsidP="00963A44">
      <w:pPr>
        <w:pStyle w:val="Normal1"/>
        <w:widowControl w:val="0"/>
        <w:spacing w:before="200" w:line="260" w:lineRule="atLeast"/>
        <w:jc w:val="both"/>
      </w:pPr>
      <w:bookmarkStart w:id="13" w:name="Bookmark_para_11"/>
      <w:bookmarkEnd w:id="13"/>
      <w:r>
        <w:rPr>
          <w:rFonts w:ascii="Times" w:eastAsia="Times" w:hAnsi="Times" w:cs="Times"/>
          <w:color w:val="000000"/>
          <w:sz w:val="20"/>
        </w:rPr>
        <w:t>On July 2, 2010, after further discussions and due diligence with potential acquirers, Cogent received two nonbinding indications of interest: one from 3M to acquire Cogent for $10.50 per share and the other from Danaher to acquire Cogent at a range of $10.00 to $10.50.</w:t>
      </w:r>
      <w:r w:rsidR="00963A44">
        <w:rPr>
          <w:rFonts w:ascii="Times" w:eastAsia="Times" w:hAnsi="Times" w:cs="Times"/>
          <w:color w:val="000000"/>
          <w:sz w:val="20"/>
        </w:rPr>
        <w:t xml:space="preserve"> </w:t>
      </w:r>
      <w:r>
        <w:rPr>
          <w:rFonts w:ascii="Times" w:eastAsia="Times" w:hAnsi="Times" w:cs="Times"/>
          <w:color w:val="000000"/>
          <w:sz w:val="20"/>
        </w:rPr>
        <w:t xml:space="preserve">Although Roper and Danaher eventually dropped out of the process, NEC and 3M remained interested in pursuing a strategic transaction with Cogent. </w:t>
      </w:r>
    </w:p>
    <w:p w14:paraId="68DA20AB" w14:textId="35943E46" w:rsidR="00303AAE" w:rsidRDefault="00E53B66" w:rsidP="00963A44">
      <w:pPr>
        <w:pStyle w:val="Normal1"/>
        <w:widowControl w:val="0"/>
        <w:spacing w:before="200" w:line="260" w:lineRule="atLeast"/>
        <w:jc w:val="both"/>
      </w:pPr>
      <w:bookmarkStart w:id="14" w:name="Bookmark_para_12"/>
      <w:bookmarkEnd w:id="14"/>
      <w:r>
        <w:rPr>
          <w:rFonts w:ascii="Times" w:eastAsia="Times" w:hAnsi="Times" w:cs="Times"/>
          <w:color w:val="000000"/>
          <w:sz w:val="20"/>
        </w:rPr>
        <w:t xml:space="preserve">In August 2010, 3M submitted a nonbinding written proposal to acquire Cogent for $10.50 per share.  The Board met on August 15, 2010, and instructed their advisor, Credit Suisse, to inform 3M that its proposal was not acceptable and to negotiate with 3M on price and terms.  Cogent also leveraged the offer from 3M to pressure NEC to speed up its bid.  Ultimately, NEC submitted a nonbinding indication of interest to acquire Cogent within the range of $11.00 to $12.00 per share.  In a letter dated August 19, 2010, 3M advised Cogent that its bid would expire on August 20.  That day, the Board met to determine how to proceed. After considering updates on the ongoing discussions with NEC, the Board approved the negotiation of a definitive merger with 3M, rejected the condition of exclusivity requested in 3M's letter, and instructed Credit Suisse to continue discussions with NEC. </w:t>
      </w:r>
    </w:p>
    <w:p w14:paraId="13242581" w14:textId="4E9C29EF" w:rsidR="00303AAE" w:rsidRDefault="00E53B66">
      <w:pPr>
        <w:pStyle w:val="Normal1"/>
        <w:widowControl w:val="0"/>
        <w:spacing w:before="200" w:line="260" w:lineRule="atLeast"/>
        <w:jc w:val="both"/>
      </w:pPr>
      <w:bookmarkStart w:id="15" w:name="Bookmark_para_13"/>
      <w:bookmarkEnd w:id="15"/>
      <w:r>
        <w:rPr>
          <w:rFonts w:ascii="Times" w:eastAsia="Times" w:hAnsi="Times" w:cs="Times"/>
          <w:color w:val="000000"/>
          <w:sz w:val="20"/>
        </w:rPr>
        <w:t xml:space="preserve">Finally, on August 29, 2010, the Board held another special meeting at which it considered further updates on the discussions with NEC. </w:t>
      </w:r>
    </w:p>
    <w:p w14:paraId="6CBF701F" w14:textId="58018C4A" w:rsidR="00303AAE" w:rsidRDefault="00E53B66">
      <w:pPr>
        <w:pStyle w:val="Normal1"/>
        <w:widowControl w:val="0"/>
        <w:spacing w:before="200" w:line="260" w:lineRule="atLeast"/>
        <w:jc w:val="both"/>
      </w:pPr>
      <w:r>
        <w:rPr>
          <w:rFonts w:ascii="Times" w:eastAsia="Times" w:hAnsi="Times" w:cs="Times"/>
          <w:color w:val="000000"/>
          <w:sz w:val="20"/>
        </w:rPr>
        <w:t xml:space="preserve"> Based on NEC's need to complete its due diligence, the </w:t>
      </w:r>
      <w:proofErr w:type="gramStart"/>
      <w:r>
        <w:rPr>
          <w:rFonts w:ascii="Times" w:eastAsia="Times" w:hAnsi="Times" w:cs="Times"/>
          <w:color w:val="000000"/>
          <w:sz w:val="20"/>
        </w:rPr>
        <w:t xml:space="preserve">existence </w:t>
      </w:r>
      <w:r>
        <w:rPr>
          <w:rFonts w:ascii="Times" w:eastAsia="Times" w:hAnsi="Times" w:cs="Times"/>
          <w:color w:val="000000"/>
          <w:sz w:val="18"/>
        </w:rPr>
        <w:t> [</w:t>
      </w:r>
      <w:proofErr w:type="gramEnd"/>
      <w:r>
        <w:rPr>
          <w:rFonts w:ascii="Times" w:eastAsia="Times" w:hAnsi="Times" w:cs="Times"/>
          <w:color w:val="000000"/>
          <w:sz w:val="18"/>
        </w:rPr>
        <w:t>*7] </w:t>
      </w:r>
      <w:r>
        <w:rPr>
          <w:rFonts w:ascii="Times" w:eastAsia="Times" w:hAnsi="Times" w:cs="Times"/>
          <w:color w:val="000000"/>
          <w:sz w:val="20"/>
        </w:rPr>
        <w:t xml:space="preserve">of antitrust and regulatory issues with NEC, and Credit Suisse's opinion that the proposed merger with 3M was fair, the Board unanimously determined that it was in the best interest of Cogent to enter into the proposed merger agreement with 3M, and resolved to recommend that the shareholders approve the merger. </w:t>
      </w:r>
    </w:p>
    <w:p w14:paraId="073D4030" w14:textId="77777777" w:rsidR="00303AAE" w:rsidRDefault="00E53B66">
      <w:pPr>
        <w:pStyle w:val="Normal1"/>
        <w:widowControl w:val="0"/>
        <w:spacing w:before="200" w:line="260" w:lineRule="atLeast"/>
        <w:jc w:val="both"/>
      </w:pPr>
      <w:bookmarkStart w:id="16" w:name="Bookmark_para_14"/>
      <w:bookmarkEnd w:id="16"/>
      <w:r>
        <w:rPr>
          <w:rFonts w:ascii="Times" w:eastAsia="Times" w:hAnsi="Times" w:cs="Times"/>
          <w:color w:val="000000"/>
          <w:sz w:val="20"/>
        </w:rPr>
        <w:t xml:space="preserve">The next day, Cogent and 3M publicly announced the merger. On September 10, 2010, 3M commenced a tender offer to acquire all of the issued and outstanding common stock of Cogent for $10.50 per share. The initial tender offer closed on October 7, 2010, after which 3M controlled a majority of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outstanding shares. Because Cogent did not have enough shares to complete a short-form merger, on October 8, 2010, 3M commenced a subsequent tender offering at the same price, $10.50 per share. On October 26, 2010, the subsequent offering closed, and 3M controlled 73% of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w:t>
      </w:r>
      <w:r>
        <w:rPr>
          <w:rFonts w:ascii="Times" w:eastAsia="Times" w:hAnsi="Times" w:cs="Times"/>
          <w:color w:val="000000"/>
          <w:sz w:val="20"/>
        </w:rPr>
        <w:lastRenderedPageBreak/>
        <w:t xml:space="preserve">outstanding common shares or approximately 64.9 million common shares. On December 1, 2010 (the "Merger Date"), the stockholders of Cogent approved the merger pursuant to </w:t>
      </w:r>
      <w:hyperlink r:id="rId17" w:history="1">
        <w:r>
          <w:rPr>
            <w:rFonts w:ascii="Times" w:eastAsia="Times" w:hAnsi="Times" w:cs="Times"/>
            <w:color w:val="0077CC"/>
            <w:sz w:val="20"/>
            <w:u w:val="single"/>
          </w:rPr>
          <w:t xml:space="preserve">8 </w:t>
        </w:r>
      </w:hyperlink>
      <w:hyperlink r:id="rId18" w:history="1">
        <w:r>
          <w:rPr>
            <w:rFonts w:ascii="Times" w:eastAsia="Times" w:hAnsi="Times" w:cs="Times"/>
            <w:i/>
            <w:color w:val="0077CC"/>
            <w:sz w:val="20"/>
            <w:u w:val="single"/>
          </w:rPr>
          <w:t>Del. C.</w:t>
        </w:r>
      </w:hyperlink>
      <w:hyperlink r:id="rId19" w:history="1">
        <w:r>
          <w:rPr>
            <w:rFonts w:ascii="Times" w:eastAsia="Times" w:hAnsi="Times" w:cs="Times"/>
            <w:color w:val="0077CC"/>
            <w:sz w:val="20"/>
            <w:u w:val="single"/>
          </w:rPr>
          <w:t xml:space="preserve"> § 251</w:t>
        </w:r>
      </w:hyperlink>
      <w:r>
        <w:rPr>
          <w:rFonts w:ascii="Times" w:eastAsia="Times" w:hAnsi="Times" w:cs="Times"/>
          <w:color w:val="000000"/>
          <w:sz w:val="20"/>
        </w:rPr>
        <w:t xml:space="preserve"> </w:t>
      </w:r>
      <w:r>
        <w:rPr>
          <w:rFonts w:ascii="Times" w:eastAsia="Times" w:hAnsi="Times" w:cs="Times"/>
          <w:color w:val="000000"/>
          <w:sz w:val="18"/>
        </w:rPr>
        <w:t> [*8] </w:t>
      </w:r>
      <w:r>
        <w:rPr>
          <w:rFonts w:ascii="Times" w:eastAsia="Times" w:hAnsi="Times" w:cs="Times"/>
          <w:color w:val="000000"/>
          <w:sz w:val="20"/>
        </w:rPr>
        <w:t>(the "Merger"). As a result, Cogent became a wholly owned subsidiary of 3M and thereafter was renamed 3M Cogent, Inc.</w:t>
      </w:r>
    </w:p>
    <w:p w14:paraId="2FD74F3B" w14:textId="77777777" w:rsidR="00303AAE" w:rsidRDefault="00E53B66">
      <w:pPr>
        <w:pStyle w:val="Normal1"/>
        <w:widowControl w:val="0"/>
        <w:spacing w:before="240" w:line="260" w:lineRule="atLeast"/>
      </w:pPr>
      <w:r>
        <w:rPr>
          <w:rFonts w:ascii="Times" w:eastAsia="Times" w:hAnsi="Times" w:cs="Times"/>
          <w:b/>
          <w:color w:val="000000"/>
          <w:sz w:val="20"/>
        </w:rPr>
        <w:t>D. Parties' Contentions</w:t>
      </w:r>
    </w:p>
    <w:p w14:paraId="72075941" w14:textId="408A8291" w:rsidR="00303AAE" w:rsidRDefault="00E53B66">
      <w:pPr>
        <w:pStyle w:val="Normal1"/>
        <w:widowControl w:val="0"/>
        <w:spacing w:before="200" w:line="260" w:lineRule="atLeast"/>
        <w:jc w:val="both"/>
      </w:pPr>
      <w:bookmarkStart w:id="17" w:name="Bookmark_para_16"/>
      <w:bookmarkEnd w:id="17"/>
      <w:r>
        <w:rPr>
          <w:rFonts w:ascii="Times" w:eastAsia="Times" w:hAnsi="Times" w:cs="Times"/>
          <w:color w:val="000000"/>
          <w:sz w:val="20"/>
        </w:rPr>
        <w:t xml:space="preserve">Petitioners contend that the fair value of Cogent was $16.26 per share. In support of this valuation, Petitioners rely on their expert, Dr. Bernard C. Bailey, a Ph.D. in management and Chairman and CEO of </w:t>
      </w:r>
      <w:proofErr w:type="spellStart"/>
      <w:r>
        <w:rPr>
          <w:rFonts w:ascii="Times" w:eastAsia="Times" w:hAnsi="Times" w:cs="Times"/>
          <w:color w:val="000000"/>
          <w:sz w:val="20"/>
        </w:rPr>
        <w:t>Authentix</w:t>
      </w:r>
      <w:proofErr w:type="spellEnd"/>
      <w:r>
        <w:rPr>
          <w:rFonts w:ascii="Times" w:eastAsia="Times" w:hAnsi="Times" w:cs="Times"/>
          <w:color w:val="000000"/>
          <w:sz w:val="20"/>
        </w:rPr>
        <w:t xml:space="preserve"> Inc., a Carlyle Group portfolio company and global leader in authentication technology. </w:t>
      </w:r>
    </w:p>
    <w:p w14:paraId="1EF8161D"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In valuing the Company, Bailey performed a DCF analysis, a comparable </w:t>
      </w:r>
      <w:proofErr w:type="gramStart"/>
      <w:r>
        <w:rPr>
          <w:rFonts w:ascii="Times" w:eastAsia="Times" w:hAnsi="Times" w:cs="Times"/>
          <w:color w:val="000000"/>
          <w:sz w:val="20"/>
        </w:rPr>
        <w:t>companies</w:t>
      </w:r>
      <w:proofErr w:type="gramEnd"/>
      <w:r>
        <w:rPr>
          <w:rFonts w:ascii="Times" w:eastAsia="Times" w:hAnsi="Times" w:cs="Times"/>
          <w:color w:val="000000"/>
          <w:sz w:val="20"/>
        </w:rPr>
        <w:t xml:space="preserve"> analysis, and a comparable transactions analysis. Bailey relied, however, only on his DCF analysis in reaching his valuation opinion because (1) Bailey believed there were no truly comparable companies or transactions to compare to Cogent and (2), to the extent there were any </w:t>
      </w:r>
      <w:r>
        <w:rPr>
          <w:rFonts w:ascii="Times" w:eastAsia="Times" w:hAnsi="Times" w:cs="Times"/>
          <w:color w:val="000000"/>
          <w:sz w:val="18"/>
        </w:rPr>
        <w:t> [*9] </w:t>
      </w:r>
      <w:r>
        <w:rPr>
          <w:rFonts w:ascii="Times" w:eastAsia="Times" w:hAnsi="Times" w:cs="Times"/>
          <w:color w:val="000000"/>
          <w:sz w:val="20"/>
        </w:rPr>
        <w:t>potentially comparable companies and transactions, he lacked sufficient data from which to draw comparisons.</w:t>
      </w:r>
    </w:p>
    <w:p w14:paraId="2E7527FC" w14:textId="1325C0CD" w:rsidR="00303AAE" w:rsidRDefault="00E53B66">
      <w:pPr>
        <w:pStyle w:val="Normal1"/>
        <w:widowControl w:val="0"/>
        <w:spacing w:before="200" w:line="260" w:lineRule="atLeast"/>
        <w:jc w:val="both"/>
      </w:pPr>
      <w:bookmarkStart w:id="18" w:name="Bookmark_para_17"/>
      <w:bookmarkEnd w:id="18"/>
      <w:r>
        <w:rPr>
          <w:rFonts w:ascii="Times" w:eastAsia="Times" w:hAnsi="Times" w:cs="Times"/>
          <w:color w:val="000000"/>
          <w:sz w:val="20"/>
        </w:rPr>
        <w:t xml:space="preserve">3M Cogent claims that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fair value was $10.12 per share. In support of its valuation contentions, Respondent relies on the expert testimony and reports of Henry F. Owsley and Stephen M. Schiller (collectively, the "Gordian Experts"), a partner and managing director of Gordian Group, LLC ("Gordian Group"), respectively. </w:t>
      </w:r>
    </w:p>
    <w:p w14:paraId="5F8BB308"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The Gordian Experts valued the Company using a DCF analysis, a comparable </w:t>
      </w:r>
      <w:proofErr w:type="gramStart"/>
      <w:r>
        <w:rPr>
          <w:rFonts w:ascii="Times" w:eastAsia="Times" w:hAnsi="Times" w:cs="Times"/>
          <w:color w:val="000000"/>
          <w:sz w:val="20"/>
        </w:rPr>
        <w:t>companies</w:t>
      </w:r>
      <w:proofErr w:type="gramEnd"/>
      <w:r>
        <w:rPr>
          <w:rFonts w:ascii="Times" w:eastAsia="Times" w:hAnsi="Times" w:cs="Times"/>
          <w:color w:val="000000"/>
          <w:sz w:val="20"/>
        </w:rPr>
        <w:t xml:space="preserve"> analysis, and a comparable transactions analysis, giving each analysis equal, </w:t>
      </w:r>
      <w:r>
        <w:rPr>
          <w:rFonts w:ascii="Times" w:eastAsia="Times" w:hAnsi="Times" w:cs="Times"/>
          <w:i/>
          <w:color w:val="000000"/>
          <w:sz w:val="20"/>
        </w:rPr>
        <w:t>i.e.</w:t>
      </w:r>
      <w:r>
        <w:rPr>
          <w:rFonts w:ascii="Times" w:eastAsia="Times" w:hAnsi="Times" w:cs="Times"/>
          <w:color w:val="000000"/>
          <w:sz w:val="20"/>
        </w:rPr>
        <w:t>, one-third, weight.</w:t>
      </w:r>
    </w:p>
    <w:p w14:paraId="0D60147F" w14:textId="77777777" w:rsidR="00303AAE" w:rsidRDefault="00E53B66">
      <w:pPr>
        <w:pStyle w:val="Normal1"/>
        <w:widowControl w:val="0"/>
        <w:spacing w:before="240" w:line="260" w:lineRule="atLeast"/>
      </w:pPr>
      <w:r>
        <w:rPr>
          <w:rFonts w:ascii="Times" w:eastAsia="Times" w:hAnsi="Times" w:cs="Times"/>
          <w:b/>
          <w:color w:val="000000"/>
          <w:sz w:val="20"/>
        </w:rPr>
        <w:t xml:space="preserve">II. </w:t>
      </w:r>
      <w:r>
        <w:rPr>
          <w:rFonts w:ascii="Times" w:eastAsia="Times" w:hAnsi="Times" w:cs="Times"/>
          <w:color w:val="000000"/>
          <w:sz w:val="18"/>
        </w:rPr>
        <w:t> [*10] </w:t>
      </w:r>
      <w:r>
        <w:rPr>
          <w:rFonts w:ascii="Times" w:eastAsia="Times" w:hAnsi="Times" w:cs="Times"/>
          <w:b/>
          <w:color w:val="000000"/>
          <w:sz w:val="20"/>
        </w:rPr>
        <w:t>ANALYSIS</w:t>
      </w:r>
    </w:p>
    <w:p w14:paraId="39FF16C4" w14:textId="77777777" w:rsidR="00303AAE" w:rsidRDefault="00E53B66">
      <w:pPr>
        <w:pStyle w:val="Normal1"/>
        <w:widowControl w:val="0"/>
        <w:spacing w:before="240" w:line="260" w:lineRule="atLeast"/>
      </w:pPr>
      <w:r>
        <w:rPr>
          <w:rFonts w:ascii="Times" w:eastAsia="Times" w:hAnsi="Times" w:cs="Times"/>
          <w:b/>
          <w:color w:val="000000"/>
          <w:sz w:val="20"/>
        </w:rPr>
        <w:t>A. Standard</w:t>
      </w:r>
    </w:p>
    <w:p w14:paraId="355EB053" w14:textId="010F9767" w:rsidR="00303AAE" w:rsidRDefault="00E53B66" w:rsidP="0041361D">
      <w:pPr>
        <w:pStyle w:val="Normal1"/>
        <w:widowControl w:val="0"/>
        <w:spacing w:before="240" w:line="260" w:lineRule="atLeast"/>
        <w:jc w:val="both"/>
      </w:pPr>
      <w:bookmarkStart w:id="19" w:name="Bookmark_para_18"/>
      <w:bookmarkStart w:id="20" w:name="Bookmark_LNHNREFclscc1"/>
      <w:bookmarkEnd w:id="19"/>
      <w:bookmarkEnd w:id="20"/>
      <w:r>
        <w:rPr>
          <w:rFonts w:ascii="Times" w:eastAsia="Times" w:hAnsi="Times" w:cs="Times"/>
          <w:color w:val="000000"/>
          <w:sz w:val="20"/>
        </w:rPr>
        <w:t xml:space="preserve">Under </w:t>
      </w:r>
      <w:hyperlink r:id="rId20" w:history="1">
        <w:r>
          <w:rPr>
            <w:rFonts w:ascii="Times" w:eastAsia="Times" w:hAnsi="Times" w:cs="Times"/>
            <w:color w:val="0077CC"/>
            <w:sz w:val="20"/>
            <w:u w:val="single"/>
          </w:rPr>
          <w:t>Section 262</w:t>
        </w:r>
      </w:hyperlink>
      <w:r>
        <w:rPr>
          <w:rFonts w:ascii="Times" w:eastAsia="Times" w:hAnsi="Times" w:cs="Times"/>
          <w:color w:val="000000"/>
          <w:sz w:val="20"/>
        </w:rPr>
        <w:t xml:space="preserve"> of the Delaware General Corporation Law, stockholders who meet certain requirements are entitled to an appraisal by the Court of Chancery of the fair value of their shares of stock.  During such an appraisal proceeding, the Court of Chancery</w:t>
      </w:r>
      <w:bookmarkStart w:id="21" w:name="Bookmark_para_19"/>
      <w:bookmarkStart w:id="22" w:name="Bookmark_I590TCN628T4300020000400"/>
      <w:bookmarkEnd w:id="21"/>
      <w:bookmarkEnd w:id="22"/>
      <w:r w:rsidR="0041361D">
        <w:rPr>
          <w:rFonts w:ascii="Times" w:eastAsia="Times" w:hAnsi="Times" w:cs="Times"/>
          <w:color w:val="000000"/>
          <w:sz w:val="20"/>
        </w:rPr>
        <w:t xml:space="preserve"> </w:t>
      </w:r>
      <w:r>
        <w:rPr>
          <w:rFonts w:ascii="Times" w:eastAsia="Times" w:hAnsi="Times" w:cs="Times"/>
          <w:color w:val="000000"/>
          <w:sz w:val="20"/>
        </w:rPr>
        <w:t xml:space="preserve">shall determine the fair value of the shares exclusive of any element of value arising from the accomplishment or expectation of the merger or consolidation, together with interest, if any, to be paid upon the amount determined to be the fair value. In determining such fair value, the Court shall take into account all relevant factors. </w:t>
      </w:r>
    </w:p>
    <w:p w14:paraId="7E067E4D" w14:textId="403F7668" w:rsidR="00303AAE" w:rsidRDefault="00E53B66">
      <w:pPr>
        <w:pStyle w:val="Normal1"/>
        <w:widowControl w:val="0"/>
        <w:spacing w:line="260" w:lineRule="atLeast"/>
        <w:jc w:val="both"/>
      </w:pPr>
      <w:bookmarkStart w:id="23" w:name="Bookmark_I590TCN628T4300040000400"/>
      <w:bookmarkStart w:id="24" w:name="Bookmark_I590TCN62HM6T40010000400"/>
      <w:bookmarkStart w:id="25" w:name="Bookmark_I590TCN62HM6T40030000400"/>
      <w:bookmarkStart w:id="26" w:name="Bookmark_I590TCN62HM6T40050000400"/>
      <w:bookmarkStart w:id="27" w:name="Bookmark_I590TCN62D6N5X0040000400"/>
      <w:bookmarkEnd w:id="23"/>
      <w:bookmarkEnd w:id="24"/>
      <w:bookmarkEnd w:id="25"/>
      <w:bookmarkEnd w:id="26"/>
      <w:bookmarkEnd w:id="27"/>
      <w:r>
        <w:rPr>
          <w:rFonts w:ascii="Times" w:eastAsia="Times" w:hAnsi="Times" w:cs="Times"/>
          <w:color w:val="000000"/>
          <w:sz w:val="20"/>
        </w:rPr>
        <w:t xml:space="preserve">The Court's task is to perform an independent evaluation of "fair value." "It is within the Court of Chancery's discretion to select one of the parties' valuation models as its general </w:t>
      </w:r>
      <w:r>
        <w:rPr>
          <w:rFonts w:ascii="Times" w:eastAsia="Times" w:hAnsi="Times" w:cs="Times"/>
          <w:color w:val="000000"/>
          <w:sz w:val="20"/>
        </w:rPr>
        <w:lastRenderedPageBreak/>
        <w:t xml:space="preserve">framework, or fashion its own, to determine fair value in the appraisal proceeding." Fair value in the context of an appraisal proceeding is the "value to a stockholder of the firm as a going concern, as opposed to the firm's value in the context of an acquisition or other transaction." </w:t>
      </w:r>
    </w:p>
    <w:p w14:paraId="57CC5DC4" w14:textId="5A748FEC" w:rsidR="00303AAE" w:rsidRDefault="00E53B66" w:rsidP="0041361D">
      <w:pPr>
        <w:pStyle w:val="Normal1"/>
        <w:widowControl w:val="0"/>
        <w:spacing w:before="200" w:line="260" w:lineRule="atLeast"/>
        <w:jc w:val="both"/>
      </w:pPr>
      <w:r>
        <w:rPr>
          <w:rFonts w:ascii="Times" w:eastAsia="Times" w:hAnsi="Times" w:cs="Times"/>
          <w:color w:val="000000"/>
          <w:sz w:val="20"/>
        </w:rPr>
        <w:t xml:space="preserve"> "Only the speculative elements of value that may arise from the 'accomplishment or expectation' </w:t>
      </w:r>
      <w:proofErr w:type="gramStart"/>
      <w:r>
        <w:rPr>
          <w:rFonts w:ascii="Times" w:eastAsia="Times" w:hAnsi="Times" w:cs="Times"/>
          <w:color w:val="000000"/>
          <w:sz w:val="20"/>
        </w:rPr>
        <w:t xml:space="preserve">of </w:t>
      </w:r>
      <w:r>
        <w:rPr>
          <w:rFonts w:ascii="Times" w:eastAsia="Times" w:hAnsi="Times" w:cs="Times"/>
          <w:color w:val="000000"/>
          <w:sz w:val="18"/>
        </w:rPr>
        <w:t> [</w:t>
      </w:r>
      <w:proofErr w:type="gramEnd"/>
      <w:r>
        <w:rPr>
          <w:rFonts w:ascii="Times" w:eastAsia="Times" w:hAnsi="Times" w:cs="Times"/>
          <w:color w:val="000000"/>
          <w:sz w:val="18"/>
        </w:rPr>
        <w:t>*11] </w:t>
      </w:r>
      <w:r>
        <w:rPr>
          <w:rFonts w:ascii="Times" w:eastAsia="Times" w:hAnsi="Times" w:cs="Times"/>
          <w:color w:val="000000"/>
          <w:sz w:val="20"/>
        </w:rPr>
        <w:t xml:space="preserve">the merger," that is, any synergistic value, should be excluded from a fair value calculation on the date of the merger.  "One of the most important factors to consider is the very 'nature of the enterprise' subject to the appraisal proceeding." </w:t>
      </w:r>
      <w:r w:rsidR="0041361D">
        <w:rPr>
          <w:rFonts w:ascii="Times" w:eastAsia="Times" w:hAnsi="Times" w:cs="Times"/>
          <w:vertAlign w:val="superscript"/>
        </w:rPr>
        <w:t xml:space="preserve"> </w:t>
      </w:r>
    </w:p>
    <w:p w14:paraId="78F6C67F" w14:textId="236C2A50" w:rsidR="00303AAE" w:rsidRDefault="00E53B66" w:rsidP="0041361D">
      <w:pPr>
        <w:pStyle w:val="Normal1"/>
        <w:widowControl w:val="0"/>
        <w:spacing w:before="200" w:line="260" w:lineRule="atLeast"/>
        <w:jc w:val="both"/>
      </w:pPr>
      <w:bookmarkStart w:id="28" w:name="Bookmark_para_20"/>
      <w:bookmarkStart w:id="29" w:name="Bookmark_I590TCN62D6N5Y0010000400"/>
      <w:bookmarkStart w:id="30" w:name="Bookmark_I590TCN62D6N5Y0030000400"/>
      <w:bookmarkStart w:id="31" w:name="Bookmark_I590TCN62D6N600020000400"/>
      <w:bookmarkStart w:id="32" w:name="Bookmark_LNHNREFclscc2"/>
      <w:bookmarkEnd w:id="28"/>
      <w:bookmarkEnd w:id="29"/>
      <w:bookmarkEnd w:id="30"/>
      <w:bookmarkEnd w:id="31"/>
      <w:bookmarkEnd w:id="32"/>
      <w:r>
        <w:rPr>
          <w:rFonts w:ascii="Times" w:eastAsia="Times" w:hAnsi="Times" w:cs="Times"/>
          <w:color w:val="000000"/>
          <w:sz w:val="20"/>
        </w:rPr>
        <w:t xml:space="preserve">In an appraisal </w:t>
      </w:r>
      <w:proofErr w:type="gramStart"/>
      <w:r>
        <w:rPr>
          <w:rFonts w:ascii="Times" w:eastAsia="Times" w:hAnsi="Times" w:cs="Times"/>
          <w:color w:val="000000"/>
          <w:sz w:val="20"/>
        </w:rPr>
        <w:t xml:space="preserve">proceeding, </w:t>
      </w:r>
      <w:r>
        <w:rPr>
          <w:rFonts w:ascii="Times" w:eastAsia="Times" w:hAnsi="Times" w:cs="Times"/>
          <w:color w:val="000000"/>
          <w:sz w:val="18"/>
        </w:rPr>
        <w:t> [</w:t>
      </w:r>
      <w:proofErr w:type="gramEnd"/>
      <w:r>
        <w:rPr>
          <w:rFonts w:ascii="Times" w:eastAsia="Times" w:hAnsi="Times" w:cs="Times"/>
          <w:color w:val="000000"/>
          <w:sz w:val="18"/>
        </w:rPr>
        <w:t>*12] </w:t>
      </w:r>
      <w:r>
        <w:rPr>
          <w:rFonts w:ascii="Times" w:eastAsia="Times" w:hAnsi="Times" w:cs="Times"/>
          <w:color w:val="000000"/>
          <w:sz w:val="20"/>
        </w:rPr>
        <w:t xml:space="preserve">both sides have the burden of proving their respective valuations by a preponderance of the evidence. </w:t>
      </w:r>
      <w:bookmarkStart w:id="33" w:name="Bookmark_I590TCN62D6N600040000400"/>
      <w:bookmarkEnd w:id="33"/>
      <w:r w:rsidR="0041361D">
        <w:rPr>
          <w:rFonts w:ascii="Times" w:eastAsia="Times" w:hAnsi="Times" w:cs="Times"/>
          <w:vertAlign w:val="superscript"/>
        </w:rPr>
        <w:t xml:space="preserve"> </w:t>
      </w:r>
      <w:r>
        <w:rPr>
          <w:rFonts w:ascii="Times" w:eastAsia="Times" w:hAnsi="Times" w:cs="Times"/>
          <w:color w:val="000000"/>
          <w:sz w:val="20"/>
        </w:rPr>
        <w:t xml:space="preserve"> If neither party satisfies its burden, however, the Court must use its own independent judgment to determine the fair value of the shares.  The Court may consider "proof of value by any techniques or methods which are generally considered acceptable in the financial community and otherwise admissible in court."  Among the techniques that Delaware courts have relied on to determine the fair value of shares are the DCF approach, the comparable transactions approach, and comparable companies analyses. </w:t>
      </w:r>
      <w:bookmarkStart w:id="34" w:name="Bookmark_I590TCN62D6N600040000400_2"/>
      <w:bookmarkEnd w:id="34"/>
      <w:r>
        <w:rPr>
          <w:rFonts w:ascii="Times" w:eastAsia="Times" w:hAnsi="Times" w:cs="Times"/>
          <w:vertAlign w:val="superscript"/>
        </w:rPr>
        <w:footnoteReference w:customMarkFollows="1" w:id="3"/>
        <w:t>36</w:t>
      </w:r>
    </w:p>
    <w:p w14:paraId="2E29F212" w14:textId="77777777" w:rsidR="00303AAE" w:rsidRDefault="00E53B66">
      <w:pPr>
        <w:pStyle w:val="Normal1"/>
        <w:widowControl w:val="0"/>
        <w:spacing w:before="240" w:line="260" w:lineRule="atLeast"/>
      </w:pPr>
      <w:r>
        <w:rPr>
          <w:rFonts w:ascii="Times" w:eastAsia="Times" w:hAnsi="Times" w:cs="Times"/>
          <w:b/>
          <w:color w:val="000000"/>
          <w:sz w:val="20"/>
        </w:rPr>
        <w:t>B. Merger Price as Indication of "Fair Value"</w:t>
      </w:r>
    </w:p>
    <w:p w14:paraId="7FE65E27" w14:textId="3A941EAB" w:rsidR="00303AAE" w:rsidRDefault="00E53B66">
      <w:pPr>
        <w:pStyle w:val="Normal1"/>
        <w:widowControl w:val="0"/>
        <w:spacing w:before="200" w:line="260" w:lineRule="atLeast"/>
        <w:jc w:val="both"/>
      </w:pPr>
      <w:bookmarkStart w:id="40" w:name="Bookmark_para_21"/>
      <w:bookmarkStart w:id="41" w:name="Bookmark_I77T5KHCN290009YTT400001"/>
      <w:bookmarkStart w:id="42" w:name="Bookmark_I77T5KHD8X90009YTT400002"/>
      <w:bookmarkStart w:id="43" w:name="Bookmark_I77T5KHDPCR0009YTT400003"/>
      <w:bookmarkStart w:id="44" w:name="Bookmark_I590TCN628T4310020000400"/>
      <w:bookmarkStart w:id="45" w:name="Bookmark_I77T5KHF2KF0009YTT400004"/>
      <w:bookmarkStart w:id="46" w:name="Bookmark_I590TCN62HM6T60030000400"/>
      <w:bookmarkEnd w:id="40"/>
      <w:bookmarkEnd w:id="41"/>
      <w:bookmarkEnd w:id="42"/>
      <w:bookmarkEnd w:id="43"/>
      <w:bookmarkEnd w:id="44"/>
      <w:bookmarkEnd w:id="45"/>
      <w:bookmarkEnd w:id="46"/>
      <w:r>
        <w:rPr>
          <w:rFonts w:ascii="Times" w:eastAsia="Times" w:hAnsi="Times" w:cs="Times"/>
          <w:color w:val="000000"/>
          <w:sz w:val="20"/>
        </w:rPr>
        <w:t xml:space="preserve">Respondent seeks to have this Court rely on the merger price as evidence of the fair value of Petitioners' shares. But, the cases that Respondent cites in support of that proposition pre-date the Supreme Court's statements on this issue in </w:t>
      </w:r>
      <w:r>
        <w:rPr>
          <w:rFonts w:ascii="Times" w:eastAsia="Times" w:hAnsi="Times" w:cs="Times"/>
          <w:i/>
          <w:color w:val="000000"/>
          <w:sz w:val="20"/>
        </w:rPr>
        <w:t>Golden Telecom, Inc. v. Global GT LP.</w:t>
      </w:r>
      <w:r>
        <w:rPr>
          <w:rFonts w:ascii="Times" w:eastAsia="Times" w:hAnsi="Times" w:cs="Times"/>
          <w:color w:val="000000"/>
          <w:sz w:val="20"/>
        </w:rPr>
        <w:t xml:space="preserve"> </w:t>
      </w:r>
    </w:p>
    <w:p w14:paraId="43B6FB86" w14:textId="77777777" w:rsidR="00303AAE" w:rsidRDefault="00E53B66">
      <w:pPr>
        <w:pStyle w:val="Normal1"/>
        <w:widowControl w:val="0"/>
        <w:spacing w:before="200" w:line="260" w:lineRule="atLeast"/>
        <w:jc w:val="both"/>
      </w:pPr>
      <w:bookmarkStart w:id="47" w:name="Bookmark_para_22"/>
      <w:bookmarkEnd w:id="47"/>
      <w:r>
        <w:rPr>
          <w:rFonts w:ascii="Times" w:eastAsia="Times" w:hAnsi="Times" w:cs="Times"/>
          <w:color w:val="000000"/>
          <w:sz w:val="20"/>
        </w:rPr>
        <w:t xml:space="preserve">In </w:t>
      </w:r>
      <w:r>
        <w:rPr>
          <w:rFonts w:ascii="Times" w:eastAsia="Times" w:hAnsi="Times" w:cs="Times"/>
          <w:i/>
          <w:color w:val="000000"/>
          <w:sz w:val="20"/>
        </w:rPr>
        <w:t>Golden Telecom</w:t>
      </w:r>
      <w:r>
        <w:rPr>
          <w:rFonts w:ascii="Times" w:eastAsia="Times" w:hAnsi="Times" w:cs="Times"/>
          <w:color w:val="000000"/>
          <w:sz w:val="20"/>
        </w:rPr>
        <w:t>, the Supreme Court stated:</w:t>
      </w:r>
    </w:p>
    <w:bookmarkStart w:id="48" w:name="Bookmark_para_23"/>
    <w:bookmarkStart w:id="49" w:name="Bookmark_LNHNREFclscc3"/>
    <w:bookmarkEnd w:id="48"/>
    <w:bookmarkEnd w:id="49"/>
    <w:p w14:paraId="5DDC192C" w14:textId="533C375B" w:rsidR="00303AAE" w:rsidRDefault="00E53B66">
      <w:pPr>
        <w:pStyle w:val="Normal1"/>
        <w:widowControl w:val="0"/>
        <w:spacing w:before="200" w:line="260" w:lineRule="atLeast"/>
        <w:ind w:left="400"/>
        <w:jc w:val="both"/>
      </w:pPr>
      <w:r>
        <w:fldChar w:fldCharType="begin"/>
      </w:r>
      <w:r>
        <w:instrText xml:space="preserve"> HYPERLINK  https://advance.lexis.com/api/document?collection=statutes-legislation&amp;id=urn:contentItem:5P5G-8BC0-004D-44H8-00000-00&amp;context=</w:instrText>
      </w:r>
      <w:r>
        <w:fldChar w:fldCharType="separate"/>
      </w:r>
      <w:r>
        <w:rPr>
          <w:rFonts w:ascii="Times" w:eastAsia="Times" w:hAnsi="Times" w:cs="Times"/>
          <w:color w:val="0077CC"/>
          <w:sz w:val="20"/>
          <w:u w:val="single"/>
        </w:rPr>
        <w:t>Section 262(h)</w:t>
      </w:r>
      <w:r>
        <w:fldChar w:fldCharType="end"/>
      </w:r>
      <w:r>
        <w:rPr>
          <w:rFonts w:ascii="Times" w:eastAsia="Times" w:hAnsi="Times" w:cs="Times"/>
          <w:color w:val="000000"/>
          <w:sz w:val="20"/>
        </w:rPr>
        <w:t xml:space="preserve"> unambiguously calls upon the Court of Chancery to perform an independent evaluation of "fair value" at the time of a transaction. It vests the Chancellor and Vice Chancellors with significant discretion to consider "all relevant factors" and determine the going concern value of the underlying company. Requiring the Court of Chancery to defer—conclusively or presumptively—to the merger price, even in the face of a pristine, unchallenged transactional process, would contravene the unambiguous language of the statute and the reasoned holdings of our precedent. It would inappropriately shift the responsibility to determine "fair value" from the court to the private parties. Also, while it </w:t>
      </w:r>
      <w:r>
        <w:rPr>
          <w:rFonts w:ascii="Times" w:eastAsia="Times" w:hAnsi="Times" w:cs="Times"/>
          <w:color w:val="000000"/>
          <w:sz w:val="20"/>
        </w:rPr>
        <w:lastRenderedPageBreak/>
        <w:t xml:space="preserve">is difficult for the Chancellor and Vice Chancellors to assess wildly divergent expert </w:t>
      </w:r>
      <w:r>
        <w:rPr>
          <w:rFonts w:ascii="Times" w:eastAsia="Times" w:hAnsi="Times" w:cs="Times"/>
          <w:color w:val="000000"/>
          <w:sz w:val="18"/>
        </w:rPr>
        <w:t> [*15] </w:t>
      </w:r>
      <w:r>
        <w:rPr>
          <w:rFonts w:ascii="Times" w:eastAsia="Times" w:hAnsi="Times" w:cs="Times"/>
          <w:color w:val="000000"/>
          <w:sz w:val="20"/>
        </w:rPr>
        <w:t xml:space="preserve">opinions regarding value, inflexible rules governing appraisal provide little additional benefit in determining "fair value" because of the already high costs of appraisal actions. </w:t>
      </w:r>
      <w:bookmarkStart w:id="50" w:name="Bookmark_I590TCN62HM6T60050000400"/>
      <w:bookmarkEnd w:id="50"/>
      <w:r>
        <w:rPr>
          <w:rFonts w:ascii="Times" w:eastAsia="Times" w:hAnsi="Times" w:cs="Times"/>
          <w:color w:val="000000"/>
          <w:sz w:val="20"/>
        </w:rPr>
        <w:t xml:space="preserve">Appraisal is, by design, a flexible process. Therefore, we reject [respondent's] contention that the Vice Chancellor erred by insufficiently deferring to the merger price, and we reject its call to establish a rule requiring the Court of Chancery to defer to the merger price in any appraisal proceeding. </w:t>
      </w:r>
    </w:p>
    <w:p w14:paraId="5FBE907D" w14:textId="77777777" w:rsidR="00303AAE" w:rsidRDefault="00E53B66">
      <w:pPr>
        <w:pStyle w:val="Normal1"/>
        <w:widowControl w:val="0"/>
        <w:spacing w:line="260" w:lineRule="atLeast"/>
        <w:jc w:val="both"/>
      </w:pPr>
      <w:r>
        <w:rPr>
          <w:rFonts w:ascii="Times" w:eastAsia="Times" w:hAnsi="Times" w:cs="Times"/>
          <w:color w:val="000000"/>
          <w:sz w:val="20"/>
        </w:rPr>
        <w:t xml:space="preserve">More recently, Chancellor </w:t>
      </w:r>
      <w:proofErr w:type="spellStart"/>
      <w:r>
        <w:rPr>
          <w:rFonts w:ascii="Times" w:eastAsia="Times" w:hAnsi="Times" w:cs="Times"/>
          <w:color w:val="000000"/>
          <w:sz w:val="20"/>
        </w:rPr>
        <w:t>Strine</w:t>
      </w:r>
      <w:proofErr w:type="spellEnd"/>
      <w:r>
        <w:rPr>
          <w:rFonts w:ascii="Times" w:eastAsia="Times" w:hAnsi="Times" w:cs="Times"/>
          <w:color w:val="000000"/>
          <w:sz w:val="20"/>
        </w:rPr>
        <w:t xml:space="preserve"> refused to give any weight to merger price, stating:</w:t>
      </w:r>
    </w:p>
    <w:p w14:paraId="2CB9EDA5" w14:textId="77777777" w:rsidR="00303AAE" w:rsidRDefault="00E53B66">
      <w:pPr>
        <w:pStyle w:val="Normal1"/>
        <w:widowControl w:val="0"/>
        <w:spacing w:before="200" w:line="260" w:lineRule="atLeast"/>
        <w:ind w:left="400"/>
        <w:jc w:val="both"/>
      </w:pPr>
      <w:bookmarkStart w:id="51" w:name="Bookmark_para_24"/>
      <w:bookmarkEnd w:id="51"/>
      <w:r>
        <w:rPr>
          <w:rFonts w:ascii="Times" w:eastAsia="Times" w:hAnsi="Times" w:cs="Times"/>
          <w:color w:val="000000"/>
          <w:sz w:val="20"/>
        </w:rPr>
        <w:t xml:space="preserve">[Respondent] makes some rhetorical hay out of its search for other buyers. But this is an appraisal action, not a fiduciary duty case, and although I have little reason to doubt [respondent's] assertion that no buyer was willing to pay Dimensional $25 million for the preferred stock and an attractive price for [respondent's] common stock in 2009, an appraisal must be focused on [respondent's] going concern value. Given the relevant legal standard, the trial record did not focus extensively on the quality of marketing [respondent] by Dimensional or the utility of the "go shop" provision contained in the merger agreement </w:t>
      </w:r>
      <w:r>
        <w:rPr>
          <w:rFonts w:ascii="Times" w:eastAsia="Times" w:hAnsi="Times" w:cs="Times"/>
          <w:color w:val="000000"/>
          <w:sz w:val="18"/>
        </w:rPr>
        <w:t> [*16] </w:t>
      </w:r>
      <w:r>
        <w:rPr>
          <w:rFonts w:ascii="Times" w:eastAsia="Times" w:hAnsi="Times" w:cs="Times"/>
          <w:color w:val="000000"/>
          <w:sz w:val="20"/>
        </w:rPr>
        <w:t>. . . .</w:t>
      </w:r>
    </w:p>
    <w:p w14:paraId="73DE8B6F" w14:textId="48247B1F" w:rsidR="00303AAE" w:rsidRDefault="00E53B66">
      <w:pPr>
        <w:pStyle w:val="Normal1"/>
        <w:widowControl w:val="0"/>
        <w:spacing w:before="200" w:line="260" w:lineRule="atLeast"/>
        <w:ind w:left="400"/>
        <w:jc w:val="both"/>
      </w:pPr>
      <w:bookmarkStart w:id="52" w:name="Bookmark_para_25"/>
      <w:bookmarkStart w:id="53" w:name="Bookmark_I590TCN62D6N620020000400"/>
      <w:bookmarkEnd w:id="52"/>
      <w:bookmarkEnd w:id="53"/>
      <w:r>
        <w:rPr>
          <w:rFonts w:ascii="Times" w:eastAsia="Times" w:hAnsi="Times" w:cs="Times"/>
          <w:color w:val="000000"/>
          <w:sz w:val="20"/>
        </w:rPr>
        <w:t xml:space="preserve">Instead, the testimony at trial focused mostly on the question that is relevant under </w:t>
      </w:r>
      <w:r>
        <w:rPr>
          <w:rFonts w:ascii="Times" w:eastAsia="Times" w:hAnsi="Times" w:cs="Times"/>
          <w:i/>
          <w:color w:val="000000"/>
          <w:sz w:val="20"/>
        </w:rPr>
        <w:t>Cavalier Oil</w:t>
      </w:r>
      <w:r>
        <w:rPr>
          <w:rFonts w:ascii="Times" w:eastAsia="Times" w:hAnsi="Times" w:cs="Times"/>
          <w:color w:val="000000"/>
          <w:sz w:val="20"/>
        </w:rPr>
        <w:t xml:space="preserve"> and its progeny, which is the going concern value of [respondent] as of the date of the [m]</w:t>
      </w:r>
      <w:proofErr w:type="spellStart"/>
      <w:r>
        <w:rPr>
          <w:rFonts w:ascii="Times" w:eastAsia="Times" w:hAnsi="Times" w:cs="Times"/>
          <w:color w:val="000000"/>
          <w:sz w:val="20"/>
        </w:rPr>
        <w:t>erger</w:t>
      </w:r>
      <w:proofErr w:type="spellEnd"/>
      <w:r>
        <w:rPr>
          <w:rFonts w:ascii="Times" w:eastAsia="Times" w:hAnsi="Times" w:cs="Times"/>
          <w:color w:val="000000"/>
          <w:sz w:val="20"/>
        </w:rPr>
        <w:t>. In this opinion, I concentrate on answering the key questions raised by the parties relevant to determining that value, which are: (</w:t>
      </w:r>
      <w:proofErr w:type="spellStart"/>
      <w:r>
        <w:rPr>
          <w:rFonts w:ascii="Times" w:eastAsia="Times" w:hAnsi="Times" w:cs="Times"/>
          <w:color w:val="000000"/>
          <w:sz w:val="20"/>
        </w:rPr>
        <w:t>i</w:t>
      </w:r>
      <w:proofErr w:type="spellEnd"/>
      <w:r>
        <w:rPr>
          <w:rFonts w:ascii="Times" w:eastAsia="Times" w:hAnsi="Times" w:cs="Times"/>
          <w:color w:val="000000"/>
          <w:sz w:val="20"/>
        </w:rPr>
        <w:t>) whether the preferred stock should be valued at the $25 million liquidation preference value or on an as-converted basis in determining the value to subtract from [respondent's] equity value to derive a value for its common stock; and (ii) the enterprise value of [respondent] as a going concern on the Merger date.</w:t>
      </w:r>
    </w:p>
    <w:p w14:paraId="560BCCA2" w14:textId="6A975417" w:rsidR="00303AAE" w:rsidRDefault="00E53B66">
      <w:pPr>
        <w:pStyle w:val="Normal1"/>
        <w:widowControl w:val="0"/>
        <w:spacing w:line="260" w:lineRule="atLeast"/>
        <w:jc w:val="both"/>
      </w:pPr>
      <w:bookmarkStart w:id="54" w:name="Bookmark_I590TCN62D6N630010000400"/>
      <w:bookmarkEnd w:id="54"/>
      <w:r>
        <w:rPr>
          <w:rFonts w:ascii="Times" w:eastAsia="Times" w:hAnsi="Times" w:cs="Times"/>
          <w:color w:val="000000"/>
          <w:sz w:val="20"/>
        </w:rPr>
        <w:t xml:space="preserve">Here, both sides have presented expert testimony as to the going concern value of Cogent on the Merger Date. Indeed, Respondent did not seek to use the merger price of $10.50 per share, but instead relies on the Gordian Experts' analyses to arrive at a lower price of $10.12. Respondent and its experts also did not attempt to adjust the merger price to remove the "speculative elements of value that may arise from the 'accomplishment or expectation' of the merger." </w:t>
      </w:r>
      <w:r>
        <w:rPr>
          <w:rFonts w:ascii="Times" w:eastAsia="Times" w:hAnsi="Times" w:cs="Times"/>
          <w:vertAlign w:val="superscript"/>
        </w:rPr>
        <w:t xml:space="preserve"> </w:t>
      </w:r>
    </w:p>
    <w:p w14:paraId="1DB65126" w14:textId="77777777" w:rsidR="00303AAE" w:rsidRDefault="00E53B66">
      <w:pPr>
        <w:pStyle w:val="Normal1"/>
        <w:widowControl w:val="0"/>
        <w:spacing w:before="200" w:line="260" w:lineRule="atLeast"/>
        <w:jc w:val="both"/>
      </w:pPr>
      <w:r>
        <w:rPr>
          <w:rFonts w:ascii="Times" w:eastAsia="Times" w:hAnsi="Times" w:cs="Times"/>
          <w:color w:val="000000"/>
          <w:sz w:val="20"/>
        </w:rPr>
        <w:lastRenderedPageBreak/>
        <w:t xml:space="preserve"> In other words, Respondent asks this Court to rely on a merger price </w:t>
      </w:r>
      <w:r>
        <w:rPr>
          <w:rFonts w:ascii="Times" w:eastAsia="Times" w:hAnsi="Times" w:cs="Times"/>
          <w:color w:val="000000"/>
          <w:sz w:val="18"/>
        </w:rPr>
        <w:t> [*17] </w:t>
      </w:r>
      <w:r>
        <w:rPr>
          <w:rFonts w:ascii="Times" w:eastAsia="Times" w:hAnsi="Times" w:cs="Times"/>
          <w:color w:val="000000"/>
          <w:sz w:val="20"/>
        </w:rPr>
        <w:t xml:space="preserve">that it has not relied on itself and that is not adjusted to produce the going concern value of Cogent. Those deficiencies render the merger price largely irrelevant to this case. Accordingly, I focus primarily on the evidence presented by the experts as to the going concern value of Cogent on the Merger Date, </w:t>
      </w:r>
      <w:r>
        <w:rPr>
          <w:rFonts w:ascii="Times" w:eastAsia="Times" w:hAnsi="Times" w:cs="Times"/>
          <w:i/>
          <w:color w:val="000000"/>
          <w:sz w:val="20"/>
        </w:rPr>
        <w:t>i.e.</w:t>
      </w:r>
      <w:r>
        <w:rPr>
          <w:rFonts w:ascii="Times" w:eastAsia="Times" w:hAnsi="Times" w:cs="Times"/>
          <w:color w:val="000000"/>
          <w:sz w:val="20"/>
        </w:rPr>
        <w:t>, the experts' technical analyses presented in their expert reports and in their testimony at trial.</w:t>
      </w:r>
    </w:p>
    <w:p w14:paraId="7653E0AA" w14:textId="77777777" w:rsidR="00303AAE" w:rsidRDefault="00E53B66">
      <w:pPr>
        <w:pStyle w:val="Normal1"/>
        <w:widowControl w:val="0"/>
        <w:spacing w:before="240" w:line="260" w:lineRule="atLeast"/>
      </w:pPr>
      <w:r>
        <w:rPr>
          <w:rFonts w:ascii="Times" w:eastAsia="Times" w:hAnsi="Times" w:cs="Times"/>
          <w:b/>
          <w:color w:val="000000"/>
          <w:sz w:val="20"/>
        </w:rPr>
        <w:t>C. Which Valuation Method?</w:t>
      </w:r>
    </w:p>
    <w:p w14:paraId="0ADECD00" w14:textId="38AB5DD3" w:rsidR="00303AAE" w:rsidRDefault="00E53B66">
      <w:pPr>
        <w:pStyle w:val="Normal1"/>
        <w:widowControl w:val="0"/>
        <w:spacing w:before="200" w:line="260" w:lineRule="atLeast"/>
        <w:jc w:val="both"/>
      </w:pPr>
      <w:bookmarkStart w:id="55" w:name="Bookmark_para_26"/>
      <w:bookmarkEnd w:id="55"/>
      <w:r>
        <w:rPr>
          <w:rFonts w:ascii="Times" w:eastAsia="Times" w:hAnsi="Times" w:cs="Times"/>
          <w:color w:val="000000"/>
          <w:sz w:val="20"/>
        </w:rPr>
        <w:t xml:space="preserve">Petitioners relied solely on a DCF analysis to support their argument that the fair value of a Cogent common share on the date of the Merger was $16.26. By contrast, 3M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experts gave nearly equal weight to their DCF analysis, comparable companies analysis, and comparable transactions analysis in coming to a per common share value for Cogent of $10.12.</w:t>
      </w:r>
    </w:p>
    <w:p w14:paraId="71F75601" w14:textId="213B2C10" w:rsidR="00E53B66" w:rsidRDefault="00E53B66">
      <w:pPr>
        <w:pStyle w:val="Normal1"/>
        <w:widowControl w:val="0"/>
        <w:spacing w:before="200" w:line="260" w:lineRule="atLeast"/>
        <w:jc w:val="both"/>
        <w:rPr>
          <w:rFonts w:ascii="Times" w:eastAsia="Times" w:hAnsi="Times" w:cs="Times"/>
          <w:vertAlign w:val="superscript"/>
        </w:rPr>
      </w:pPr>
      <w:bookmarkStart w:id="56" w:name="Bookmark_para_27"/>
      <w:bookmarkStart w:id="57" w:name="Bookmark_I590TCN62D6N630030000400"/>
      <w:bookmarkStart w:id="58" w:name="Bookmark_I590TCN62D6N630050000400"/>
      <w:bookmarkStart w:id="59" w:name="Bookmark_LNHNREFclscc4"/>
      <w:bookmarkEnd w:id="56"/>
      <w:bookmarkEnd w:id="57"/>
      <w:bookmarkEnd w:id="58"/>
      <w:bookmarkEnd w:id="59"/>
      <w:r>
        <w:rPr>
          <w:rFonts w:ascii="Times" w:eastAsia="Times" w:hAnsi="Times" w:cs="Times"/>
          <w:color w:val="000000"/>
          <w:sz w:val="20"/>
        </w:rPr>
        <w:t xml:space="preserve">Generally speaking, "it is preferable to take a more robust approach involving </w:t>
      </w:r>
      <w:proofErr w:type="gramStart"/>
      <w:r>
        <w:rPr>
          <w:rFonts w:ascii="Times" w:eastAsia="Times" w:hAnsi="Times" w:cs="Times"/>
          <w:color w:val="000000"/>
          <w:sz w:val="20"/>
        </w:rPr>
        <w:t xml:space="preserve">multiple </w:t>
      </w:r>
      <w:r>
        <w:rPr>
          <w:rFonts w:ascii="Times" w:eastAsia="Times" w:hAnsi="Times" w:cs="Times"/>
          <w:color w:val="000000"/>
          <w:sz w:val="18"/>
        </w:rPr>
        <w:t> [</w:t>
      </w:r>
      <w:proofErr w:type="gramEnd"/>
      <w:r>
        <w:rPr>
          <w:rFonts w:ascii="Times" w:eastAsia="Times" w:hAnsi="Times" w:cs="Times"/>
          <w:color w:val="000000"/>
          <w:sz w:val="18"/>
        </w:rPr>
        <w:t>*18] </w:t>
      </w:r>
      <w:r>
        <w:rPr>
          <w:rFonts w:ascii="Times" w:eastAsia="Times" w:hAnsi="Times" w:cs="Times"/>
          <w:color w:val="000000"/>
          <w:sz w:val="20"/>
        </w:rPr>
        <w:t xml:space="preserve">techniques—such as a DCF analysis, a comparable transactions analysis (looking at precedent transaction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 and a comparable companies analysis (looking at trading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/multiples)—to triangulate a value range, as all three methodologies individually have their own limitations." </w:t>
      </w:r>
    </w:p>
    <w:p w14:paraId="7616356E" w14:textId="77777777" w:rsidR="00E53B66" w:rsidRPr="00E53B66" w:rsidRDefault="00E53B66">
      <w:pPr>
        <w:pStyle w:val="Normal1"/>
        <w:widowControl w:val="0"/>
        <w:spacing w:before="200" w:line="260" w:lineRule="atLeast"/>
        <w:jc w:val="both"/>
        <w:rPr>
          <w:rFonts w:ascii="Times" w:eastAsia="Times" w:hAnsi="Times" w:cs="Times"/>
          <w:vertAlign w:val="superscript"/>
        </w:rPr>
      </w:pPr>
    </w:p>
    <w:p w14:paraId="5116DDAB" w14:textId="5FDBD7B1" w:rsidR="00303AAE" w:rsidRDefault="00E53B66">
      <w:pPr>
        <w:pStyle w:val="Normal1"/>
        <w:widowControl w:val="0"/>
        <w:spacing w:line="260" w:lineRule="atLeast"/>
        <w:jc w:val="both"/>
      </w:pPr>
      <w:r>
        <w:rPr>
          <w:rFonts w:ascii="Times" w:eastAsia="Times" w:hAnsi="Times" w:cs="Times"/>
          <w:color w:val="000000"/>
          <w:sz w:val="20"/>
        </w:rPr>
        <w:t xml:space="preserve"> A comparable or market-based approach endeavors to draw inferences about a company's future expected cash flows from the market's expectations about comparable companies.  "[</w:t>
      </w:r>
      <w:proofErr w:type="spellStart"/>
      <w:r>
        <w:rPr>
          <w:rFonts w:ascii="Times" w:eastAsia="Times" w:hAnsi="Times" w:cs="Times"/>
          <w:color w:val="000000"/>
          <w:sz w:val="20"/>
        </w:rPr>
        <w:t>T]he</w:t>
      </w:r>
      <w:proofErr w:type="spellEnd"/>
      <w:r>
        <w:rPr>
          <w:rFonts w:ascii="Times" w:eastAsia="Times" w:hAnsi="Times" w:cs="Times"/>
          <w:color w:val="000000"/>
          <w:sz w:val="20"/>
        </w:rPr>
        <w:t xml:space="preserve"> utility of a market-based method depends on actually having companies that are sufficiently comparable that their trading multiples provide a relevant insight into the subject company's own growth prospects." When there are a number of corporations competing in a similar industry, these methods are most reliable. On the other hand, when the "</w:t>
      </w:r>
      <w:proofErr w:type="spellStart"/>
      <w:r>
        <w:rPr>
          <w:rFonts w:ascii="Times" w:eastAsia="Times" w:hAnsi="Times" w:cs="Times"/>
          <w:color w:val="000000"/>
          <w:sz w:val="20"/>
        </w:rPr>
        <w:t>comparables</w:t>
      </w:r>
      <w:proofErr w:type="spellEnd"/>
      <w:r>
        <w:rPr>
          <w:rFonts w:ascii="Times" w:eastAsia="Times" w:hAnsi="Times" w:cs="Times"/>
          <w:color w:val="000000"/>
          <w:sz w:val="20"/>
        </w:rPr>
        <w:t>" involve companies that offer different products or services, are at a different stage in their growth cycle, or have vastly different multiples, a comparable companies or comparable transactions analysis is inappropriate.  Therefore, I must examine the experts' respective selections of comparable companies and transactions to evaluate their reliability.</w:t>
      </w:r>
    </w:p>
    <w:p w14:paraId="7542DC6F" w14:textId="77777777" w:rsidR="00303AAE" w:rsidRDefault="00E53B66">
      <w:pPr>
        <w:pStyle w:val="Normal1"/>
        <w:widowControl w:val="0"/>
        <w:spacing w:before="240" w:line="260" w:lineRule="atLeast"/>
      </w:pPr>
      <w:r>
        <w:rPr>
          <w:rFonts w:ascii="Times" w:eastAsia="Times" w:hAnsi="Times" w:cs="Times"/>
          <w:b/>
          <w:color w:val="000000"/>
          <w:sz w:val="20"/>
        </w:rPr>
        <w:t>1. Comparable companies analysis</w:t>
      </w:r>
    </w:p>
    <w:p w14:paraId="210F7D12" w14:textId="0FEE79CB" w:rsidR="00303AAE" w:rsidRDefault="00E53B66">
      <w:pPr>
        <w:pStyle w:val="Normal1"/>
        <w:widowControl w:val="0"/>
        <w:spacing w:before="200" w:line="260" w:lineRule="atLeast"/>
        <w:jc w:val="both"/>
      </w:pPr>
      <w:bookmarkStart w:id="60" w:name="Bookmark_para_28"/>
      <w:bookmarkStart w:id="61" w:name="Bookmark_I77T5KHFCHF0009YTT400005"/>
      <w:bookmarkStart w:id="62" w:name="Bookmark_I77T5KHFRR50009YTT400006"/>
      <w:bookmarkStart w:id="63" w:name="Bookmark_I590TCN628T4320020000400"/>
      <w:bookmarkStart w:id="64" w:name="Bookmark_LNHNREFclscc5"/>
      <w:bookmarkEnd w:id="60"/>
      <w:bookmarkEnd w:id="61"/>
      <w:bookmarkEnd w:id="62"/>
      <w:bookmarkEnd w:id="63"/>
      <w:bookmarkEnd w:id="64"/>
      <w:r>
        <w:rPr>
          <w:rFonts w:ascii="Times" w:eastAsia="Times" w:hAnsi="Times" w:cs="Times"/>
          <w:color w:val="000000"/>
          <w:sz w:val="20"/>
        </w:rPr>
        <w:t xml:space="preserve">The comparable companies method of valuing a company's equity involves several steps including: (1) finding </w:t>
      </w:r>
      <w:r>
        <w:rPr>
          <w:rFonts w:ascii="Times" w:eastAsia="Times" w:hAnsi="Times" w:cs="Times"/>
          <w:color w:val="000000"/>
          <w:sz w:val="20"/>
        </w:rPr>
        <w:lastRenderedPageBreak/>
        <w:t xml:space="preserve">comparable, publicly traded companies that have reviewable financial information; (2) calculating the ratio between the trading price of the stocks of each of those companies and some recognized measure reflecting their income such as revenue, EBIT, or EBITDA; (3) correcting these derived ratios to account for differences, such as in capital structure, between the public companies and the target company being valued; and, finally, (4) applying the average multiple of the comparable companies to the relevant income measurement of the target company, here Cogent. </w:t>
      </w:r>
    </w:p>
    <w:p w14:paraId="6A3DE0FF" w14:textId="4AC32814" w:rsidR="00303AAE" w:rsidRDefault="00E53B66">
      <w:pPr>
        <w:pStyle w:val="Normal1"/>
        <w:widowControl w:val="0"/>
        <w:spacing w:before="200" w:line="260" w:lineRule="atLeast"/>
        <w:jc w:val="both"/>
      </w:pPr>
      <w:bookmarkStart w:id="65" w:name="Bookmark_para_29"/>
      <w:bookmarkEnd w:id="65"/>
      <w:r>
        <w:rPr>
          <w:rFonts w:ascii="Times" w:eastAsia="Times" w:hAnsi="Times" w:cs="Times"/>
          <w:color w:val="000000"/>
          <w:sz w:val="20"/>
        </w:rPr>
        <w:t xml:space="preserve">The Gordian Experts conducted a comparable </w:t>
      </w:r>
      <w:proofErr w:type="gramStart"/>
      <w:r>
        <w:rPr>
          <w:rFonts w:ascii="Times" w:eastAsia="Times" w:hAnsi="Times" w:cs="Times"/>
          <w:color w:val="000000"/>
          <w:sz w:val="20"/>
        </w:rPr>
        <w:t>companies</w:t>
      </w:r>
      <w:proofErr w:type="gramEnd"/>
      <w:r>
        <w:rPr>
          <w:rFonts w:ascii="Times" w:eastAsia="Times" w:hAnsi="Times" w:cs="Times"/>
          <w:color w:val="000000"/>
          <w:sz w:val="20"/>
        </w:rPr>
        <w:t xml:space="preserve"> analysis that began with the selection of ten companies. </w:t>
      </w:r>
    </w:p>
    <w:p w14:paraId="62ED7F16"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The Gordian Experts then determined multiples by dividing the enterprise value for </w:t>
      </w:r>
      <w:proofErr w:type="gramStart"/>
      <w:r>
        <w:rPr>
          <w:rFonts w:ascii="Times" w:eastAsia="Times" w:hAnsi="Times" w:cs="Times"/>
          <w:color w:val="000000"/>
          <w:sz w:val="20"/>
        </w:rPr>
        <w:t xml:space="preserve">each </w:t>
      </w:r>
      <w:r>
        <w:rPr>
          <w:rFonts w:ascii="Times" w:eastAsia="Times" w:hAnsi="Times" w:cs="Times"/>
          <w:color w:val="000000"/>
          <w:sz w:val="18"/>
        </w:rPr>
        <w:t> [</w:t>
      </w:r>
      <w:proofErr w:type="gramEnd"/>
      <w:r>
        <w:rPr>
          <w:rFonts w:ascii="Times" w:eastAsia="Times" w:hAnsi="Times" w:cs="Times"/>
          <w:color w:val="000000"/>
          <w:sz w:val="18"/>
        </w:rPr>
        <w:t>*20] </w:t>
      </w:r>
      <w:r>
        <w:rPr>
          <w:rFonts w:ascii="Times" w:eastAsia="Times" w:hAnsi="Times" w:cs="Times"/>
          <w:color w:val="000000"/>
          <w:sz w:val="20"/>
        </w:rPr>
        <w:t>company by: (</w:t>
      </w:r>
      <w:proofErr w:type="spellStart"/>
      <w:r>
        <w:rPr>
          <w:rFonts w:ascii="Times" w:eastAsia="Times" w:hAnsi="Times" w:cs="Times"/>
          <w:color w:val="000000"/>
          <w:sz w:val="20"/>
        </w:rPr>
        <w:t>i</w:t>
      </w:r>
      <w:proofErr w:type="spellEnd"/>
      <w:r>
        <w:rPr>
          <w:rFonts w:ascii="Times" w:eastAsia="Times" w:hAnsi="Times" w:cs="Times"/>
          <w:color w:val="000000"/>
          <w:sz w:val="20"/>
        </w:rPr>
        <w:t xml:space="preserve">) last twelve months ("LTM") revenue and EBITDA; and (ii) estimated forward revenue and EBITDA, as determined by public filings and other publicly available information. Next, the Gordian Experts applied a range of multiples to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LTM and estimated forward revenue and EBITDA to determine an estimated enterprise value for Cogent. Ultimately, the Gordian Experts' analysis yielded an estimated enterprise value of Cogent of $296.3 million.</w:t>
      </w:r>
    </w:p>
    <w:p w14:paraId="1AF49758" w14:textId="69581FA7" w:rsidR="00303AAE" w:rsidRDefault="00E53B66" w:rsidP="00E53B66">
      <w:pPr>
        <w:pStyle w:val="Normal1"/>
        <w:widowControl w:val="0"/>
        <w:spacing w:before="200" w:line="260" w:lineRule="atLeast"/>
        <w:jc w:val="both"/>
      </w:pPr>
      <w:bookmarkStart w:id="66" w:name="Bookmark_para_30"/>
      <w:bookmarkEnd w:id="66"/>
      <w:r>
        <w:rPr>
          <w:rFonts w:ascii="Times" w:eastAsia="Times" w:hAnsi="Times" w:cs="Times"/>
          <w:color w:val="000000"/>
          <w:sz w:val="20"/>
        </w:rPr>
        <w:t xml:space="preserve">Here, Petitioners attack Respondent's first expert, Owsley, and his comparable </w:t>
      </w:r>
      <w:proofErr w:type="gramStart"/>
      <w:r>
        <w:rPr>
          <w:rFonts w:ascii="Times" w:eastAsia="Times" w:hAnsi="Times" w:cs="Times"/>
          <w:color w:val="000000"/>
          <w:sz w:val="20"/>
        </w:rPr>
        <w:t>companies</w:t>
      </w:r>
      <w:proofErr w:type="gramEnd"/>
      <w:r>
        <w:rPr>
          <w:rFonts w:ascii="Times" w:eastAsia="Times" w:hAnsi="Times" w:cs="Times"/>
          <w:color w:val="000000"/>
          <w:sz w:val="20"/>
        </w:rPr>
        <w:t xml:space="preserve"> analysis, claiming the analysis is "unreliable, unsupported and flawed."  Specifically, Petitioners note that the Gordian Experts' comparable </w:t>
      </w:r>
      <w:proofErr w:type="gramStart"/>
      <w:r>
        <w:rPr>
          <w:rFonts w:ascii="Times" w:eastAsia="Times" w:hAnsi="Times" w:cs="Times"/>
          <w:color w:val="000000"/>
          <w:sz w:val="20"/>
        </w:rPr>
        <w:t>companies</w:t>
      </w:r>
      <w:proofErr w:type="gramEnd"/>
      <w:r>
        <w:rPr>
          <w:rFonts w:ascii="Times" w:eastAsia="Times" w:hAnsi="Times" w:cs="Times"/>
          <w:color w:val="000000"/>
          <w:sz w:val="20"/>
        </w:rPr>
        <w:t xml:space="preserve"> analysis suffers from: (1) a paucity of data; (2) a selection of companies with either no profits, a different risk profile, no government-focused customer base, or no business in the biometrics industry; and (3) a generalized lack of consistent methodology.</w:t>
      </w:r>
    </w:p>
    <w:p w14:paraId="0068CBFC" w14:textId="77777777" w:rsidR="00E53B66" w:rsidRDefault="00E53B66">
      <w:pPr>
        <w:pStyle w:val="Normal1"/>
        <w:widowControl w:val="0"/>
        <w:spacing w:before="200" w:line="260" w:lineRule="atLeast"/>
        <w:jc w:val="both"/>
        <w:rPr>
          <w:rFonts w:ascii="Times" w:eastAsia="Times" w:hAnsi="Times" w:cs="Times"/>
          <w:color w:val="000000"/>
          <w:sz w:val="20"/>
        </w:rPr>
      </w:pPr>
      <w:bookmarkStart w:id="67" w:name="Bookmark_para_31"/>
      <w:bookmarkStart w:id="68" w:name="Bookmark_I590TCN628T4330010000400"/>
      <w:bookmarkStart w:id="69" w:name="Bookmark_LNHNREFclscc6"/>
      <w:bookmarkEnd w:id="67"/>
      <w:bookmarkEnd w:id="68"/>
      <w:bookmarkEnd w:id="69"/>
      <w:r>
        <w:rPr>
          <w:rFonts w:ascii="Times" w:eastAsia="Times" w:hAnsi="Times" w:cs="Times"/>
          <w:color w:val="000000"/>
          <w:sz w:val="20"/>
        </w:rPr>
        <w:t xml:space="preserve">"The burden of proof on the question [of] whether the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 are truly comparable lies with the party making that assertion," here the Respondent. </w:t>
      </w:r>
    </w:p>
    <w:p w14:paraId="35324541" w14:textId="4F663AD1" w:rsidR="00303AAE" w:rsidRDefault="00E53B66">
      <w:pPr>
        <w:pStyle w:val="Normal1"/>
        <w:widowControl w:val="0"/>
        <w:spacing w:before="200" w:line="260" w:lineRule="atLeast"/>
        <w:jc w:val="both"/>
      </w:pPr>
      <w:r>
        <w:rPr>
          <w:rFonts w:ascii="Times" w:eastAsia="Times" w:hAnsi="Times" w:cs="Times"/>
          <w:color w:val="000000"/>
          <w:sz w:val="20"/>
        </w:rPr>
        <w:t xml:space="preserve"> I find that Respondent and its </w:t>
      </w:r>
      <w:proofErr w:type="gramStart"/>
      <w:r>
        <w:rPr>
          <w:rFonts w:ascii="Times" w:eastAsia="Times" w:hAnsi="Times" w:cs="Times"/>
          <w:color w:val="000000"/>
          <w:sz w:val="20"/>
        </w:rPr>
        <w:t xml:space="preserve">Gordian </w:t>
      </w:r>
      <w:r>
        <w:rPr>
          <w:rFonts w:ascii="Times" w:eastAsia="Times" w:hAnsi="Times" w:cs="Times"/>
          <w:color w:val="000000"/>
          <w:sz w:val="18"/>
        </w:rPr>
        <w:t> [</w:t>
      </w:r>
      <w:proofErr w:type="gramEnd"/>
      <w:r>
        <w:rPr>
          <w:rFonts w:ascii="Times" w:eastAsia="Times" w:hAnsi="Times" w:cs="Times"/>
          <w:color w:val="000000"/>
          <w:sz w:val="18"/>
        </w:rPr>
        <w:t>*21] </w:t>
      </w:r>
      <w:r>
        <w:rPr>
          <w:rFonts w:ascii="Times" w:eastAsia="Times" w:hAnsi="Times" w:cs="Times"/>
          <w:color w:val="000000"/>
          <w:sz w:val="20"/>
        </w:rPr>
        <w:t>Experts have not satisfied that burden.</w:t>
      </w:r>
    </w:p>
    <w:p w14:paraId="3110C56C" w14:textId="5F4806B4" w:rsidR="00303AAE" w:rsidRDefault="00E53B66" w:rsidP="00E53B66">
      <w:pPr>
        <w:pStyle w:val="Normal1"/>
        <w:widowControl w:val="0"/>
        <w:spacing w:before="200" w:line="260" w:lineRule="atLeast"/>
        <w:jc w:val="both"/>
      </w:pPr>
      <w:bookmarkStart w:id="70" w:name="Bookmark_para_32"/>
      <w:bookmarkEnd w:id="70"/>
      <w:r>
        <w:rPr>
          <w:rFonts w:ascii="Times" w:eastAsia="Times" w:hAnsi="Times" w:cs="Times"/>
          <w:color w:val="000000"/>
          <w:sz w:val="20"/>
        </w:rPr>
        <w:t xml:space="preserve">As an initial matter, six of the ten comparable companies the Gordian Experts identified were significantly smaller than Cogent. </w:t>
      </w:r>
      <w:bookmarkStart w:id="71" w:name="Bookmark_I77T5KHGN7F0009YTT400007"/>
      <w:bookmarkStart w:id="72" w:name="Bookmark_I77T5KHH1F50009YTT400008"/>
      <w:bookmarkStart w:id="73" w:name="Bookmark_I77T5KHHBC50009YTT400009"/>
      <w:bookmarkStart w:id="74" w:name="Bookmark_I590TCN628T4330030000400"/>
      <w:bookmarkEnd w:id="71"/>
      <w:bookmarkEnd w:id="72"/>
      <w:bookmarkEnd w:id="73"/>
      <w:bookmarkEnd w:id="74"/>
      <w:r>
        <w:rPr>
          <w:rFonts w:ascii="Times" w:eastAsia="Times" w:hAnsi="Times" w:cs="Times"/>
          <w:color w:val="000000"/>
          <w:sz w:val="20"/>
        </w:rPr>
        <w:t xml:space="preserve">Those companies each had enterprise values of less than $50 million, while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enterprise value was $398.5 million. This Court has rejected the use of companies as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 where those companies were significantly different in size than the appraised company. </w:t>
      </w:r>
      <w:r>
        <w:rPr>
          <w:rFonts w:ascii="Times" w:eastAsia="Times" w:hAnsi="Times" w:cs="Times"/>
          <w:vertAlign w:val="superscript"/>
        </w:rPr>
        <w:footnoteReference w:customMarkFollows="1" w:id="4"/>
        <w:t>53</w:t>
      </w:r>
    </w:p>
    <w:p w14:paraId="220170F4" w14:textId="758B5328" w:rsidR="00303AAE" w:rsidRDefault="00E53B66" w:rsidP="00E53B66">
      <w:pPr>
        <w:pStyle w:val="Normal1"/>
        <w:widowControl w:val="0"/>
        <w:spacing w:before="200" w:line="260" w:lineRule="atLeast"/>
        <w:jc w:val="both"/>
      </w:pPr>
      <w:r>
        <w:rPr>
          <w:rFonts w:ascii="Times" w:eastAsia="Times" w:hAnsi="Times" w:cs="Times"/>
          <w:color w:val="000000"/>
          <w:sz w:val="20"/>
        </w:rPr>
        <w:lastRenderedPageBreak/>
        <w:t xml:space="preserve"> That is because, as further discussed in Section II.D.2.d </w:t>
      </w:r>
      <w:r>
        <w:rPr>
          <w:rFonts w:ascii="Times" w:eastAsia="Times" w:hAnsi="Times" w:cs="Times"/>
          <w:i/>
          <w:color w:val="000000"/>
          <w:sz w:val="20"/>
        </w:rPr>
        <w:t>infra</w:t>
      </w:r>
      <w:r>
        <w:rPr>
          <w:rFonts w:ascii="Times" w:eastAsia="Times" w:hAnsi="Times" w:cs="Times"/>
          <w:color w:val="000000"/>
          <w:sz w:val="20"/>
        </w:rPr>
        <w:t xml:space="preserve"> concerning the equity size premium, greater risk is typically associated with equity in a small company. In that regard, it would be inappropriate to compare a company with an enterprise value of $14.7 million, as was the case with BIO-Key International, Inc., to a company, such as Cogent, with </w:t>
      </w:r>
      <w:proofErr w:type="gramStart"/>
      <w:r>
        <w:rPr>
          <w:rFonts w:ascii="Times" w:eastAsia="Times" w:hAnsi="Times" w:cs="Times"/>
          <w:color w:val="000000"/>
          <w:sz w:val="20"/>
        </w:rPr>
        <w:t>an enterprise value more than 25 times</w:t>
      </w:r>
      <w:proofErr w:type="gramEnd"/>
      <w:r>
        <w:rPr>
          <w:rFonts w:ascii="Times" w:eastAsia="Times" w:hAnsi="Times" w:cs="Times"/>
          <w:color w:val="000000"/>
          <w:sz w:val="20"/>
        </w:rPr>
        <w:t xml:space="preserve"> higher.</w:t>
      </w:r>
    </w:p>
    <w:p w14:paraId="21BA13B9" w14:textId="08ECAAA8" w:rsidR="00303AAE" w:rsidRDefault="00E53B66" w:rsidP="00015274">
      <w:pPr>
        <w:pStyle w:val="Normal1"/>
        <w:widowControl w:val="0"/>
        <w:spacing w:before="200" w:line="260" w:lineRule="atLeast"/>
        <w:jc w:val="both"/>
      </w:pPr>
      <w:bookmarkStart w:id="81" w:name="Bookmark_para_33"/>
      <w:bookmarkEnd w:id="81"/>
      <w:r>
        <w:rPr>
          <w:rFonts w:ascii="Times" w:eastAsia="Times" w:hAnsi="Times" w:cs="Times"/>
          <w:color w:val="000000"/>
          <w:sz w:val="20"/>
        </w:rPr>
        <w:t xml:space="preserve">Moreover, not one of those same six "comparable" companies had generated a profit.  At trial, Schiller, who replaced Owsley as Respondent's expert, acknowledged that the type of companies that have revenue multiples but not EBITDA multiples tend to be "companies in the early stage of their growth and maturity" and "companies that are growing rapidly." </w:t>
      </w:r>
    </w:p>
    <w:p w14:paraId="050903B1" w14:textId="36902E30" w:rsidR="00303AAE" w:rsidRDefault="00E53B66" w:rsidP="00015274">
      <w:pPr>
        <w:pStyle w:val="Normal1"/>
        <w:widowControl w:val="0"/>
        <w:spacing w:before="200" w:line="260" w:lineRule="atLeast"/>
        <w:jc w:val="both"/>
      </w:pPr>
      <w:r>
        <w:rPr>
          <w:rFonts w:ascii="Times" w:eastAsia="Times" w:hAnsi="Times" w:cs="Times"/>
          <w:color w:val="000000"/>
          <w:sz w:val="20"/>
        </w:rPr>
        <w:t xml:space="preserve"> In contrast, Cogent had </w:t>
      </w:r>
      <w:proofErr w:type="gramStart"/>
      <w:r>
        <w:rPr>
          <w:rFonts w:ascii="Times" w:eastAsia="Times" w:hAnsi="Times" w:cs="Times"/>
          <w:color w:val="000000"/>
          <w:sz w:val="20"/>
        </w:rPr>
        <w:t xml:space="preserve">been </w:t>
      </w:r>
      <w:r>
        <w:rPr>
          <w:rFonts w:ascii="Times" w:eastAsia="Times" w:hAnsi="Times" w:cs="Times"/>
          <w:color w:val="000000"/>
          <w:sz w:val="18"/>
        </w:rPr>
        <w:t> [</w:t>
      </w:r>
      <w:proofErr w:type="gramEnd"/>
      <w:r>
        <w:rPr>
          <w:rFonts w:ascii="Times" w:eastAsia="Times" w:hAnsi="Times" w:cs="Times"/>
          <w:color w:val="000000"/>
          <w:sz w:val="18"/>
        </w:rPr>
        <w:t>*23] </w:t>
      </w:r>
      <w:r>
        <w:rPr>
          <w:rFonts w:ascii="Times" w:eastAsia="Times" w:hAnsi="Times" w:cs="Times"/>
          <w:color w:val="000000"/>
          <w:sz w:val="20"/>
        </w:rPr>
        <w:t xml:space="preserve">profitable from 1990 until 2005.  In that regard, Schiller acknowledged that companies that had never turned a profit "are not close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 to Cogent. </w:t>
      </w:r>
    </w:p>
    <w:p w14:paraId="25021EC2" w14:textId="027A2740" w:rsidR="00303AAE" w:rsidRDefault="00E53B66" w:rsidP="00015274">
      <w:pPr>
        <w:pStyle w:val="Normal1"/>
        <w:widowControl w:val="0"/>
        <w:spacing w:before="200" w:line="260" w:lineRule="atLeast"/>
        <w:jc w:val="both"/>
      </w:pPr>
      <w:bookmarkStart w:id="82" w:name="Bookmark_para_34"/>
      <w:bookmarkEnd w:id="82"/>
      <w:r>
        <w:rPr>
          <w:rFonts w:ascii="Times" w:eastAsia="Times" w:hAnsi="Times" w:cs="Times"/>
          <w:color w:val="000000"/>
          <w:sz w:val="20"/>
        </w:rPr>
        <w:t xml:space="preserve">The Gordian Experts also failed to select comparable companies from the same business or industry as Cogent. For example, five of the companies selected by Owsley had no biometrics business at all.  Bailey, Petitioners' expert, also notes that of the ten comparable companies selected by the Gordian Experts, only one—BIO-Key International—listed Cogent as a competitor in its annual report. </w:t>
      </w:r>
    </w:p>
    <w:p w14:paraId="5C30BDE4" w14:textId="2CD783B6" w:rsidR="00303AAE" w:rsidRDefault="00E53B66" w:rsidP="00015274">
      <w:pPr>
        <w:pStyle w:val="Normal1"/>
        <w:widowControl w:val="0"/>
        <w:spacing w:before="200" w:line="260" w:lineRule="atLeast"/>
        <w:jc w:val="both"/>
      </w:pPr>
      <w:bookmarkStart w:id="83" w:name="Bookmark_para_35"/>
      <w:bookmarkEnd w:id="83"/>
      <w:r>
        <w:rPr>
          <w:rFonts w:ascii="Times" w:eastAsia="Times" w:hAnsi="Times" w:cs="Times"/>
          <w:color w:val="000000"/>
          <w:sz w:val="20"/>
        </w:rPr>
        <w:t xml:space="preserve">Finally, the Gordian Experts' failure to identify L-1 as a comparable company to Cogent before trial causes me some concern. L-1 competed directly against Cogent in a number of markets, including </w:t>
      </w:r>
      <w:proofErr w:type="gramStart"/>
      <w:r>
        <w:rPr>
          <w:rFonts w:ascii="Times" w:eastAsia="Times" w:hAnsi="Times" w:cs="Times"/>
          <w:color w:val="000000"/>
          <w:sz w:val="20"/>
        </w:rPr>
        <w:t xml:space="preserve">the </w:t>
      </w:r>
      <w:r>
        <w:rPr>
          <w:rFonts w:ascii="Times" w:eastAsia="Times" w:hAnsi="Times" w:cs="Times"/>
          <w:color w:val="000000"/>
          <w:sz w:val="18"/>
        </w:rPr>
        <w:t> [</w:t>
      </w:r>
      <w:proofErr w:type="gramEnd"/>
      <w:r>
        <w:rPr>
          <w:rFonts w:ascii="Times" w:eastAsia="Times" w:hAnsi="Times" w:cs="Times"/>
          <w:color w:val="000000"/>
          <w:sz w:val="18"/>
        </w:rPr>
        <w:t>*24] </w:t>
      </w:r>
      <w:proofErr w:type="spellStart"/>
      <w:r>
        <w:rPr>
          <w:rFonts w:ascii="Times" w:eastAsia="Times" w:hAnsi="Times" w:cs="Times"/>
          <w:color w:val="000000"/>
          <w:sz w:val="20"/>
        </w:rPr>
        <w:t>LiveScan</w:t>
      </w:r>
      <w:proofErr w:type="spellEnd"/>
      <w:r>
        <w:rPr>
          <w:rFonts w:ascii="Times" w:eastAsia="Times" w:hAnsi="Times" w:cs="Times"/>
          <w:color w:val="000000"/>
          <w:sz w:val="20"/>
        </w:rPr>
        <w:t xml:space="preserve"> market.  Indeed, Schiller admitted that L-1 "was one of the closer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 to Cogent."  Nonetheless, the Gordian Experts excluded L-1 based on their mistaken belief that a roughly contemporaneous L-1 transaction had closed before the Merger.  Importantly, L-1 had very positive financials that probably would have increased the values generated by the Gordian Experts' comparable </w:t>
      </w:r>
      <w:proofErr w:type="gramStart"/>
      <w:r>
        <w:rPr>
          <w:rFonts w:ascii="Times" w:eastAsia="Times" w:hAnsi="Times" w:cs="Times"/>
          <w:color w:val="000000"/>
          <w:sz w:val="20"/>
        </w:rPr>
        <w:t>companies</w:t>
      </w:r>
      <w:proofErr w:type="gramEnd"/>
      <w:r>
        <w:rPr>
          <w:rFonts w:ascii="Times" w:eastAsia="Times" w:hAnsi="Times" w:cs="Times"/>
          <w:color w:val="000000"/>
          <w:sz w:val="20"/>
        </w:rPr>
        <w:t xml:space="preserve"> analysis. </w:t>
      </w:r>
    </w:p>
    <w:p w14:paraId="54F1B502" w14:textId="77777777" w:rsidR="00303AAE" w:rsidRDefault="00E53B66">
      <w:pPr>
        <w:pStyle w:val="Normal1"/>
        <w:widowControl w:val="0"/>
        <w:spacing w:line="260" w:lineRule="atLeast"/>
        <w:jc w:val="both"/>
      </w:pPr>
      <w:r>
        <w:rPr>
          <w:rFonts w:ascii="Times" w:eastAsia="Times" w:hAnsi="Times" w:cs="Times"/>
          <w:color w:val="000000"/>
          <w:sz w:val="20"/>
        </w:rPr>
        <w:t xml:space="preserve"> In that sense, therefore, the Gordian Experts' analysis likely underestimates the value of Cogent.</w:t>
      </w:r>
    </w:p>
    <w:p w14:paraId="57B9FE1E" w14:textId="77777777" w:rsidR="00303AAE" w:rsidRDefault="00E53B66">
      <w:pPr>
        <w:pStyle w:val="Normal1"/>
        <w:widowControl w:val="0"/>
        <w:spacing w:before="200" w:line="260" w:lineRule="atLeast"/>
        <w:jc w:val="both"/>
      </w:pPr>
      <w:bookmarkStart w:id="84" w:name="Bookmark_para_36"/>
      <w:bookmarkEnd w:id="84"/>
      <w:r>
        <w:rPr>
          <w:rFonts w:ascii="Times" w:eastAsia="Times" w:hAnsi="Times" w:cs="Times"/>
          <w:color w:val="000000"/>
          <w:sz w:val="20"/>
        </w:rPr>
        <w:t xml:space="preserve">Based on the problems identified in this subsection, I find the Gordian Experts' comparable companies analysis to be unreliable. Furthermore, because Respondent has not met its burden of proof to show that the selected companies are truly </w:t>
      </w:r>
      <w:r>
        <w:rPr>
          <w:rFonts w:ascii="Times" w:eastAsia="Times" w:hAnsi="Times" w:cs="Times"/>
          <w:color w:val="000000"/>
          <w:sz w:val="20"/>
        </w:rPr>
        <w:lastRenderedPageBreak/>
        <w:t>comparable, I accord no weight to that analysis.</w:t>
      </w:r>
    </w:p>
    <w:p w14:paraId="1556B06C" w14:textId="77777777" w:rsidR="00303AAE" w:rsidRDefault="00E53B66">
      <w:pPr>
        <w:pStyle w:val="Normal1"/>
        <w:widowControl w:val="0"/>
        <w:spacing w:before="240" w:line="260" w:lineRule="atLeast"/>
      </w:pPr>
      <w:r>
        <w:rPr>
          <w:rFonts w:ascii="Times" w:eastAsia="Times" w:hAnsi="Times" w:cs="Times"/>
          <w:b/>
          <w:color w:val="000000"/>
          <w:sz w:val="20"/>
        </w:rPr>
        <w:t>2. Comparable transactions analysis</w:t>
      </w:r>
    </w:p>
    <w:p w14:paraId="6FA4F142" w14:textId="77777777" w:rsidR="00E01255" w:rsidRDefault="00E53B66">
      <w:pPr>
        <w:pStyle w:val="Normal1"/>
        <w:widowControl w:val="0"/>
        <w:spacing w:before="200" w:line="260" w:lineRule="atLeast"/>
        <w:jc w:val="both"/>
        <w:rPr>
          <w:rFonts w:ascii="Times" w:eastAsia="Times" w:hAnsi="Times" w:cs="Times"/>
          <w:color w:val="000000"/>
          <w:sz w:val="20"/>
        </w:rPr>
      </w:pPr>
      <w:bookmarkStart w:id="85" w:name="Bookmark_para_37"/>
      <w:bookmarkStart w:id="86" w:name="Bookmark_I590TCN628T4340030000400"/>
      <w:bookmarkStart w:id="87" w:name="Bookmark_I590TCN628T4350020000400"/>
      <w:bookmarkStart w:id="88" w:name="Bookmark_LNHNREFclscc7"/>
      <w:bookmarkEnd w:id="85"/>
      <w:bookmarkEnd w:id="86"/>
      <w:bookmarkEnd w:id="87"/>
      <w:bookmarkEnd w:id="88"/>
      <w:proofErr w:type="gramStart"/>
      <w:r>
        <w:rPr>
          <w:rFonts w:ascii="Times" w:eastAsia="Times" w:hAnsi="Times" w:cs="Times"/>
          <w:color w:val="000000"/>
          <w:sz w:val="20"/>
        </w:rPr>
        <w:t>A comparable transactions</w:t>
      </w:r>
      <w:proofErr w:type="gramEnd"/>
      <w:r>
        <w:rPr>
          <w:rFonts w:ascii="Times" w:eastAsia="Times" w:hAnsi="Times" w:cs="Times"/>
          <w:color w:val="000000"/>
          <w:sz w:val="20"/>
        </w:rPr>
        <w:t xml:space="preserve"> analysis "involves identifying similar transactions, quantifying those transactions through financial metrics, and then applying the metrics to the company at issue to ascertain a value." </w:t>
      </w:r>
    </w:p>
    <w:p w14:paraId="52F55677" w14:textId="12CEDDC5" w:rsidR="00303AAE" w:rsidRDefault="00E53B66">
      <w:pPr>
        <w:pStyle w:val="Normal1"/>
        <w:widowControl w:val="0"/>
        <w:spacing w:before="200" w:line="260" w:lineRule="atLeast"/>
        <w:jc w:val="both"/>
      </w:pPr>
      <w:r>
        <w:rPr>
          <w:rFonts w:ascii="Times" w:eastAsia="Times" w:hAnsi="Times" w:cs="Times"/>
          <w:color w:val="000000"/>
          <w:sz w:val="20"/>
        </w:rPr>
        <w:t xml:space="preserve"> As with the comparable companies analysis, "[</w:t>
      </w:r>
      <w:proofErr w:type="spellStart"/>
      <w:r>
        <w:rPr>
          <w:rFonts w:ascii="Times" w:eastAsia="Times" w:hAnsi="Times" w:cs="Times"/>
          <w:color w:val="000000"/>
          <w:sz w:val="20"/>
        </w:rPr>
        <w:t>t]he</w:t>
      </w:r>
      <w:proofErr w:type="spellEnd"/>
      <w:r>
        <w:rPr>
          <w:rFonts w:ascii="Times" w:eastAsia="Times" w:hAnsi="Times" w:cs="Times"/>
          <w:color w:val="000000"/>
          <w:sz w:val="20"/>
        </w:rPr>
        <w:t xml:space="preserve"> utility of the </w:t>
      </w:r>
      <w:proofErr w:type="gramStart"/>
      <w:r>
        <w:rPr>
          <w:rFonts w:ascii="Times" w:eastAsia="Times" w:hAnsi="Times" w:cs="Times"/>
          <w:color w:val="000000"/>
          <w:sz w:val="20"/>
        </w:rPr>
        <w:t xml:space="preserve">comparable </w:t>
      </w:r>
      <w:r>
        <w:rPr>
          <w:rFonts w:ascii="Times" w:eastAsia="Times" w:hAnsi="Times" w:cs="Times"/>
          <w:color w:val="000000"/>
          <w:sz w:val="18"/>
        </w:rPr>
        <w:t> [</w:t>
      </w:r>
      <w:proofErr w:type="gramEnd"/>
      <w:r>
        <w:rPr>
          <w:rFonts w:ascii="Times" w:eastAsia="Times" w:hAnsi="Times" w:cs="Times"/>
          <w:color w:val="000000"/>
          <w:sz w:val="18"/>
        </w:rPr>
        <w:t>*25] </w:t>
      </w:r>
      <w:r>
        <w:rPr>
          <w:rFonts w:ascii="Times" w:eastAsia="Times" w:hAnsi="Times" w:cs="Times"/>
          <w:color w:val="000000"/>
          <w:sz w:val="20"/>
        </w:rPr>
        <w:t>transactions methodology is directly lin</w:t>
      </w:r>
      <w:r w:rsidR="00E01255">
        <w:rPr>
          <w:rFonts w:ascii="Times" w:eastAsia="Times" w:hAnsi="Times" w:cs="Times"/>
          <w:color w:val="000000"/>
          <w:sz w:val="20"/>
        </w:rPr>
        <w:t>ked to the s</w:t>
      </w:r>
      <w:r>
        <w:rPr>
          <w:rFonts w:ascii="Times" w:eastAsia="Times" w:hAnsi="Times" w:cs="Times"/>
          <w:color w:val="000000"/>
          <w:sz w:val="20"/>
        </w:rPr>
        <w:t xml:space="preserve">imilarity between the company the court is valuing and the companies used for comparison.'" </w:t>
      </w:r>
      <w:r w:rsidR="00E01255">
        <w:rPr>
          <w:rFonts w:ascii="Times" w:eastAsia="Times" w:hAnsi="Times" w:cs="Times"/>
          <w:vertAlign w:val="superscript"/>
        </w:rPr>
        <w:t xml:space="preserve"> </w:t>
      </w:r>
    </w:p>
    <w:p w14:paraId="2D943D4E" w14:textId="6D842A38" w:rsidR="00303AAE" w:rsidRDefault="00E53B66" w:rsidP="00E01255">
      <w:pPr>
        <w:pStyle w:val="Normal1"/>
        <w:widowControl w:val="0"/>
        <w:spacing w:before="200" w:line="260" w:lineRule="atLeast"/>
        <w:jc w:val="both"/>
      </w:pPr>
      <w:bookmarkStart w:id="89" w:name="Bookmark_para_38"/>
      <w:bookmarkEnd w:id="89"/>
      <w:r>
        <w:rPr>
          <w:rFonts w:ascii="Times" w:eastAsia="Times" w:hAnsi="Times" w:cs="Times"/>
          <w:color w:val="000000"/>
          <w:sz w:val="20"/>
        </w:rPr>
        <w:t>Here, the Gordian Experts began their analysis with the selection of eighteen transactions. They then calculated multiples by dividing the enterprise value (as determined by the terms of the relevant transactions) for each company involved by: (</w:t>
      </w:r>
      <w:proofErr w:type="spellStart"/>
      <w:r>
        <w:rPr>
          <w:rFonts w:ascii="Times" w:eastAsia="Times" w:hAnsi="Times" w:cs="Times"/>
          <w:color w:val="000000"/>
          <w:sz w:val="20"/>
        </w:rPr>
        <w:t>i</w:t>
      </w:r>
      <w:proofErr w:type="spellEnd"/>
      <w:r>
        <w:rPr>
          <w:rFonts w:ascii="Times" w:eastAsia="Times" w:hAnsi="Times" w:cs="Times"/>
          <w:color w:val="000000"/>
          <w:sz w:val="20"/>
        </w:rPr>
        <w:t xml:space="preserve">) LTM revenue and EBITDA; and (ii) estimated forward revenue and EBITDA.  Next, the Gordian Experts arrived at multiple ranges by eliminating the top and bottom quartile. </w:t>
      </w:r>
      <w:r w:rsidR="00E01255">
        <w:rPr>
          <w:rFonts w:ascii="Times" w:eastAsia="Times" w:hAnsi="Times" w:cs="Times"/>
          <w:vertAlign w:val="superscript"/>
        </w:rPr>
        <w:t xml:space="preserve"> </w:t>
      </w:r>
      <w:r>
        <w:rPr>
          <w:rFonts w:ascii="Times" w:eastAsia="Times" w:hAnsi="Times" w:cs="Times"/>
          <w:color w:val="000000"/>
          <w:sz w:val="20"/>
        </w:rPr>
        <w:t xml:space="preserve">Finally, they applied a 20% discount to the multiples they obtained to take into account the need to eliminate any control or synergy premiums. </w:t>
      </w:r>
      <w:r>
        <w:rPr>
          <w:rFonts w:ascii="Times" w:eastAsia="Times" w:hAnsi="Times" w:cs="Times"/>
          <w:vertAlign w:val="superscript"/>
        </w:rPr>
        <w:footnoteReference w:customMarkFollows="1" w:id="5"/>
        <w:t>70</w:t>
      </w:r>
    </w:p>
    <w:p w14:paraId="2B00AF81" w14:textId="4E234480" w:rsidR="00303AAE" w:rsidRDefault="00E53B66">
      <w:pPr>
        <w:pStyle w:val="Normal1"/>
        <w:widowControl w:val="0"/>
        <w:spacing w:before="200" w:line="260" w:lineRule="atLeast"/>
        <w:jc w:val="both"/>
      </w:pPr>
      <w:bookmarkStart w:id="92" w:name="Bookmark_para_39"/>
      <w:bookmarkEnd w:id="92"/>
      <w:r>
        <w:rPr>
          <w:rFonts w:ascii="Times" w:eastAsia="Times" w:hAnsi="Times" w:cs="Times"/>
          <w:color w:val="000000"/>
          <w:sz w:val="20"/>
        </w:rPr>
        <w:t xml:space="preserve">Petitioners' expert Bailey criticized the Gordian Experts for using revenue multiples on the ground that they are less reliable than EBITDA multiples. At trial, Bailey explained that "it's inappropriate to use a revenue multiple as a multiple for trying to value [Cogent], because it was a very profitable cash-flow-positive company operating in a robust industry." </w:t>
      </w:r>
      <w:r w:rsidR="007C4CA3">
        <w:rPr>
          <w:rFonts w:ascii="Times" w:eastAsia="Times" w:hAnsi="Times" w:cs="Times"/>
          <w:vertAlign w:val="superscript"/>
        </w:rPr>
        <w:t xml:space="preserve"> </w:t>
      </w:r>
    </w:p>
    <w:p w14:paraId="11C22F91" w14:textId="3D5E29EC" w:rsidR="00303AAE" w:rsidRDefault="00E53B66" w:rsidP="007C4CA3">
      <w:pPr>
        <w:pStyle w:val="Normal1"/>
        <w:widowControl w:val="0"/>
        <w:spacing w:before="200" w:line="260" w:lineRule="atLeast"/>
        <w:jc w:val="both"/>
      </w:pPr>
      <w:bookmarkStart w:id="93" w:name="Bookmark_para_40"/>
      <w:bookmarkStart w:id="94" w:name="Bookmark_I590TCN62D6N640010000400"/>
      <w:bookmarkEnd w:id="93"/>
      <w:bookmarkEnd w:id="94"/>
      <w:r>
        <w:rPr>
          <w:rFonts w:ascii="Times" w:eastAsia="Times" w:hAnsi="Times" w:cs="Times"/>
          <w:color w:val="000000"/>
          <w:sz w:val="20"/>
        </w:rPr>
        <w:t>In an expert report he submitted in another case, Owsley similarly criticized the use of revenue multiples, stating that "[w]</w:t>
      </w:r>
      <w:proofErr w:type="spellStart"/>
      <w:r>
        <w:rPr>
          <w:rFonts w:ascii="Times" w:eastAsia="Times" w:hAnsi="Times" w:cs="Times"/>
          <w:color w:val="000000"/>
          <w:sz w:val="20"/>
        </w:rPr>
        <w:t>hile</w:t>
      </w:r>
      <w:proofErr w:type="spellEnd"/>
      <w:r>
        <w:rPr>
          <w:rFonts w:ascii="Times" w:eastAsia="Times" w:hAnsi="Times" w:cs="Times"/>
          <w:color w:val="000000"/>
          <w:sz w:val="20"/>
        </w:rPr>
        <w:t xml:space="preserve"> it is true that many analysts regularly examine revenue </w:t>
      </w:r>
      <w:proofErr w:type="gramStart"/>
      <w:r>
        <w:rPr>
          <w:rFonts w:ascii="Times" w:eastAsia="Times" w:hAnsi="Times" w:cs="Times"/>
          <w:color w:val="000000"/>
          <w:sz w:val="20"/>
        </w:rPr>
        <w:t>multiples[</w:t>
      </w:r>
      <w:proofErr w:type="gramEnd"/>
      <w:r>
        <w:rPr>
          <w:rFonts w:ascii="Times" w:eastAsia="Times" w:hAnsi="Times" w:cs="Times"/>
          <w:color w:val="000000"/>
          <w:sz w:val="20"/>
        </w:rPr>
        <w:t xml:space="preserve">,] I believe that such multiples are inherently more suspect due to their relatively higher level of variance (once low and negative earners are eliminated) than EBITDA multiples." </w:t>
      </w:r>
      <w:r w:rsidR="007C4CA3">
        <w:rPr>
          <w:rFonts w:ascii="Times" w:eastAsia="Times" w:hAnsi="Times" w:cs="Times"/>
          <w:vertAlign w:val="superscript"/>
        </w:rPr>
        <w:t xml:space="preserve"> </w:t>
      </w:r>
      <w:r>
        <w:rPr>
          <w:rFonts w:ascii="Times" w:eastAsia="Times" w:hAnsi="Times" w:cs="Times"/>
          <w:color w:val="000000"/>
          <w:sz w:val="20"/>
        </w:rPr>
        <w:t xml:space="preserve">Owsley's inconsistent and contradictory positions undermine the Gordian Experts' credibility on this point, which they admitted was a "judgment call." </w:t>
      </w:r>
    </w:p>
    <w:p w14:paraId="61A7898B"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Based on these facts and Bailey's reasoning, I find that </w:t>
      </w:r>
      <w:proofErr w:type="gramStart"/>
      <w:r>
        <w:rPr>
          <w:rFonts w:ascii="Times" w:eastAsia="Times" w:hAnsi="Times" w:cs="Times"/>
          <w:color w:val="000000"/>
          <w:sz w:val="20"/>
        </w:rPr>
        <w:t xml:space="preserve">Respondent </w:t>
      </w:r>
      <w:r>
        <w:rPr>
          <w:rFonts w:ascii="Times" w:eastAsia="Times" w:hAnsi="Times" w:cs="Times"/>
          <w:color w:val="000000"/>
          <w:sz w:val="18"/>
        </w:rPr>
        <w:t> [</w:t>
      </w:r>
      <w:proofErr w:type="gramEnd"/>
      <w:r>
        <w:rPr>
          <w:rFonts w:ascii="Times" w:eastAsia="Times" w:hAnsi="Times" w:cs="Times"/>
          <w:color w:val="000000"/>
          <w:sz w:val="18"/>
        </w:rPr>
        <w:t>*27] </w:t>
      </w:r>
      <w:r>
        <w:rPr>
          <w:rFonts w:ascii="Times" w:eastAsia="Times" w:hAnsi="Times" w:cs="Times"/>
          <w:color w:val="000000"/>
          <w:sz w:val="20"/>
        </w:rPr>
        <w:t>has not met its burden of showing that the Gordian Experts' use of a revenue multiples approach is reliable. Therefore, I accord no weight to that part of Respondent's analysis.</w:t>
      </w:r>
    </w:p>
    <w:p w14:paraId="53E15025" w14:textId="6C7089FE" w:rsidR="00303AAE" w:rsidRDefault="00E53B66" w:rsidP="005F415B">
      <w:pPr>
        <w:pStyle w:val="Normal1"/>
        <w:widowControl w:val="0"/>
        <w:spacing w:before="200" w:line="260" w:lineRule="atLeast"/>
        <w:jc w:val="both"/>
      </w:pPr>
      <w:bookmarkStart w:id="95" w:name="Bookmark_para_41"/>
      <w:bookmarkEnd w:id="95"/>
      <w:r>
        <w:rPr>
          <w:rFonts w:ascii="Times" w:eastAsia="Times" w:hAnsi="Times" w:cs="Times"/>
          <w:color w:val="000000"/>
          <w:sz w:val="20"/>
        </w:rPr>
        <w:lastRenderedPageBreak/>
        <w:t xml:space="preserve">Petitioners contend that the remainder of the Gordian Experts' comparable transactions analysis, </w:t>
      </w:r>
      <w:r>
        <w:rPr>
          <w:rFonts w:ascii="Times" w:eastAsia="Times" w:hAnsi="Times" w:cs="Times"/>
          <w:i/>
          <w:color w:val="000000"/>
          <w:sz w:val="20"/>
        </w:rPr>
        <w:t>i.e.</w:t>
      </w:r>
      <w:r>
        <w:rPr>
          <w:rFonts w:ascii="Times" w:eastAsia="Times" w:hAnsi="Times" w:cs="Times"/>
          <w:color w:val="000000"/>
          <w:sz w:val="20"/>
        </w:rPr>
        <w:t xml:space="preserve">, the LTM and forward EBITDA multiples, is flawed because there are insufficient data points to support any meaningful conclusions. For the thirty-six potential EBITDA multiples identified, the Gordian Experts were able to provide only eight meaningful multiples. That number is even smaller after one eliminates the first and fourth quartiles. This Court has found comparable transactions analyses that used as few as five transactions and two transactions to be unreliable. </w:t>
      </w:r>
      <w:r w:rsidR="005F415B">
        <w:rPr>
          <w:rFonts w:ascii="Times" w:eastAsia="Times" w:hAnsi="Times" w:cs="Times"/>
          <w:vertAlign w:val="superscript"/>
        </w:rPr>
        <w:t xml:space="preserve"> </w:t>
      </w:r>
      <w:r>
        <w:rPr>
          <w:rFonts w:ascii="Times" w:eastAsia="Times" w:hAnsi="Times" w:cs="Times"/>
          <w:color w:val="000000"/>
          <w:sz w:val="20"/>
        </w:rPr>
        <w:t xml:space="preserve"> Indeed, "[</w:t>
      </w:r>
      <w:proofErr w:type="spellStart"/>
      <w:r>
        <w:rPr>
          <w:rFonts w:ascii="Times" w:eastAsia="Times" w:hAnsi="Times" w:cs="Times"/>
          <w:color w:val="000000"/>
          <w:sz w:val="20"/>
        </w:rPr>
        <w:t>i</w:t>
      </w:r>
      <w:proofErr w:type="spellEnd"/>
      <w:r>
        <w:rPr>
          <w:rFonts w:ascii="Times" w:eastAsia="Times" w:hAnsi="Times" w:cs="Times"/>
          <w:color w:val="000000"/>
          <w:sz w:val="20"/>
        </w:rPr>
        <w:t>]f it turns out that very few data points are available for a particular valuation multiple, that problem may lead to abandon[</w:t>
      </w:r>
      <w:proofErr w:type="spellStart"/>
      <w:r>
        <w:rPr>
          <w:rFonts w:ascii="Times" w:eastAsia="Times" w:hAnsi="Times" w:cs="Times"/>
          <w:color w:val="000000"/>
          <w:sz w:val="20"/>
        </w:rPr>
        <w:t>ing</w:t>
      </w:r>
      <w:proofErr w:type="spellEnd"/>
      <w:r>
        <w:rPr>
          <w:rFonts w:ascii="Times" w:eastAsia="Times" w:hAnsi="Times" w:cs="Times"/>
          <w:color w:val="000000"/>
          <w:sz w:val="20"/>
        </w:rPr>
        <w:t xml:space="preserve">] that multiple or [] put[ting] relatively little weight on it." </w:t>
      </w:r>
      <w:r>
        <w:rPr>
          <w:rFonts w:ascii="Times" w:eastAsia="Times" w:hAnsi="Times" w:cs="Times"/>
          <w:vertAlign w:val="superscript"/>
        </w:rPr>
        <w:footnoteReference w:customMarkFollows="1" w:id="6"/>
        <w:t>75</w:t>
      </w:r>
      <w:r>
        <w:rPr>
          <w:rFonts w:ascii="Times" w:eastAsia="Times" w:hAnsi="Times" w:cs="Times"/>
          <w:color w:val="000000"/>
          <w:sz w:val="20"/>
        </w:rPr>
        <w:t xml:space="preserve"> The dearth of data points here undermines the reliability of the EBITDA multiples.</w:t>
      </w:r>
    </w:p>
    <w:p w14:paraId="12CCD986" w14:textId="2EBBB596" w:rsidR="00303AAE" w:rsidRDefault="00E53B66" w:rsidP="005F415B">
      <w:pPr>
        <w:pStyle w:val="Normal1"/>
        <w:widowControl w:val="0"/>
        <w:spacing w:before="200" w:line="260" w:lineRule="atLeast"/>
        <w:jc w:val="both"/>
      </w:pPr>
      <w:bookmarkStart w:id="97" w:name="Bookmark_para_42"/>
      <w:bookmarkEnd w:id="97"/>
      <w:r>
        <w:rPr>
          <w:rFonts w:ascii="Times" w:eastAsia="Times" w:hAnsi="Times" w:cs="Times"/>
          <w:color w:val="000000"/>
          <w:sz w:val="20"/>
        </w:rPr>
        <w:t xml:space="preserve">This conclusion is buttressed by the high dispersion of the data points the Gordian Experts did obtain. "The extent to which the valuation multiples are tightly clustered or widely dispersed tends to indicate the extent to which the market focuses on that particular valuation multiple in pricing companies in the particular industry." Here, the dispersion was "extremely large." </w:t>
      </w:r>
    </w:p>
    <w:p w14:paraId="3D854D5D" w14:textId="245BE173" w:rsidR="00303AAE" w:rsidRDefault="00E53B66" w:rsidP="005F415B">
      <w:pPr>
        <w:pStyle w:val="Normal1"/>
        <w:widowControl w:val="0"/>
        <w:spacing w:before="200" w:line="260" w:lineRule="atLeast"/>
        <w:jc w:val="both"/>
      </w:pPr>
      <w:r>
        <w:rPr>
          <w:rFonts w:ascii="Times" w:eastAsia="Times" w:hAnsi="Times" w:cs="Times"/>
          <w:color w:val="000000"/>
          <w:sz w:val="20"/>
        </w:rPr>
        <w:t xml:space="preserve"> For example,</w:t>
      </w:r>
      <w:r>
        <w:rPr>
          <w:rFonts w:ascii="Times" w:eastAsia="Times" w:hAnsi="Times" w:cs="Times"/>
          <w:color w:val="000000"/>
          <w:sz w:val="18"/>
        </w:rPr>
        <w:t> [*29] </w:t>
      </w:r>
      <w:r>
        <w:rPr>
          <w:rFonts w:ascii="Times" w:eastAsia="Times" w:hAnsi="Times" w:cs="Times"/>
          <w:color w:val="000000"/>
          <w:sz w:val="20"/>
        </w:rPr>
        <w:t>while the mean of the forward EBITDA multiple was 25.4x, the standard deviation was 25.1x.  Thus, because there are so few data points and the results are so widely dispersed, Respondent has failed to show that its EBITDA multiples analysis is reliable.</w:t>
      </w:r>
    </w:p>
    <w:p w14:paraId="3DF5B237" w14:textId="77777777" w:rsidR="00303AAE" w:rsidRDefault="00E53B66">
      <w:pPr>
        <w:pStyle w:val="Normal1"/>
        <w:widowControl w:val="0"/>
        <w:spacing w:before="200" w:line="260" w:lineRule="atLeast"/>
        <w:jc w:val="both"/>
      </w:pPr>
      <w:bookmarkStart w:id="98" w:name="Bookmark_para_43"/>
      <w:bookmarkEnd w:id="98"/>
      <w:r>
        <w:rPr>
          <w:rFonts w:ascii="Times" w:eastAsia="Times" w:hAnsi="Times" w:cs="Times"/>
          <w:color w:val="000000"/>
          <w:sz w:val="20"/>
        </w:rPr>
        <w:t>For all of these reasons, I accord no weight to Respondent's comparable transactions analysis.</w:t>
      </w:r>
    </w:p>
    <w:p w14:paraId="31C953B7" w14:textId="7A058A3F" w:rsidR="00303AAE" w:rsidRDefault="005F415B" w:rsidP="005F415B">
      <w:pPr>
        <w:pStyle w:val="Normal1"/>
        <w:widowControl w:val="0"/>
        <w:spacing w:before="240" w:line="260" w:lineRule="atLeast"/>
        <w:jc w:val="both"/>
      </w:pPr>
      <w:r>
        <w:rPr>
          <w:rFonts w:ascii="Times" w:eastAsia="Times" w:hAnsi="Times" w:cs="Times"/>
          <w:b/>
          <w:color w:val="000000"/>
          <w:sz w:val="20"/>
        </w:rPr>
        <w:t xml:space="preserve"> </w:t>
      </w:r>
      <w:r>
        <w:t xml:space="preserve"> </w:t>
      </w:r>
      <w:r w:rsidR="00E53B66">
        <w:rPr>
          <w:rFonts w:ascii="Times" w:eastAsia="Times" w:hAnsi="Times" w:cs="Times"/>
          <w:b/>
          <w:color w:val="000000"/>
          <w:sz w:val="20"/>
        </w:rPr>
        <w:t>D. DCF Analysis of Cogent</w:t>
      </w:r>
    </w:p>
    <w:p w14:paraId="139D54F9" w14:textId="77777777" w:rsidR="00303AAE" w:rsidRDefault="00E53B66">
      <w:pPr>
        <w:pStyle w:val="Normal1"/>
        <w:widowControl w:val="0"/>
        <w:spacing w:before="200" w:line="260" w:lineRule="atLeast"/>
        <w:jc w:val="both"/>
      </w:pPr>
      <w:bookmarkStart w:id="99" w:name="Bookmark_para_52"/>
      <w:bookmarkStart w:id="100" w:name="Bookmark_I590TCN62HM6T90050000400"/>
      <w:bookmarkStart w:id="101" w:name="Bookmark_I77T5KHMVK50009YTT40000M"/>
      <w:bookmarkStart w:id="102" w:name="Bookmark_I590TCN62HM6TB0040000400"/>
      <w:bookmarkStart w:id="103" w:name="Bookmark_I77T5KHMGCF0009YTT40000K"/>
      <w:bookmarkStart w:id="104" w:name="Bookmark_I590TCN628T4360010000400"/>
      <w:bookmarkStart w:id="105" w:name="Bookmark_LNHNREFclscc12"/>
      <w:bookmarkEnd w:id="99"/>
      <w:bookmarkEnd w:id="100"/>
      <w:bookmarkEnd w:id="101"/>
      <w:bookmarkEnd w:id="102"/>
      <w:bookmarkEnd w:id="103"/>
      <w:bookmarkEnd w:id="104"/>
      <w:bookmarkEnd w:id="105"/>
      <w:r>
        <w:rPr>
          <w:rFonts w:ascii="Times" w:eastAsia="Times" w:hAnsi="Times" w:cs="Times"/>
          <w:color w:val="000000"/>
          <w:sz w:val="20"/>
        </w:rPr>
        <w:t xml:space="preserve">The basic premise underlying the DCF methodology is that the value of a company is equal to the value of its projected future cash flows, discounted to the present value at the opportunity cost of capital. </w:t>
      </w:r>
      <w:r>
        <w:rPr>
          <w:rFonts w:ascii="Times" w:eastAsia="Times" w:hAnsi="Times" w:cs="Times"/>
          <w:vertAlign w:val="superscript"/>
        </w:rPr>
        <w:footnoteReference w:customMarkFollows="1" w:id="7"/>
        <w:t>92</w:t>
      </w:r>
    </w:p>
    <w:p w14:paraId="785C9C4D" w14:textId="70859E2E" w:rsidR="00303AAE" w:rsidRDefault="00E53B66" w:rsidP="00BF0859">
      <w:pPr>
        <w:pStyle w:val="Normal1"/>
        <w:widowControl w:val="0"/>
        <w:spacing w:before="200" w:line="260" w:lineRule="atLeast"/>
        <w:jc w:val="both"/>
      </w:pPr>
      <w:r>
        <w:rPr>
          <w:rFonts w:ascii="Times" w:eastAsia="Times" w:hAnsi="Times" w:cs="Times"/>
          <w:color w:val="000000"/>
          <w:sz w:val="20"/>
        </w:rPr>
        <w:t xml:space="preserve"> Calculating a DCF involves three steps: (1) one estimates the values of future cash flows for a discrete period, where possible, based on contemporaneous management projections; (2) the value of the entity attributable to cash flows expected after the end of the discrete period must be estimated </w:t>
      </w:r>
      <w:r>
        <w:rPr>
          <w:rFonts w:ascii="Times" w:eastAsia="Times" w:hAnsi="Times" w:cs="Times"/>
          <w:color w:val="000000"/>
          <w:sz w:val="18"/>
        </w:rPr>
        <w:t> [*35] </w:t>
      </w:r>
      <w:r>
        <w:rPr>
          <w:rFonts w:ascii="Times" w:eastAsia="Times" w:hAnsi="Times" w:cs="Times"/>
          <w:color w:val="000000"/>
          <w:sz w:val="20"/>
        </w:rPr>
        <w:t xml:space="preserve">to produce a so-called terminal value, preferably using a perpetual growth model; and (3) the value of the cash flows for the </w:t>
      </w:r>
      <w:r>
        <w:rPr>
          <w:rFonts w:ascii="Times" w:eastAsia="Times" w:hAnsi="Times" w:cs="Times"/>
          <w:color w:val="000000"/>
          <w:sz w:val="20"/>
        </w:rPr>
        <w:lastRenderedPageBreak/>
        <w:t xml:space="preserve">discrete period and the terminal value must be discounted back using the capital asset pricing model or "CAPM." </w:t>
      </w:r>
      <w:r w:rsidR="00BF0859">
        <w:rPr>
          <w:rFonts w:ascii="Times" w:eastAsia="Times" w:hAnsi="Times" w:cs="Times"/>
          <w:vertAlign w:val="superscript"/>
        </w:rPr>
        <w:t xml:space="preserve"> </w:t>
      </w:r>
      <w:r>
        <w:rPr>
          <w:rFonts w:ascii="Times" w:eastAsia="Times" w:hAnsi="Times" w:cs="Times"/>
          <w:color w:val="000000"/>
          <w:sz w:val="20"/>
        </w:rPr>
        <w:t xml:space="preserve"> In simpler terms, the DCF method involves three basic components: (1) cash flow projections; (2) a discount rate; and (3) a terminal value.  The experts in this case relied on conflicting inputs and assumptions as to all three elements of their respective DCF analyses. I now turn to those disputed inputs and assumptions.</w:t>
      </w:r>
    </w:p>
    <w:p w14:paraId="13E521B9" w14:textId="77777777" w:rsidR="00303AAE" w:rsidRDefault="00E53B66">
      <w:pPr>
        <w:pStyle w:val="Normal1"/>
        <w:widowControl w:val="0"/>
        <w:spacing w:before="240" w:line="260" w:lineRule="atLeast"/>
      </w:pPr>
      <w:r>
        <w:rPr>
          <w:rFonts w:ascii="Times" w:eastAsia="Times" w:hAnsi="Times" w:cs="Times"/>
          <w:b/>
          <w:color w:val="000000"/>
          <w:sz w:val="20"/>
        </w:rPr>
        <w:t xml:space="preserve">1. </w:t>
      </w:r>
      <w:r>
        <w:rPr>
          <w:rFonts w:ascii="Times" w:eastAsia="Times" w:hAnsi="Times" w:cs="Times"/>
          <w:color w:val="000000"/>
          <w:sz w:val="18"/>
        </w:rPr>
        <w:t> [*36] </w:t>
      </w:r>
      <w:r>
        <w:rPr>
          <w:rFonts w:ascii="Times" w:eastAsia="Times" w:hAnsi="Times" w:cs="Times"/>
          <w:b/>
          <w:color w:val="000000"/>
          <w:sz w:val="20"/>
        </w:rPr>
        <w:t>Cash flow projections</w:t>
      </w:r>
    </w:p>
    <w:p w14:paraId="614D22CB" w14:textId="4FCBF159" w:rsidR="00303AAE" w:rsidRDefault="00E53B66" w:rsidP="00BF6013">
      <w:pPr>
        <w:pStyle w:val="Normal1"/>
        <w:widowControl w:val="0"/>
        <w:spacing w:before="200" w:line="260" w:lineRule="atLeast"/>
        <w:jc w:val="both"/>
      </w:pPr>
      <w:bookmarkStart w:id="108" w:name="Bookmark_para_53"/>
      <w:bookmarkEnd w:id="108"/>
      <w:r>
        <w:rPr>
          <w:rFonts w:ascii="Times" w:eastAsia="Times" w:hAnsi="Times" w:cs="Times"/>
          <w:color w:val="000000"/>
          <w:sz w:val="20"/>
        </w:rPr>
        <w:t xml:space="preserve">A primary dispute between the parties is whether the Court should rely on the Five-Year Projections prepared by Kim and Credit Suisse. Petitioners would reject management's projections and adopt two key scenarios: (1) Bailey's "Industry Growth Scenario" that assumes an industry growth rate through 2015 of 17%; and (2) Bailey's "Cash Deployment Scenario" that assumes Cogent would spend $396 </w:t>
      </w:r>
      <w:proofErr w:type="spellStart"/>
      <w:r>
        <w:rPr>
          <w:rFonts w:ascii="Times" w:eastAsia="Times" w:hAnsi="Times" w:cs="Times"/>
          <w:color w:val="000000"/>
          <w:sz w:val="20"/>
        </w:rPr>
        <w:t>million</w:t>
      </w:r>
      <w:proofErr w:type="spellEnd"/>
      <w:r>
        <w:rPr>
          <w:rFonts w:ascii="Times" w:eastAsia="Times" w:hAnsi="Times" w:cs="Times"/>
          <w:color w:val="000000"/>
          <w:sz w:val="20"/>
        </w:rPr>
        <w:t xml:space="preserve"> of its cash on acquisitions. </w:t>
      </w:r>
      <w:r w:rsidR="0045170D">
        <w:rPr>
          <w:rFonts w:ascii="Times" w:eastAsia="Times" w:hAnsi="Times" w:cs="Times"/>
          <w:vertAlign w:val="superscript"/>
        </w:rPr>
        <w:t xml:space="preserve"> </w:t>
      </w:r>
      <w:r w:rsidR="00BF6013">
        <w:t xml:space="preserve"> </w:t>
      </w:r>
      <w:r>
        <w:rPr>
          <w:rFonts w:ascii="Times" w:eastAsia="Times" w:hAnsi="Times" w:cs="Times"/>
          <w:color w:val="000000"/>
          <w:sz w:val="20"/>
        </w:rPr>
        <w:t>In contrast, Respondent urges this Court to rely on management's projections with only a few minor adjustments.</w:t>
      </w:r>
    </w:p>
    <w:p w14:paraId="673CBEE7" w14:textId="0FB6F187" w:rsidR="00303AAE" w:rsidRDefault="00E53B66">
      <w:pPr>
        <w:pStyle w:val="Normal1"/>
        <w:widowControl w:val="0"/>
        <w:spacing w:before="200" w:line="260" w:lineRule="atLeast"/>
        <w:jc w:val="both"/>
      </w:pPr>
      <w:bookmarkStart w:id="109" w:name="Bookmark_para_54"/>
      <w:bookmarkStart w:id="110" w:name="Bookmark_I590TCN628T4360030000400"/>
      <w:bookmarkStart w:id="111" w:name="Bookmark_I590TCN62D6N650040000400"/>
      <w:bookmarkStart w:id="112" w:name="Bookmark_I590TCN62D6N660010000400"/>
      <w:bookmarkStart w:id="113" w:name="Bookmark_I77T5KHJCPK0009YTT40000D"/>
      <w:bookmarkStart w:id="114" w:name="Bookmark_I590TCN62D6N660050000400"/>
      <w:bookmarkStart w:id="115" w:name="Bookmark_LNHNREFclscc13"/>
      <w:bookmarkEnd w:id="109"/>
      <w:bookmarkEnd w:id="110"/>
      <w:bookmarkEnd w:id="111"/>
      <w:bookmarkEnd w:id="112"/>
      <w:bookmarkEnd w:id="113"/>
      <w:bookmarkEnd w:id="114"/>
      <w:bookmarkEnd w:id="115"/>
      <w:r>
        <w:rPr>
          <w:rFonts w:ascii="Times" w:eastAsia="Times" w:hAnsi="Times" w:cs="Times"/>
          <w:color w:val="000000"/>
          <w:sz w:val="20"/>
        </w:rPr>
        <w:t xml:space="preserve">Generally, this Court "prefers valuations based on contemporaneously prepared management projections because management ordinarily has the best first-hand knowledge of a company's operations." </w:t>
      </w:r>
    </w:p>
    <w:p w14:paraId="34227DF2" w14:textId="47C6F22C" w:rsidR="00303AAE" w:rsidRDefault="00E53B66">
      <w:pPr>
        <w:pStyle w:val="Normal1"/>
        <w:widowControl w:val="0"/>
        <w:spacing w:before="200" w:line="260" w:lineRule="atLeast"/>
        <w:jc w:val="both"/>
      </w:pPr>
      <w:r>
        <w:rPr>
          <w:rFonts w:ascii="Times" w:eastAsia="Times" w:hAnsi="Times" w:cs="Times"/>
          <w:color w:val="000000"/>
          <w:sz w:val="20"/>
        </w:rPr>
        <w:t xml:space="preserve"> In </w:t>
      </w:r>
      <w:proofErr w:type="spellStart"/>
      <w:r>
        <w:rPr>
          <w:rFonts w:ascii="Times" w:eastAsia="Times" w:hAnsi="Times" w:cs="Times"/>
          <w:i/>
          <w:color w:val="000000"/>
          <w:sz w:val="20"/>
        </w:rPr>
        <w:t>Gearreald</w:t>
      </w:r>
      <w:proofErr w:type="spellEnd"/>
      <w:r>
        <w:rPr>
          <w:rFonts w:ascii="Times" w:eastAsia="Times" w:hAnsi="Times" w:cs="Times"/>
          <w:i/>
          <w:color w:val="000000"/>
          <w:sz w:val="20"/>
        </w:rPr>
        <w:t xml:space="preserve"> v. Just Care, Inc.</w:t>
      </w:r>
      <w:proofErr w:type="gramStart"/>
      <w:r>
        <w:rPr>
          <w:rFonts w:ascii="Times" w:eastAsia="Times" w:hAnsi="Times" w:cs="Times"/>
          <w:color w:val="000000"/>
          <w:sz w:val="20"/>
        </w:rPr>
        <w:t>,  however</w:t>
      </w:r>
      <w:proofErr w:type="gramEnd"/>
      <w:r>
        <w:rPr>
          <w:rFonts w:ascii="Times" w:eastAsia="Times" w:hAnsi="Times" w:cs="Times"/>
          <w:color w:val="000000"/>
          <w:sz w:val="20"/>
        </w:rPr>
        <w:t xml:space="preserve">, I held that projections prepared by management "are not entitled to the same deference usually afforded to contemporaneously prepared management projections" where "management had never prepared projections beyond the current fiscal year," "the possibility of litigation, such as an appraisal proceeding, was likely," and the projections "were made outside of the ordinary course of </w:t>
      </w:r>
      <w:r>
        <w:rPr>
          <w:rFonts w:ascii="Times" w:eastAsia="Times" w:hAnsi="Times" w:cs="Times"/>
          <w:color w:val="000000"/>
          <w:sz w:val="18"/>
        </w:rPr>
        <w:t> [*37] </w:t>
      </w:r>
      <w:r>
        <w:rPr>
          <w:rFonts w:ascii="Times" w:eastAsia="Times" w:hAnsi="Times" w:cs="Times"/>
          <w:color w:val="000000"/>
          <w:sz w:val="20"/>
        </w:rPr>
        <w:t xml:space="preserve">business." </w:t>
      </w:r>
      <w:r w:rsidR="00790F92">
        <w:rPr>
          <w:rFonts w:ascii="Times" w:eastAsia="Times" w:hAnsi="Times" w:cs="Times"/>
          <w:vertAlign w:val="superscript"/>
        </w:rPr>
        <w:t xml:space="preserve"> </w:t>
      </w:r>
    </w:p>
    <w:p w14:paraId="2A467E4A" w14:textId="3645705B" w:rsidR="00303AAE" w:rsidRDefault="00E53B66">
      <w:pPr>
        <w:pStyle w:val="Normal1"/>
        <w:widowControl w:val="0"/>
        <w:spacing w:before="200" w:line="260" w:lineRule="atLeast"/>
        <w:jc w:val="both"/>
      </w:pPr>
      <w:r>
        <w:rPr>
          <w:rFonts w:ascii="Times" w:eastAsia="Times" w:hAnsi="Times" w:cs="Times"/>
          <w:color w:val="000000"/>
          <w:sz w:val="20"/>
        </w:rPr>
        <w:t xml:space="preserve"> I also considered it relevant in </w:t>
      </w:r>
      <w:proofErr w:type="spellStart"/>
      <w:r>
        <w:rPr>
          <w:rFonts w:ascii="Times" w:eastAsia="Times" w:hAnsi="Times" w:cs="Times"/>
          <w:i/>
          <w:color w:val="000000"/>
          <w:sz w:val="20"/>
        </w:rPr>
        <w:t>Gearreald</w:t>
      </w:r>
      <w:proofErr w:type="spellEnd"/>
      <w:r>
        <w:rPr>
          <w:rFonts w:ascii="Times" w:eastAsia="Times" w:hAnsi="Times" w:cs="Times"/>
          <w:color w:val="000000"/>
          <w:sz w:val="20"/>
        </w:rPr>
        <w:t xml:space="preserve"> that the projections at issue there were prepared by directors and officers of the target company who "risked losing their positions if the . . . bid succeeded and were involved in trying to convince the Board to pursue a different strategic alternative in which [they] were involved." </w:t>
      </w:r>
    </w:p>
    <w:p w14:paraId="197049DC" w14:textId="61DC324E" w:rsidR="00303AAE" w:rsidRDefault="00E53B66" w:rsidP="00AE1279">
      <w:pPr>
        <w:pStyle w:val="Normal1"/>
        <w:widowControl w:val="0"/>
        <w:spacing w:before="200" w:line="260" w:lineRule="atLeast"/>
        <w:jc w:val="both"/>
      </w:pPr>
      <w:bookmarkStart w:id="116" w:name="Bookmark_para_55"/>
      <w:bookmarkEnd w:id="116"/>
      <w:r>
        <w:rPr>
          <w:rFonts w:ascii="Times" w:eastAsia="Times" w:hAnsi="Times" w:cs="Times"/>
          <w:color w:val="000000"/>
          <w:sz w:val="20"/>
        </w:rPr>
        <w:t xml:space="preserve">A number of the circumstances in </w:t>
      </w:r>
      <w:proofErr w:type="spellStart"/>
      <w:r>
        <w:rPr>
          <w:rFonts w:ascii="Times" w:eastAsia="Times" w:hAnsi="Times" w:cs="Times"/>
          <w:i/>
          <w:color w:val="000000"/>
          <w:sz w:val="20"/>
        </w:rPr>
        <w:t>Gearreald</w:t>
      </w:r>
      <w:proofErr w:type="spellEnd"/>
      <w:r>
        <w:rPr>
          <w:rFonts w:ascii="Times" w:eastAsia="Times" w:hAnsi="Times" w:cs="Times"/>
          <w:color w:val="000000"/>
          <w:sz w:val="20"/>
        </w:rPr>
        <w:t xml:space="preserve"> also are present here: (1) Cogent had never prepared projections beyond the current fiscal </w:t>
      </w:r>
      <w:proofErr w:type="gramStart"/>
      <w:r>
        <w:rPr>
          <w:rFonts w:ascii="Times" w:eastAsia="Times" w:hAnsi="Times" w:cs="Times"/>
          <w:color w:val="000000"/>
          <w:sz w:val="20"/>
        </w:rPr>
        <w:t>year;  (</w:t>
      </w:r>
      <w:proofErr w:type="gramEnd"/>
      <w:r>
        <w:rPr>
          <w:rFonts w:ascii="Times" w:eastAsia="Times" w:hAnsi="Times" w:cs="Times"/>
          <w:color w:val="000000"/>
          <w:sz w:val="20"/>
        </w:rPr>
        <w:t xml:space="preserve">2) the management projections were prepared after 3M communicated a verbal offer </w:t>
      </w:r>
      <w:r>
        <w:rPr>
          <w:rFonts w:ascii="Times" w:eastAsia="Times" w:hAnsi="Times" w:cs="Times"/>
          <w:color w:val="000000"/>
          <w:sz w:val="18"/>
        </w:rPr>
        <w:t> [*38] </w:t>
      </w:r>
      <w:r>
        <w:rPr>
          <w:rFonts w:ascii="Times" w:eastAsia="Times" w:hAnsi="Times" w:cs="Times"/>
          <w:color w:val="000000"/>
          <w:sz w:val="20"/>
        </w:rPr>
        <w:t xml:space="preserve">to Cogent, and Hsieh communicated to 3M the price at which he </w:t>
      </w:r>
      <w:r>
        <w:rPr>
          <w:rFonts w:ascii="Times" w:eastAsia="Times" w:hAnsi="Times" w:cs="Times"/>
          <w:color w:val="000000"/>
          <w:sz w:val="20"/>
        </w:rPr>
        <w:lastRenderedPageBreak/>
        <w:t xml:space="preserve">was willing to recommend selling; and (3) the projections were prepared with significant input from Credit Suisse. </w:t>
      </w:r>
      <w:bookmarkStart w:id="117" w:name="Bookmark_I590TCN62HM6TC0020000400"/>
      <w:bookmarkStart w:id="118" w:name="Bookmark_I590TCN62HM6TC0040000400"/>
      <w:bookmarkEnd w:id="117"/>
      <w:bookmarkEnd w:id="118"/>
      <w:r>
        <w:rPr>
          <w:rFonts w:ascii="Times" w:eastAsia="Times" w:hAnsi="Times" w:cs="Times"/>
          <w:color w:val="000000"/>
          <w:sz w:val="20"/>
        </w:rPr>
        <w:t xml:space="preserve">On the other hand, Kim had no reason to believe his job was in jeopardy, nor was he involved in any alternate bid. This last factor is significant because neither this Court nor the Delaware Supreme Court ever has adopted a bright-line test under which management projections that were created during the merger process are deemed inherently unreliable. </w:t>
      </w:r>
      <w:bookmarkStart w:id="119" w:name="Bookmark_I590TCN62D6N670050000400"/>
      <w:bookmarkEnd w:id="119"/>
      <w:r>
        <w:rPr>
          <w:rFonts w:ascii="Times" w:eastAsia="Times" w:hAnsi="Times" w:cs="Times"/>
          <w:color w:val="000000"/>
          <w:sz w:val="20"/>
        </w:rPr>
        <w:t>To the contrary, in a number of cases Delaware Courts have relied on projections that were prepared by management outside of the ordinary course of business and wit</w:t>
      </w:r>
      <w:r w:rsidR="00AE1279">
        <w:rPr>
          <w:rFonts w:ascii="Times" w:eastAsia="Times" w:hAnsi="Times" w:cs="Times"/>
          <w:color w:val="000000"/>
          <w:sz w:val="20"/>
        </w:rPr>
        <w:t>h the possibility of litigation.</w:t>
      </w:r>
      <w:r>
        <w:rPr>
          <w:rFonts w:ascii="Times" w:eastAsia="Times" w:hAnsi="Times" w:cs="Times"/>
          <w:color w:val="000000"/>
          <w:sz w:val="20"/>
        </w:rPr>
        <w:t xml:space="preserve"> On the other hand, this Court has expressed skepticism with respect to projections prepared with the benefit of hindsight by testifying experts.</w:t>
      </w:r>
      <w:bookmarkStart w:id="120" w:name="Bookmark_I590TCN62D6N670050000400_3"/>
      <w:bookmarkStart w:id="121" w:name="Bookmark_para_56"/>
      <w:bookmarkEnd w:id="120"/>
      <w:bookmarkEnd w:id="121"/>
      <w:r w:rsidR="00AE1279">
        <w:rPr>
          <w:rFonts w:ascii="Times" w:eastAsia="Times" w:hAnsi="Times" w:cs="Times"/>
          <w:color w:val="000000"/>
          <w:sz w:val="20"/>
        </w:rPr>
        <w:t xml:space="preserve"> M</w:t>
      </w:r>
      <w:r>
        <w:rPr>
          <w:rFonts w:ascii="Times" w:eastAsia="Times" w:hAnsi="Times" w:cs="Times"/>
          <w:color w:val="000000"/>
          <w:sz w:val="20"/>
        </w:rPr>
        <w:t>oreover, Bailey's "Cash Deployment Scenario," which assumes that Cogent would have spent $396 million on potential targets and realized positive returns as a result of those acquisitions, is too speculative. The record shows that even though Cogent was open to acquiring companies and had examined more than twenty companies, "none of them fit into [</w:t>
      </w:r>
      <w:proofErr w:type="spellStart"/>
      <w:r>
        <w:rPr>
          <w:rFonts w:ascii="Times" w:eastAsia="Times" w:hAnsi="Times" w:cs="Times"/>
          <w:color w:val="000000"/>
          <w:sz w:val="20"/>
        </w:rPr>
        <w:t>Cogent's</w:t>
      </w:r>
      <w:proofErr w:type="spellEnd"/>
      <w:r>
        <w:rPr>
          <w:rFonts w:ascii="Times" w:eastAsia="Times" w:hAnsi="Times" w:cs="Times"/>
          <w:color w:val="000000"/>
          <w:sz w:val="20"/>
        </w:rPr>
        <w:t>] acquisition target." Furthermore, even if I were to assume that Cogent would have made an acquisition, which I am not inclined to do, I would not be willing to speculate as to the rate of return on that hypothetical acquisition, because it would amount to nothing more than mere conjecture and supposition.</w:t>
      </w:r>
    </w:p>
    <w:p w14:paraId="03CE4CCD" w14:textId="5782CCE6" w:rsidR="00303AAE" w:rsidRDefault="00E53B66">
      <w:pPr>
        <w:pStyle w:val="Normal1"/>
        <w:widowControl w:val="0"/>
        <w:spacing w:before="200" w:line="260" w:lineRule="atLeast"/>
        <w:jc w:val="both"/>
      </w:pPr>
      <w:bookmarkStart w:id="122" w:name="Bookmark_para_57"/>
      <w:bookmarkStart w:id="123" w:name="Bookmark_I590TCN628T4370020000400"/>
      <w:bookmarkEnd w:id="122"/>
      <w:bookmarkEnd w:id="123"/>
      <w:r>
        <w:rPr>
          <w:rFonts w:ascii="Times" w:eastAsia="Times" w:hAnsi="Times" w:cs="Times"/>
          <w:color w:val="000000"/>
          <w:sz w:val="20"/>
        </w:rPr>
        <w:t xml:space="preserve">Similarly, the record does not support adopting Bailey's "Industry Growth Scenario," as opposed to management's projections. </w:t>
      </w:r>
    </w:p>
    <w:p w14:paraId="4982B8FA" w14:textId="0858FFE9" w:rsidR="00303AAE" w:rsidRDefault="00E53B66" w:rsidP="007C65C5">
      <w:pPr>
        <w:pStyle w:val="Normal1"/>
        <w:widowControl w:val="0"/>
        <w:spacing w:before="200" w:line="260" w:lineRule="atLeast"/>
        <w:jc w:val="both"/>
      </w:pPr>
      <w:r>
        <w:rPr>
          <w:rFonts w:ascii="Times" w:eastAsia="Times" w:hAnsi="Times" w:cs="Times"/>
          <w:color w:val="000000"/>
          <w:sz w:val="20"/>
        </w:rPr>
        <w:t xml:space="preserve"> In his scenario, Bailey used industry</w:t>
      </w:r>
      <w:r>
        <w:rPr>
          <w:rFonts w:ascii="Times" w:eastAsia="Times" w:hAnsi="Times" w:cs="Times"/>
          <w:color w:val="000000"/>
          <w:sz w:val="18"/>
        </w:rPr>
        <w:t> [*42] </w:t>
      </w:r>
      <w:r>
        <w:rPr>
          <w:rFonts w:ascii="Times" w:eastAsia="Times" w:hAnsi="Times" w:cs="Times"/>
          <w:color w:val="000000"/>
          <w:sz w:val="20"/>
        </w:rPr>
        <w:t>growth rates to assume a compound annual growth rate ("CAGR") through 2015 of 17%, while the CAGR implicit in management's projections over the same period was only 12.1%. Notably, from 2006 to 2009, Cogent fell far short of industry growth rates in the biometrics industry.</w:t>
      </w:r>
      <w:r w:rsidR="00AE1279">
        <w:rPr>
          <w:rFonts w:ascii="Times" w:eastAsia="Times" w:hAnsi="Times" w:cs="Times"/>
          <w:color w:val="000000"/>
          <w:sz w:val="20"/>
        </w:rPr>
        <w:t xml:space="preserve"> </w:t>
      </w:r>
      <w:r>
        <w:rPr>
          <w:rFonts w:ascii="Times" w:eastAsia="Times" w:hAnsi="Times" w:cs="Times"/>
          <w:color w:val="000000"/>
          <w:sz w:val="20"/>
        </w:rPr>
        <w:t xml:space="preserve">Similarly, in 2010, management projected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revenues to grow by 8% (from $129.6 million in 2009 to $140 million in 2010).  In the first three quarters of 2010, however, Cogent had earned only $78.2 million in revenues.  If Cogent had maintained that pace for the final quarter of 2010,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2010 revenues would have been just $104.3 </w:t>
      </w:r>
      <w:proofErr w:type="gramStart"/>
      <w:r>
        <w:rPr>
          <w:rFonts w:ascii="Times" w:eastAsia="Times" w:hAnsi="Times" w:cs="Times"/>
          <w:color w:val="000000"/>
          <w:sz w:val="20"/>
        </w:rPr>
        <w:t>million,  resulting</w:t>
      </w:r>
      <w:proofErr w:type="gramEnd"/>
      <w:r>
        <w:rPr>
          <w:rFonts w:ascii="Times" w:eastAsia="Times" w:hAnsi="Times" w:cs="Times"/>
          <w:color w:val="000000"/>
          <w:sz w:val="20"/>
        </w:rPr>
        <w:t xml:space="preserve"> in negative year-on-year revenue growth between 2009 and 2010.</w:t>
      </w:r>
    </w:p>
    <w:p w14:paraId="36FF1CBF" w14:textId="77777777" w:rsidR="00303AAE" w:rsidRDefault="00E53B66">
      <w:pPr>
        <w:pStyle w:val="Normal1"/>
        <w:widowControl w:val="0"/>
        <w:spacing w:before="200" w:line="260" w:lineRule="atLeast"/>
        <w:jc w:val="both"/>
      </w:pPr>
      <w:bookmarkStart w:id="124" w:name="Bookmark_para_58"/>
      <w:bookmarkEnd w:id="124"/>
      <w:r>
        <w:rPr>
          <w:rFonts w:ascii="Times" w:eastAsia="Times" w:hAnsi="Times" w:cs="Times"/>
          <w:color w:val="000000"/>
          <w:sz w:val="20"/>
        </w:rPr>
        <w:t xml:space="preserve">Based on the evidence adduced at trial, Delaware's long-standing preference for management projections, and the absence of any persuasive evidence that Kim was at risk of losing his job, involved in another bid, or entangled in other </w:t>
      </w:r>
      <w:r>
        <w:rPr>
          <w:rFonts w:ascii="Times" w:eastAsia="Times" w:hAnsi="Times" w:cs="Times"/>
          <w:color w:val="000000"/>
          <w:sz w:val="20"/>
        </w:rPr>
        <w:lastRenderedPageBreak/>
        <w:t>extraordinary circumstances, I accept management's projections here as a reliable starting point for the DCF analysis in this case.</w:t>
      </w:r>
    </w:p>
    <w:p w14:paraId="73FEA1A0" w14:textId="77777777" w:rsidR="00303AAE" w:rsidRDefault="00E53B66">
      <w:pPr>
        <w:pStyle w:val="Normal1"/>
        <w:widowControl w:val="0"/>
        <w:spacing w:before="240" w:line="260" w:lineRule="atLeast"/>
      </w:pPr>
      <w:r>
        <w:rPr>
          <w:rFonts w:ascii="Times" w:eastAsia="Times" w:hAnsi="Times" w:cs="Times"/>
          <w:b/>
          <w:color w:val="000000"/>
          <w:sz w:val="20"/>
        </w:rPr>
        <w:t>a. Free cash flow adjustments</w:t>
      </w:r>
    </w:p>
    <w:p w14:paraId="0A8B79F4" w14:textId="77777777" w:rsidR="00303AAE" w:rsidRDefault="00E53B66">
      <w:pPr>
        <w:pStyle w:val="Normal1"/>
        <w:widowControl w:val="0"/>
        <w:spacing w:before="200" w:line="260" w:lineRule="atLeast"/>
        <w:jc w:val="both"/>
      </w:pPr>
      <w:bookmarkStart w:id="125" w:name="Bookmark_para_59"/>
      <w:bookmarkEnd w:id="125"/>
      <w:r>
        <w:rPr>
          <w:rFonts w:ascii="Times" w:eastAsia="Times" w:hAnsi="Times" w:cs="Times"/>
          <w:color w:val="000000"/>
          <w:sz w:val="20"/>
        </w:rPr>
        <w:t xml:space="preserve">In their respective DCF analyses, both Bailey and Owsley made adjustments to the free cash flows. First, Owsley deducted share based compensation ("SBC") from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projected cash flows, whereas Bailey did not. And second, Owsley increased working capital based on an assumption that Cogent would have working capital equal to 32.2% of revenues. Bailey, on the other hand, assumed that Cogent would need to retain only 22.9% of its incremental revenues as working capital. I examine each of those proposed adjustments next.</w:t>
      </w:r>
    </w:p>
    <w:p w14:paraId="23D23ED0" w14:textId="77777777" w:rsidR="00303AAE" w:rsidRDefault="00E53B66">
      <w:pPr>
        <w:pStyle w:val="Normal1"/>
        <w:widowControl w:val="0"/>
        <w:spacing w:before="240" w:line="260" w:lineRule="atLeast"/>
      </w:pPr>
      <w:proofErr w:type="spellStart"/>
      <w:r>
        <w:rPr>
          <w:rFonts w:ascii="Times" w:eastAsia="Times" w:hAnsi="Times" w:cs="Times"/>
          <w:b/>
          <w:color w:val="000000"/>
          <w:sz w:val="20"/>
        </w:rPr>
        <w:t>i</w:t>
      </w:r>
      <w:proofErr w:type="spellEnd"/>
      <w:r>
        <w:rPr>
          <w:rFonts w:ascii="Times" w:eastAsia="Times" w:hAnsi="Times" w:cs="Times"/>
          <w:b/>
          <w:color w:val="000000"/>
          <w:sz w:val="20"/>
        </w:rPr>
        <w:t>. Treatment of SBC</w:t>
      </w:r>
    </w:p>
    <w:p w14:paraId="53C07BBE" w14:textId="6E73C5B6" w:rsidR="00303AAE" w:rsidRDefault="00E53B66">
      <w:pPr>
        <w:pStyle w:val="Normal1"/>
        <w:widowControl w:val="0"/>
        <w:spacing w:before="200" w:line="260" w:lineRule="atLeast"/>
        <w:jc w:val="both"/>
      </w:pPr>
      <w:bookmarkStart w:id="126" w:name="Bookmark_para_60"/>
      <w:bookmarkStart w:id="127" w:name="Bookmark_I590TCN628T4380030000400"/>
      <w:bookmarkStart w:id="128" w:name="Bookmark_I590TCN62D6N680040000400"/>
      <w:bookmarkEnd w:id="126"/>
      <w:bookmarkEnd w:id="127"/>
      <w:bookmarkEnd w:id="128"/>
      <w:r>
        <w:rPr>
          <w:rFonts w:ascii="Times" w:eastAsia="Times" w:hAnsi="Times" w:cs="Times"/>
          <w:color w:val="000000"/>
          <w:sz w:val="20"/>
        </w:rPr>
        <w:t xml:space="preserve">Questions about the treatment </w:t>
      </w:r>
      <w:r>
        <w:rPr>
          <w:rFonts w:ascii="Times" w:eastAsia="Times" w:hAnsi="Times" w:cs="Times"/>
          <w:color w:val="000000"/>
          <w:sz w:val="18"/>
        </w:rPr>
        <w:t> [*44] </w:t>
      </w:r>
      <w:r>
        <w:rPr>
          <w:rFonts w:ascii="Times" w:eastAsia="Times" w:hAnsi="Times" w:cs="Times"/>
          <w:color w:val="000000"/>
          <w:sz w:val="20"/>
        </w:rPr>
        <w:t xml:space="preserve">of SBC often arise in this Court when fairness opinions fail to disclose whether the individual or entity rendering the opinion treated SBC as a non-cash expense in its DCF analysis. In those cases, the Court's standard practice has been to treat SBC as a non-cash expense. </w:t>
      </w:r>
    </w:p>
    <w:p w14:paraId="3C499899" w14:textId="72DDA8FD" w:rsidR="00303AAE" w:rsidRDefault="00E53B66">
      <w:pPr>
        <w:pStyle w:val="Normal1"/>
        <w:widowControl w:val="0"/>
        <w:spacing w:line="260" w:lineRule="atLeast"/>
        <w:jc w:val="both"/>
      </w:pPr>
      <w:r>
        <w:rPr>
          <w:rFonts w:ascii="Times" w:eastAsia="Times" w:hAnsi="Times" w:cs="Times"/>
          <w:color w:val="000000"/>
          <w:sz w:val="20"/>
        </w:rPr>
        <w:t xml:space="preserve"> Valuation literature also supports the view that a</w:t>
      </w:r>
      <w:r w:rsidR="00BE7437">
        <w:rPr>
          <w:rFonts w:ascii="Times" w:eastAsia="Times" w:hAnsi="Times" w:cs="Times"/>
          <w:color w:val="000000"/>
          <w:sz w:val="20"/>
        </w:rPr>
        <w:t xml:space="preserve"> non-qualified stock option plan</w:t>
      </w:r>
      <w:r>
        <w:rPr>
          <w:rFonts w:ascii="Times" w:eastAsia="Times" w:hAnsi="Times" w:cs="Times"/>
          <w:color w:val="000000"/>
          <w:sz w:val="20"/>
        </w:rPr>
        <w:t xml:space="preserve"> is cash neutral or cash flow positive. </w:t>
      </w:r>
      <w:r>
        <w:rPr>
          <w:rFonts w:ascii="Times" w:eastAsia="Times" w:hAnsi="Times" w:cs="Times"/>
          <w:vertAlign w:val="superscript"/>
        </w:rPr>
        <w:footnoteReference w:customMarkFollows="1" w:id="8"/>
        <w:t>113</w:t>
      </w:r>
    </w:p>
    <w:p w14:paraId="57ACBAAB" w14:textId="6CB12515" w:rsidR="00303AAE" w:rsidRDefault="00E53B66" w:rsidP="00715A0B">
      <w:pPr>
        <w:pStyle w:val="Normal1"/>
        <w:widowControl w:val="0"/>
        <w:spacing w:before="200" w:line="260" w:lineRule="atLeast"/>
        <w:jc w:val="both"/>
      </w:pPr>
      <w:bookmarkStart w:id="130" w:name="Bookmark_para_61"/>
      <w:bookmarkEnd w:id="130"/>
      <w:r>
        <w:rPr>
          <w:rFonts w:ascii="Times" w:eastAsia="Times" w:hAnsi="Times" w:cs="Times"/>
          <w:color w:val="000000"/>
          <w:sz w:val="20"/>
        </w:rPr>
        <w:t xml:space="preserve">Respondent's authority to the contrary is inapposite. 3M Cogent relies on a blog post by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that states, "It is absurd to add back stock-based compensation (it is an operating expense...)." </w:t>
      </w:r>
      <w:r>
        <w:rPr>
          <w:rFonts w:ascii="Times" w:eastAsia="Times" w:hAnsi="Times" w:cs="Times"/>
          <w:vertAlign w:val="superscript"/>
        </w:rPr>
        <w:footnoteReference w:customMarkFollows="1" w:id="9"/>
        <w:t>114</w:t>
      </w:r>
      <w:r>
        <w:rPr>
          <w:rFonts w:ascii="Times" w:eastAsia="Times" w:hAnsi="Times" w:cs="Times"/>
          <w:color w:val="000000"/>
          <w:sz w:val="20"/>
        </w:rPr>
        <w:t xml:space="preserve">That blog post, however, deals with the reporting of operating income, not the appropriate treatment of SBC for cash flow purposes. </w:t>
      </w:r>
    </w:p>
    <w:p w14:paraId="18820811" w14:textId="62E89615" w:rsidR="00303AAE" w:rsidRDefault="00E53B66">
      <w:pPr>
        <w:pStyle w:val="Normal1"/>
        <w:widowControl w:val="0"/>
        <w:spacing w:before="200" w:line="260" w:lineRule="atLeast"/>
        <w:jc w:val="both"/>
      </w:pPr>
      <w:r>
        <w:rPr>
          <w:rFonts w:ascii="Times" w:eastAsia="Times" w:hAnsi="Times" w:cs="Times"/>
          <w:color w:val="000000"/>
          <w:sz w:val="20"/>
        </w:rPr>
        <w:t xml:space="preserve"> I agree with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that it makes sense to adjust earnings to take into account the dilutive effect of SBC. Respondent has made no showing in this case, however, that SBC will have any effect on the actual cash flows of the Company. Therefore, I conclude that SBC should not be</w:t>
      </w:r>
      <w:r>
        <w:rPr>
          <w:rFonts w:ascii="Times" w:eastAsia="Times" w:hAnsi="Times" w:cs="Times"/>
          <w:color w:val="000000"/>
          <w:sz w:val="18"/>
        </w:rPr>
        <w:t> [*46] </w:t>
      </w:r>
      <w:r>
        <w:rPr>
          <w:rFonts w:ascii="Times" w:eastAsia="Times" w:hAnsi="Times" w:cs="Times"/>
          <w:color w:val="000000"/>
          <w:sz w:val="20"/>
        </w:rPr>
        <w:t xml:space="preserve">treated as a cash expense here. </w:t>
      </w:r>
    </w:p>
    <w:p w14:paraId="4F7C34C3" w14:textId="77777777" w:rsidR="00303AAE" w:rsidRDefault="00E53B66">
      <w:pPr>
        <w:pStyle w:val="Normal1"/>
        <w:widowControl w:val="0"/>
        <w:spacing w:before="240" w:line="260" w:lineRule="atLeast"/>
      </w:pPr>
      <w:r>
        <w:rPr>
          <w:rFonts w:ascii="Times" w:eastAsia="Times" w:hAnsi="Times" w:cs="Times"/>
          <w:b/>
          <w:color w:val="000000"/>
          <w:sz w:val="20"/>
        </w:rPr>
        <w:t>ii. Working capital adjustment</w:t>
      </w:r>
    </w:p>
    <w:p w14:paraId="6B010CB5" w14:textId="77777777" w:rsidR="00303AAE" w:rsidRDefault="00E53B66">
      <w:pPr>
        <w:pStyle w:val="Normal1"/>
        <w:widowControl w:val="0"/>
        <w:spacing w:before="200" w:line="260" w:lineRule="atLeast"/>
        <w:jc w:val="both"/>
      </w:pPr>
      <w:bookmarkStart w:id="132" w:name="Bookmark_para_62"/>
      <w:bookmarkStart w:id="133" w:name="Bookmark_I590TCN62HM6TD0010000400"/>
      <w:bookmarkStart w:id="134" w:name="Bookmark_LNHNREFclscc15"/>
      <w:bookmarkEnd w:id="132"/>
      <w:bookmarkEnd w:id="133"/>
      <w:bookmarkEnd w:id="134"/>
      <w:r>
        <w:rPr>
          <w:rFonts w:ascii="Times" w:eastAsia="Times" w:hAnsi="Times" w:cs="Times"/>
          <w:color w:val="000000"/>
          <w:sz w:val="20"/>
        </w:rPr>
        <w:t xml:space="preserve">"Working capital is derived by subtracting current liabilities from current assets and represents the capital the business has </w:t>
      </w:r>
      <w:r>
        <w:rPr>
          <w:rFonts w:ascii="Times" w:eastAsia="Times" w:hAnsi="Times" w:cs="Times"/>
          <w:color w:val="000000"/>
          <w:sz w:val="20"/>
        </w:rPr>
        <w:lastRenderedPageBreak/>
        <w:t xml:space="preserve">at its disposal to fund operations." </w:t>
      </w:r>
      <w:r>
        <w:rPr>
          <w:rFonts w:ascii="Times" w:eastAsia="Times" w:hAnsi="Times" w:cs="Times"/>
          <w:vertAlign w:val="superscript"/>
        </w:rPr>
        <w:footnoteReference w:customMarkFollows="1" w:id="10"/>
        <w:t>117</w:t>
      </w:r>
    </w:p>
    <w:p w14:paraId="22515CDD"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Both Petitioners and Respondent included in their revenue categories—</w:t>
      </w:r>
      <w:r>
        <w:rPr>
          <w:rFonts w:ascii="Times" w:eastAsia="Times" w:hAnsi="Times" w:cs="Times"/>
          <w:i/>
          <w:color w:val="000000"/>
          <w:sz w:val="20"/>
        </w:rPr>
        <w:t>i.e.</w:t>
      </w:r>
      <w:r>
        <w:rPr>
          <w:rFonts w:ascii="Times" w:eastAsia="Times" w:hAnsi="Times" w:cs="Times"/>
          <w:color w:val="000000"/>
          <w:sz w:val="20"/>
        </w:rPr>
        <w:t>, current assets—"billed accounts receivable," "unbilled accounts receivable," and "inventory and contracted related costs." They both also included in their liabilities category—</w:t>
      </w:r>
      <w:r>
        <w:rPr>
          <w:rFonts w:ascii="Times" w:eastAsia="Times" w:hAnsi="Times" w:cs="Times"/>
          <w:i/>
          <w:color w:val="000000"/>
          <w:sz w:val="20"/>
        </w:rPr>
        <w:t>i.e.</w:t>
      </w:r>
      <w:r>
        <w:rPr>
          <w:rFonts w:ascii="Times" w:eastAsia="Times" w:hAnsi="Times" w:cs="Times"/>
          <w:color w:val="000000"/>
          <w:sz w:val="20"/>
        </w:rPr>
        <w:t>, current liabilities—"accounts payable." The parties disagreed, however, as to the proper treatment of the following asset and liability categories for purposes of their working capital adjustment: "prepaid expenses," "long-term inventory and contracted related costs," "accrued expenses," and "other liabilities."</w:t>
      </w:r>
    </w:p>
    <w:p w14:paraId="70F8189C" w14:textId="66E85813" w:rsidR="00303AAE" w:rsidRDefault="00E53B66" w:rsidP="00D328CC">
      <w:pPr>
        <w:pStyle w:val="Normal1"/>
        <w:widowControl w:val="0"/>
        <w:spacing w:before="200" w:line="260" w:lineRule="atLeast"/>
        <w:jc w:val="both"/>
      </w:pPr>
      <w:bookmarkStart w:id="138" w:name="Bookmark_para_63"/>
      <w:bookmarkEnd w:id="138"/>
      <w:r>
        <w:rPr>
          <w:rFonts w:ascii="Times" w:eastAsia="Times" w:hAnsi="Times" w:cs="Times"/>
          <w:color w:val="000000"/>
          <w:sz w:val="20"/>
        </w:rPr>
        <w:t>The Gordian Experts criticized Bailey for including those accounts in his computation of working capital, describing them as "long-term" accounts and "subject to random movement."  At least one treatise, however, supports Bailey's view that working capital should include the disputed categories. That treatise states:</w:t>
      </w:r>
    </w:p>
    <w:p w14:paraId="78D50B3C" w14:textId="77777777" w:rsidR="00303AAE" w:rsidRDefault="00E53B66">
      <w:pPr>
        <w:pStyle w:val="Normal1"/>
        <w:widowControl w:val="0"/>
        <w:spacing w:line="260" w:lineRule="atLeast"/>
        <w:ind w:left="400"/>
        <w:jc w:val="both"/>
      </w:pPr>
      <w:bookmarkStart w:id="139" w:name="Bookmark_para_64"/>
      <w:bookmarkEnd w:id="139"/>
      <w:r>
        <w:rPr>
          <w:rFonts w:ascii="Times" w:eastAsia="Times" w:hAnsi="Times" w:cs="Times"/>
          <w:color w:val="000000"/>
          <w:sz w:val="20"/>
        </w:rPr>
        <w:t>Operating working capital equals operating current assets minus operating current liabilities. Operating current assets comprise all current assets necessary for the operation of the business, including working cash balances, trade accounts receivable, inventory, and prepaid expenses. Specifically excluded are excess cash and marketable securities—that is cash greater than the operating needs of the business. Excess cash represents temporary imbalances in the company's cash position . . . .</w:t>
      </w:r>
    </w:p>
    <w:p w14:paraId="201CF2A9" w14:textId="2598985E" w:rsidR="00303AAE" w:rsidRDefault="00E53B66">
      <w:pPr>
        <w:pStyle w:val="Normal1"/>
        <w:widowControl w:val="0"/>
        <w:spacing w:before="200" w:line="260" w:lineRule="atLeast"/>
        <w:ind w:left="400"/>
        <w:jc w:val="both"/>
      </w:pPr>
      <w:bookmarkStart w:id="140" w:name="Bookmark_para_65"/>
      <w:bookmarkEnd w:id="140"/>
      <w:r>
        <w:rPr>
          <w:rFonts w:ascii="Times" w:eastAsia="Times" w:hAnsi="Times" w:cs="Times"/>
          <w:color w:val="000000"/>
          <w:sz w:val="20"/>
        </w:rPr>
        <w:t>Operating current liabilities include those liabilities that are related to ongoing operations of the firm. The most common operating liabilities are those related to suppliers (accounts payable), employees (accrued salaries), customers (deferred revenue), and the government</w:t>
      </w:r>
      <w:proofErr w:type="gramStart"/>
      <w:r>
        <w:rPr>
          <w:rFonts w:ascii="Times" w:eastAsia="Times" w:hAnsi="Times" w:cs="Times"/>
          <w:color w:val="000000"/>
          <w:sz w:val="20"/>
        </w:rPr>
        <w:t xml:space="preserve"> </w:t>
      </w:r>
      <w:r>
        <w:rPr>
          <w:rFonts w:ascii="Times" w:eastAsia="Times" w:hAnsi="Times" w:cs="Times"/>
          <w:color w:val="000000"/>
          <w:sz w:val="18"/>
        </w:rPr>
        <w:t> </w:t>
      </w:r>
      <w:r w:rsidR="002705C9">
        <w:rPr>
          <w:rFonts w:ascii="Times" w:eastAsia="Times" w:hAnsi="Times" w:cs="Times"/>
          <w:color w:val="000000"/>
          <w:sz w:val="20"/>
        </w:rPr>
        <w:t xml:space="preserve"> </w:t>
      </w:r>
      <w:r>
        <w:rPr>
          <w:rFonts w:ascii="Times" w:eastAsia="Times" w:hAnsi="Times" w:cs="Times"/>
          <w:color w:val="000000"/>
          <w:sz w:val="20"/>
        </w:rPr>
        <w:t>(</w:t>
      </w:r>
      <w:proofErr w:type="gramEnd"/>
      <w:r>
        <w:rPr>
          <w:rFonts w:ascii="Times" w:eastAsia="Times" w:hAnsi="Times" w:cs="Times"/>
          <w:color w:val="000000"/>
          <w:sz w:val="20"/>
        </w:rPr>
        <w:t xml:space="preserve">income taxes payable). </w:t>
      </w:r>
      <w:r>
        <w:rPr>
          <w:rFonts w:ascii="Times" w:eastAsia="Times" w:hAnsi="Times" w:cs="Times"/>
          <w:vertAlign w:val="superscript"/>
        </w:rPr>
        <w:footnoteReference w:customMarkFollows="1" w:id="11"/>
        <w:t>119</w:t>
      </w:r>
    </w:p>
    <w:p w14:paraId="11960C99" w14:textId="6F2B632C" w:rsidR="00303AAE" w:rsidRDefault="00E53B66">
      <w:pPr>
        <w:pStyle w:val="Normal1"/>
        <w:widowControl w:val="0"/>
        <w:spacing w:line="260" w:lineRule="atLeast"/>
        <w:jc w:val="both"/>
      </w:pPr>
      <w:r>
        <w:rPr>
          <w:rFonts w:ascii="Times" w:eastAsia="Times" w:hAnsi="Times" w:cs="Times"/>
          <w:color w:val="000000"/>
          <w:sz w:val="20"/>
        </w:rPr>
        <w:t xml:space="preserve">Rather than relying on any professional or academic valuation literature, the Gordian Experts characterize their position as a "judgment" based on their "experience in looking at many companies and many projections." </w:t>
      </w:r>
    </w:p>
    <w:p w14:paraId="4A895A82" w14:textId="78ED1407" w:rsidR="00303AAE" w:rsidRDefault="00E53B66" w:rsidP="00B83DCC">
      <w:pPr>
        <w:pStyle w:val="Normal1"/>
        <w:widowControl w:val="0"/>
        <w:spacing w:before="200" w:line="260" w:lineRule="atLeast"/>
        <w:jc w:val="both"/>
      </w:pPr>
      <w:bookmarkStart w:id="142" w:name="Bookmark_para_66"/>
      <w:bookmarkEnd w:id="142"/>
      <w:r>
        <w:rPr>
          <w:rFonts w:ascii="Times" w:eastAsia="Times" w:hAnsi="Times" w:cs="Times"/>
          <w:color w:val="000000"/>
          <w:sz w:val="20"/>
        </w:rPr>
        <w:t>Bailey's approach appears to be well supported and generally accepted by the financial community. The explanation proffered by the Gordian Experts for their approach, on the other hand, was essentially conclusory. Based on the strong support for his view, I adopt Bailey's approach and assume that Cogent will need working capital equal to 22.9% of incremental revenues.</w:t>
      </w:r>
    </w:p>
    <w:p w14:paraId="126212FB" w14:textId="77777777" w:rsidR="00303AAE" w:rsidRDefault="00E53B66">
      <w:pPr>
        <w:pStyle w:val="Normal1"/>
        <w:widowControl w:val="0"/>
        <w:spacing w:before="240" w:line="260" w:lineRule="atLeast"/>
      </w:pPr>
      <w:r>
        <w:rPr>
          <w:rFonts w:ascii="Times" w:eastAsia="Times" w:hAnsi="Times" w:cs="Times"/>
          <w:b/>
          <w:color w:val="000000"/>
          <w:sz w:val="20"/>
        </w:rPr>
        <w:lastRenderedPageBreak/>
        <w:t>b. Unlevered free cash flows</w:t>
      </w:r>
    </w:p>
    <w:p w14:paraId="577EF449" w14:textId="3A264788" w:rsidR="00303AAE" w:rsidRDefault="00E53B66">
      <w:pPr>
        <w:pStyle w:val="Normal1"/>
        <w:widowControl w:val="0"/>
        <w:spacing w:before="200" w:line="260" w:lineRule="atLeast"/>
        <w:jc w:val="both"/>
      </w:pPr>
      <w:bookmarkStart w:id="143" w:name="Bookmark_para_67"/>
      <w:bookmarkEnd w:id="143"/>
      <w:r>
        <w:rPr>
          <w:rFonts w:ascii="Times" w:eastAsia="Times" w:hAnsi="Times" w:cs="Times"/>
          <w:color w:val="000000"/>
          <w:sz w:val="20"/>
        </w:rPr>
        <w:t xml:space="preserve">The following table reflects the projections of unlevered free cash flows that the Court intends to use in conducting a </w:t>
      </w:r>
      <w:proofErr w:type="gramStart"/>
      <w:r>
        <w:rPr>
          <w:rFonts w:ascii="Times" w:eastAsia="Times" w:hAnsi="Times" w:cs="Times"/>
          <w:color w:val="000000"/>
          <w:sz w:val="20"/>
        </w:rPr>
        <w:t xml:space="preserve">DCF </w:t>
      </w:r>
      <w:r>
        <w:rPr>
          <w:rFonts w:ascii="Times" w:eastAsia="Times" w:hAnsi="Times" w:cs="Times"/>
          <w:color w:val="000000"/>
          <w:sz w:val="18"/>
        </w:rPr>
        <w:t> </w:t>
      </w:r>
      <w:r>
        <w:rPr>
          <w:rFonts w:ascii="Times" w:eastAsia="Times" w:hAnsi="Times" w:cs="Times"/>
          <w:color w:val="000000"/>
          <w:sz w:val="20"/>
        </w:rPr>
        <w:t>analysis</w:t>
      </w:r>
      <w:proofErr w:type="gramEnd"/>
      <w:r>
        <w:rPr>
          <w:rFonts w:ascii="Times" w:eastAsia="Times" w:hAnsi="Times" w:cs="Times"/>
          <w:color w:val="000000"/>
          <w:sz w:val="20"/>
        </w:rPr>
        <w:t xml:space="preserve"> here. These projections incorporate the SBC and working capital adjustments discussed above.</w:t>
      </w:r>
    </w:p>
    <w:p w14:paraId="3C6E6AD6" w14:textId="7A6B4070" w:rsidR="00303AAE" w:rsidRDefault="009A051E">
      <w:pPr>
        <w:pStyle w:val="Normal1"/>
        <w:widowControl w:val="0"/>
        <w:spacing w:before="240" w:line="260" w:lineRule="atLeast"/>
      </w:pPr>
      <w:r>
        <w:rPr>
          <w:noProof/>
        </w:rPr>
        <w:drawing>
          <wp:inline distT="0" distB="0" distL="0" distR="0" wp14:anchorId="3700D2D8" wp14:editId="5F2DC855">
            <wp:extent cx="191135" cy="191135"/>
            <wp:effectExtent l="0" t="0" r="1206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bookmarkStart w:id="144" w:name="Table1_insert"/>
      <w:r w:rsidR="00E53B66">
        <w:fldChar w:fldCharType="begin"/>
      </w:r>
      <w:r w:rsidR="00E53B66">
        <w:instrText xml:space="preserve"> HYPERLINK  "" \l Table1</w:instrText>
      </w:r>
      <w:r w:rsidR="00E53B66">
        <w:fldChar w:fldCharType="separate"/>
      </w:r>
      <w:r w:rsidR="00E53B66">
        <w:rPr>
          <w:rFonts w:ascii="Times" w:eastAsia="Times" w:hAnsi="Times" w:cs="Times"/>
          <w:color w:val="0077CC"/>
          <w:sz w:val="20"/>
          <w:u w:val="single"/>
        </w:rPr>
        <w:t>Go to table1</w:t>
      </w:r>
      <w:r w:rsidR="00E53B66">
        <w:fldChar w:fldCharType="end"/>
      </w:r>
      <w:bookmarkEnd w:id="144"/>
    </w:p>
    <w:p w14:paraId="7305772B" w14:textId="77777777" w:rsidR="00303AAE" w:rsidRDefault="00E53B66">
      <w:pPr>
        <w:pStyle w:val="Normal1"/>
        <w:widowControl w:val="0"/>
        <w:spacing w:before="240" w:line="260" w:lineRule="atLeast"/>
      </w:pPr>
      <w:r>
        <w:rPr>
          <w:rFonts w:ascii="Times" w:eastAsia="Times" w:hAnsi="Times" w:cs="Times"/>
          <w:b/>
          <w:color w:val="000000"/>
          <w:sz w:val="20"/>
        </w:rPr>
        <w:t xml:space="preserve">2. </w:t>
      </w:r>
      <w:proofErr w:type="spellStart"/>
      <w:r>
        <w:rPr>
          <w:rFonts w:ascii="Times" w:eastAsia="Times" w:hAnsi="Times" w:cs="Times"/>
          <w:b/>
          <w:color w:val="000000"/>
          <w:sz w:val="20"/>
        </w:rPr>
        <w:t>Cogent's</w:t>
      </w:r>
      <w:proofErr w:type="spellEnd"/>
      <w:r>
        <w:rPr>
          <w:rFonts w:ascii="Times" w:eastAsia="Times" w:hAnsi="Times" w:cs="Times"/>
          <w:b/>
          <w:color w:val="000000"/>
          <w:sz w:val="20"/>
        </w:rPr>
        <w:t xml:space="preserve"> cost of capital</w:t>
      </w:r>
    </w:p>
    <w:p w14:paraId="33B9AE40" w14:textId="77777777" w:rsidR="00303AAE" w:rsidRDefault="00E53B66">
      <w:pPr>
        <w:pStyle w:val="Normal1"/>
        <w:widowControl w:val="0"/>
        <w:spacing w:before="200" w:line="260" w:lineRule="atLeast"/>
        <w:jc w:val="both"/>
      </w:pPr>
      <w:bookmarkStart w:id="145" w:name="Bookmark_para_68"/>
      <w:bookmarkEnd w:id="145"/>
      <w:r>
        <w:rPr>
          <w:rFonts w:ascii="Times" w:eastAsia="Times" w:hAnsi="Times" w:cs="Times"/>
          <w:color w:val="000000"/>
          <w:sz w:val="20"/>
        </w:rPr>
        <w:t>To discount the cash flow projections for the Company to present value, the experts for both sides computed their respective weighted average costs of capital ("WACC"). The formula used to derive WACC is:</w:t>
      </w:r>
    </w:p>
    <w:p w14:paraId="6EFB6215" w14:textId="050697CA" w:rsidR="00303AAE" w:rsidRDefault="00E53B66" w:rsidP="00F01A4D">
      <w:pPr>
        <w:pStyle w:val="Normal1"/>
        <w:widowControl w:val="0"/>
        <w:spacing w:before="200" w:line="260" w:lineRule="atLeast"/>
        <w:ind w:left="400"/>
        <w:jc w:val="both"/>
      </w:pPr>
      <w:bookmarkStart w:id="146" w:name="Bookmark_para_69"/>
      <w:bookmarkStart w:id="147" w:name="Bookmark_I590TCN62HM6TF0030000400"/>
      <w:bookmarkEnd w:id="146"/>
      <w:bookmarkEnd w:id="147"/>
      <w:r>
        <w:rPr>
          <w:rFonts w:ascii="Times" w:eastAsia="Times" w:hAnsi="Times" w:cs="Times"/>
          <w:i/>
          <w:color w:val="000000"/>
          <w:sz w:val="20"/>
        </w:rPr>
        <w:t>WACC</w:t>
      </w:r>
      <w:r>
        <w:rPr>
          <w:rFonts w:ascii="Times" w:eastAsia="Times" w:hAnsi="Times" w:cs="Times"/>
          <w:color w:val="000000"/>
          <w:sz w:val="20"/>
        </w:rPr>
        <w:t xml:space="preserve"> = [</w:t>
      </w:r>
      <w:r>
        <w:rPr>
          <w:rFonts w:ascii="Times" w:eastAsia="Times" w:hAnsi="Times" w:cs="Times"/>
          <w:i/>
          <w:color w:val="000000"/>
          <w:sz w:val="20"/>
        </w:rPr>
        <w:t>K</w:t>
      </w:r>
      <w:r w:rsidRPr="002705C9">
        <w:rPr>
          <w:rFonts w:ascii="Times" w:eastAsia="Times" w:hAnsi="Times" w:cs="Times"/>
          <w:i/>
          <w:color w:val="000000"/>
          <w:sz w:val="20"/>
          <w:vertAlign w:val="subscript"/>
        </w:rPr>
        <w:t>D</w:t>
      </w:r>
      <w:r>
        <w:rPr>
          <w:rFonts w:ascii="Times" w:eastAsia="Times" w:hAnsi="Times" w:cs="Times"/>
          <w:color w:val="000000"/>
          <w:sz w:val="20"/>
        </w:rPr>
        <w:t xml:space="preserve"> x </w:t>
      </w:r>
      <w:r>
        <w:rPr>
          <w:rFonts w:ascii="Times" w:eastAsia="Times" w:hAnsi="Times" w:cs="Times"/>
          <w:i/>
          <w:color w:val="000000"/>
          <w:sz w:val="20"/>
        </w:rPr>
        <w:t>W</w:t>
      </w:r>
      <w:r w:rsidRPr="002705C9">
        <w:rPr>
          <w:rFonts w:ascii="Times" w:eastAsia="Times" w:hAnsi="Times" w:cs="Times"/>
          <w:i/>
          <w:color w:val="000000"/>
          <w:sz w:val="20"/>
          <w:vertAlign w:val="subscript"/>
        </w:rPr>
        <w:t>D</w:t>
      </w:r>
      <w:r w:rsidRPr="002705C9">
        <w:rPr>
          <w:rFonts w:ascii="Times" w:eastAsia="Times" w:hAnsi="Times" w:cs="Times"/>
          <w:color w:val="000000"/>
          <w:sz w:val="20"/>
          <w:vertAlign w:val="subscript"/>
        </w:rPr>
        <w:t xml:space="preserve"> </w:t>
      </w:r>
      <w:r>
        <w:rPr>
          <w:rFonts w:ascii="Times" w:eastAsia="Times" w:hAnsi="Times" w:cs="Times"/>
          <w:color w:val="000000"/>
          <w:sz w:val="20"/>
        </w:rPr>
        <w:t>(1-</w:t>
      </w:r>
      <w:r>
        <w:rPr>
          <w:rFonts w:ascii="Times" w:eastAsia="Times" w:hAnsi="Times" w:cs="Times"/>
          <w:i/>
          <w:color w:val="000000"/>
          <w:sz w:val="20"/>
        </w:rPr>
        <w:t>t</w:t>
      </w:r>
      <w:r w:rsidR="00BD4C0C">
        <w:rPr>
          <w:rFonts w:ascii="Times" w:eastAsia="Times" w:hAnsi="Times" w:cs="Times"/>
          <w:color w:val="000000"/>
          <w:sz w:val="20"/>
        </w:rPr>
        <w:t xml:space="preserve">)] + </w:t>
      </w:r>
      <w:r>
        <w:rPr>
          <w:rFonts w:ascii="Times" w:eastAsia="Times" w:hAnsi="Times" w:cs="Times"/>
          <w:color w:val="000000"/>
          <w:sz w:val="20"/>
        </w:rPr>
        <w:t>(</w:t>
      </w:r>
      <w:r>
        <w:rPr>
          <w:rFonts w:ascii="Times" w:eastAsia="Times" w:hAnsi="Times" w:cs="Times"/>
          <w:i/>
          <w:color w:val="000000"/>
          <w:sz w:val="20"/>
        </w:rPr>
        <w:t>K</w:t>
      </w:r>
      <w:r w:rsidRPr="002705C9">
        <w:rPr>
          <w:rFonts w:ascii="Times" w:eastAsia="Times" w:hAnsi="Times" w:cs="Times"/>
          <w:i/>
          <w:color w:val="000000"/>
          <w:sz w:val="20"/>
          <w:vertAlign w:val="subscript"/>
        </w:rPr>
        <w:t>E</w:t>
      </w:r>
      <w:r>
        <w:rPr>
          <w:rFonts w:ascii="Times" w:eastAsia="Times" w:hAnsi="Times" w:cs="Times"/>
          <w:color w:val="000000"/>
          <w:sz w:val="20"/>
        </w:rPr>
        <w:t xml:space="preserve"> x </w:t>
      </w:r>
      <w:r>
        <w:rPr>
          <w:rFonts w:ascii="Times" w:eastAsia="Times" w:hAnsi="Times" w:cs="Times"/>
          <w:i/>
          <w:color w:val="000000"/>
          <w:sz w:val="20"/>
        </w:rPr>
        <w:t>W</w:t>
      </w:r>
      <w:r w:rsidRPr="002705C9">
        <w:rPr>
          <w:rFonts w:ascii="Times" w:eastAsia="Times" w:hAnsi="Times" w:cs="Times"/>
          <w:i/>
          <w:color w:val="000000"/>
          <w:sz w:val="20"/>
          <w:vertAlign w:val="subscript"/>
        </w:rPr>
        <w:t>E</w:t>
      </w:r>
      <w:r>
        <w:rPr>
          <w:rFonts w:ascii="Times" w:eastAsia="Times" w:hAnsi="Times" w:cs="Times"/>
          <w:color w:val="000000"/>
          <w:sz w:val="20"/>
        </w:rPr>
        <w:t xml:space="preserve">) </w:t>
      </w:r>
    </w:p>
    <w:p w14:paraId="2E957C4D" w14:textId="2C86CB01" w:rsidR="00303AAE" w:rsidRDefault="00E53B66" w:rsidP="00F01A4D">
      <w:pPr>
        <w:pStyle w:val="Normal1"/>
        <w:widowControl w:val="0"/>
        <w:spacing w:before="200" w:line="260" w:lineRule="atLeast"/>
        <w:ind w:left="400"/>
        <w:jc w:val="both"/>
      </w:pPr>
      <w:bookmarkStart w:id="148" w:name="Bookmark_para_70"/>
      <w:bookmarkEnd w:id="148"/>
      <w:r>
        <w:rPr>
          <w:rFonts w:ascii="Times" w:eastAsia="Times" w:hAnsi="Times" w:cs="Times"/>
          <w:color w:val="000000"/>
          <w:sz w:val="20"/>
        </w:rPr>
        <w:t xml:space="preserve">Where </w:t>
      </w:r>
      <w:r>
        <w:rPr>
          <w:rFonts w:ascii="Times" w:eastAsia="Times" w:hAnsi="Times" w:cs="Times"/>
          <w:i/>
          <w:color w:val="000000"/>
          <w:sz w:val="20"/>
        </w:rPr>
        <w:t>K</w:t>
      </w:r>
      <w:r w:rsidRPr="002705C9">
        <w:rPr>
          <w:rFonts w:ascii="Times" w:eastAsia="Times" w:hAnsi="Times" w:cs="Times"/>
          <w:i/>
          <w:color w:val="000000"/>
          <w:sz w:val="20"/>
          <w:vertAlign w:val="subscript"/>
        </w:rPr>
        <w:t>D</w:t>
      </w:r>
      <w:r>
        <w:rPr>
          <w:rFonts w:ascii="Times" w:eastAsia="Times" w:hAnsi="Times" w:cs="Times"/>
          <w:color w:val="000000"/>
          <w:sz w:val="20"/>
        </w:rPr>
        <w:t xml:space="preserve"> = Cost of debt capital</w:t>
      </w:r>
    </w:p>
    <w:p w14:paraId="04E978A5" w14:textId="2F78E216" w:rsidR="00303AAE" w:rsidRDefault="00E53B66" w:rsidP="00F01A4D">
      <w:pPr>
        <w:pStyle w:val="Normal1"/>
        <w:widowControl w:val="0"/>
        <w:spacing w:before="200" w:line="260" w:lineRule="atLeast"/>
        <w:ind w:left="400"/>
        <w:jc w:val="both"/>
      </w:pPr>
      <w:bookmarkStart w:id="149" w:name="Bookmark_para_71"/>
      <w:bookmarkEnd w:id="149"/>
      <w:r>
        <w:rPr>
          <w:rFonts w:ascii="Times" w:eastAsia="Times" w:hAnsi="Times" w:cs="Times"/>
          <w:color w:val="000000"/>
          <w:sz w:val="20"/>
        </w:rPr>
        <w:t xml:space="preserve">Where </w:t>
      </w:r>
      <w:r>
        <w:rPr>
          <w:rFonts w:ascii="Times" w:eastAsia="Times" w:hAnsi="Times" w:cs="Times"/>
          <w:i/>
          <w:color w:val="000000"/>
          <w:sz w:val="20"/>
        </w:rPr>
        <w:t>W</w:t>
      </w:r>
      <w:r w:rsidRPr="002705C9">
        <w:rPr>
          <w:rFonts w:ascii="Times" w:eastAsia="Times" w:hAnsi="Times" w:cs="Times"/>
          <w:i/>
          <w:color w:val="000000"/>
          <w:sz w:val="20"/>
          <w:vertAlign w:val="subscript"/>
        </w:rPr>
        <w:t>D</w:t>
      </w:r>
      <w:r>
        <w:rPr>
          <w:rFonts w:ascii="Times" w:eastAsia="Times" w:hAnsi="Times" w:cs="Times"/>
          <w:color w:val="000000"/>
          <w:sz w:val="20"/>
        </w:rPr>
        <w:t xml:space="preserve"> = Average weight of debt in capital structure</w:t>
      </w:r>
    </w:p>
    <w:p w14:paraId="0BC6044C" w14:textId="77777777" w:rsidR="00303AAE" w:rsidRDefault="00E53B66">
      <w:pPr>
        <w:pStyle w:val="Normal1"/>
        <w:widowControl w:val="0"/>
        <w:spacing w:before="200" w:line="260" w:lineRule="atLeast"/>
        <w:ind w:left="400"/>
        <w:jc w:val="both"/>
      </w:pPr>
      <w:bookmarkStart w:id="150" w:name="Bookmark_para_72"/>
      <w:bookmarkEnd w:id="150"/>
      <w:r>
        <w:rPr>
          <w:rFonts w:ascii="Times" w:eastAsia="Times" w:hAnsi="Times" w:cs="Times"/>
          <w:i/>
          <w:color w:val="000000"/>
          <w:sz w:val="20"/>
        </w:rPr>
        <w:t>t</w:t>
      </w:r>
      <w:r>
        <w:rPr>
          <w:rFonts w:ascii="Times" w:eastAsia="Times" w:hAnsi="Times" w:cs="Times"/>
          <w:color w:val="000000"/>
          <w:sz w:val="20"/>
        </w:rPr>
        <w:t xml:space="preserve"> = Effective tax rate for the company</w:t>
      </w:r>
    </w:p>
    <w:p w14:paraId="72039886" w14:textId="4B863ABC" w:rsidR="00303AAE" w:rsidRDefault="00E53B66" w:rsidP="00F01A4D">
      <w:pPr>
        <w:pStyle w:val="Normal1"/>
        <w:widowControl w:val="0"/>
        <w:spacing w:before="200" w:line="260" w:lineRule="atLeast"/>
        <w:ind w:left="400"/>
        <w:jc w:val="both"/>
      </w:pPr>
      <w:bookmarkStart w:id="151" w:name="Bookmark_para_73"/>
      <w:bookmarkEnd w:id="151"/>
      <w:r>
        <w:rPr>
          <w:rFonts w:ascii="Times" w:eastAsia="Times" w:hAnsi="Times" w:cs="Times"/>
          <w:i/>
          <w:color w:val="000000"/>
          <w:sz w:val="20"/>
        </w:rPr>
        <w:t>K</w:t>
      </w:r>
      <w:r w:rsidRPr="002705C9">
        <w:rPr>
          <w:rFonts w:ascii="Times" w:eastAsia="Times" w:hAnsi="Times" w:cs="Times"/>
          <w:i/>
          <w:color w:val="000000"/>
          <w:sz w:val="20"/>
          <w:vertAlign w:val="subscript"/>
        </w:rPr>
        <w:t>E</w:t>
      </w:r>
      <w:r>
        <w:rPr>
          <w:rFonts w:ascii="Times" w:eastAsia="Times" w:hAnsi="Times" w:cs="Times"/>
          <w:color w:val="000000"/>
          <w:sz w:val="20"/>
        </w:rPr>
        <w:t xml:space="preserve"> = Cost of equity capital</w:t>
      </w:r>
    </w:p>
    <w:p w14:paraId="70A02997" w14:textId="778828D8" w:rsidR="00303AAE" w:rsidRDefault="00E53B66" w:rsidP="00F01A4D">
      <w:pPr>
        <w:pStyle w:val="Normal1"/>
        <w:widowControl w:val="0"/>
        <w:spacing w:before="200" w:line="260" w:lineRule="atLeast"/>
        <w:ind w:left="400"/>
        <w:jc w:val="both"/>
      </w:pPr>
      <w:bookmarkStart w:id="152" w:name="Bookmark_para_74"/>
      <w:bookmarkEnd w:id="152"/>
      <w:r>
        <w:rPr>
          <w:rFonts w:ascii="Times" w:eastAsia="Times" w:hAnsi="Times" w:cs="Times"/>
          <w:i/>
          <w:color w:val="000000"/>
          <w:sz w:val="20"/>
        </w:rPr>
        <w:t>W</w:t>
      </w:r>
      <w:r w:rsidRPr="002705C9">
        <w:rPr>
          <w:rFonts w:ascii="Times" w:eastAsia="Times" w:hAnsi="Times" w:cs="Times"/>
          <w:i/>
          <w:color w:val="000000"/>
          <w:sz w:val="20"/>
          <w:vertAlign w:val="subscript"/>
        </w:rPr>
        <w:t>E</w:t>
      </w:r>
      <w:r>
        <w:rPr>
          <w:rFonts w:ascii="Times" w:eastAsia="Times" w:hAnsi="Times" w:cs="Times"/>
          <w:color w:val="000000"/>
          <w:sz w:val="20"/>
        </w:rPr>
        <w:t xml:space="preserve"> = Average weight of equity capital in capital structure</w:t>
      </w:r>
    </w:p>
    <w:p w14:paraId="4B688156" w14:textId="00D9A83F" w:rsidR="00303AAE" w:rsidRDefault="00E53B66">
      <w:pPr>
        <w:pStyle w:val="Normal1"/>
        <w:widowControl w:val="0"/>
        <w:spacing w:before="200" w:line="260" w:lineRule="atLeast"/>
        <w:jc w:val="both"/>
      </w:pPr>
      <w:bookmarkStart w:id="153" w:name="Bookmark_para_75"/>
      <w:bookmarkEnd w:id="153"/>
      <w:r>
        <w:rPr>
          <w:rFonts w:ascii="Times" w:eastAsia="Times" w:hAnsi="Times" w:cs="Times"/>
          <w:color w:val="000000"/>
          <w:sz w:val="20"/>
        </w:rPr>
        <w:t xml:space="preserve">Where the capital structure is 100% equity and 0% debt, as is the case here, WACC is equal to the cost of equity. </w:t>
      </w:r>
    </w:p>
    <w:p w14:paraId="0336A746" w14:textId="06BF4F1F" w:rsidR="00303AAE" w:rsidRDefault="00E53B66">
      <w:pPr>
        <w:pStyle w:val="Normal1"/>
        <w:widowControl w:val="0"/>
        <w:spacing w:before="200" w:line="260" w:lineRule="atLeast"/>
        <w:jc w:val="both"/>
      </w:pPr>
      <w:r>
        <w:rPr>
          <w:rFonts w:ascii="Times" w:eastAsia="Times" w:hAnsi="Times" w:cs="Times"/>
          <w:color w:val="000000"/>
          <w:sz w:val="20"/>
        </w:rPr>
        <w:t xml:space="preserve"> To calculate the cost of equity capital, the experts for both Petitioners</w:t>
      </w:r>
      <w:r w:rsidR="00C262A4">
        <w:rPr>
          <w:rFonts w:ascii="Times" w:eastAsia="Times" w:hAnsi="Times" w:cs="Times"/>
          <w:color w:val="000000"/>
          <w:sz w:val="20"/>
        </w:rPr>
        <w:t xml:space="preserve"> </w:t>
      </w:r>
      <w:r>
        <w:rPr>
          <w:rFonts w:ascii="Times" w:eastAsia="Times" w:hAnsi="Times" w:cs="Times"/>
          <w:color w:val="000000"/>
          <w:sz w:val="20"/>
        </w:rPr>
        <w:t>and Respondent used the Capital Asset Pricing Model, or CAPM, which can be expressed as:</w:t>
      </w:r>
    </w:p>
    <w:p w14:paraId="0415026B" w14:textId="68F9D9DA" w:rsidR="00303AAE" w:rsidRDefault="00E53B66" w:rsidP="002705C9">
      <w:pPr>
        <w:pStyle w:val="Normal1"/>
        <w:widowControl w:val="0"/>
        <w:spacing w:before="200" w:line="260" w:lineRule="atLeast"/>
        <w:ind w:left="400"/>
        <w:jc w:val="both"/>
      </w:pPr>
      <w:bookmarkStart w:id="154" w:name="Bookmark_para_76"/>
      <w:bookmarkStart w:id="155" w:name="Bookmark_I590TCN628T43B0020000400"/>
      <w:bookmarkEnd w:id="154"/>
      <w:bookmarkEnd w:id="155"/>
      <w:r>
        <w:rPr>
          <w:rFonts w:ascii="Times" w:eastAsia="Times" w:hAnsi="Times" w:cs="Times"/>
          <w:i/>
          <w:color w:val="000000"/>
          <w:sz w:val="20"/>
        </w:rPr>
        <w:t>K</w:t>
      </w:r>
      <w:r w:rsidRPr="002705C9">
        <w:rPr>
          <w:rFonts w:ascii="Times" w:eastAsia="Times" w:hAnsi="Times" w:cs="Times"/>
          <w:i/>
          <w:color w:val="000000"/>
          <w:sz w:val="20"/>
          <w:vertAlign w:val="subscript"/>
        </w:rPr>
        <w:t>E</w:t>
      </w:r>
      <w:r>
        <w:rPr>
          <w:rFonts w:ascii="Times" w:eastAsia="Times" w:hAnsi="Times" w:cs="Times"/>
          <w:color w:val="000000"/>
          <w:sz w:val="20"/>
        </w:rPr>
        <w:t xml:space="preserve"> = </w:t>
      </w:r>
      <w:r>
        <w:rPr>
          <w:rFonts w:ascii="Times" w:eastAsia="Times" w:hAnsi="Times" w:cs="Times"/>
          <w:i/>
          <w:color w:val="000000"/>
          <w:sz w:val="20"/>
        </w:rPr>
        <w:t>R</w:t>
      </w:r>
      <w:r w:rsidRPr="002705C9">
        <w:rPr>
          <w:rFonts w:ascii="Times" w:eastAsia="Times" w:hAnsi="Times" w:cs="Times"/>
          <w:i/>
          <w:color w:val="000000"/>
          <w:sz w:val="20"/>
          <w:vertAlign w:val="subscript"/>
        </w:rPr>
        <w:t>F</w:t>
      </w:r>
      <w:r>
        <w:rPr>
          <w:rFonts w:ascii="Times" w:eastAsia="Times" w:hAnsi="Times" w:cs="Times"/>
          <w:color w:val="000000"/>
          <w:sz w:val="20"/>
        </w:rPr>
        <w:t xml:space="preserve"> + (</w:t>
      </w:r>
      <w:r>
        <w:rPr>
          <w:rFonts w:ascii="Times" w:eastAsia="Times" w:hAnsi="Times" w:cs="Times"/>
          <w:i/>
          <w:color w:val="000000"/>
          <w:sz w:val="20"/>
        </w:rPr>
        <w:t>β</w:t>
      </w:r>
      <w:r>
        <w:rPr>
          <w:rFonts w:ascii="Times" w:eastAsia="Times" w:hAnsi="Times" w:cs="Times"/>
          <w:color w:val="000000"/>
          <w:sz w:val="20"/>
        </w:rPr>
        <w:t xml:space="preserve"> x </w:t>
      </w:r>
      <w:r>
        <w:rPr>
          <w:rFonts w:ascii="Times" w:eastAsia="Times" w:hAnsi="Times" w:cs="Times"/>
          <w:i/>
          <w:color w:val="000000"/>
          <w:sz w:val="20"/>
        </w:rPr>
        <w:t>R</w:t>
      </w:r>
      <w:r w:rsidRPr="002705C9">
        <w:rPr>
          <w:rFonts w:ascii="Times" w:eastAsia="Times" w:hAnsi="Times" w:cs="Times"/>
          <w:i/>
          <w:color w:val="000000"/>
          <w:sz w:val="20"/>
          <w:vertAlign w:val="subscript"/>
        </w:rPr>
        <w:t>ERP</w:t>
      </w:r>
      <w:r>
        <w:rPr>
          <w:rFonts w:ascii="Times" w:eastAsia="Times" w:hAnsi="Times" w:cs="Times"/>
          <w:color w:val="000000"/>
          <w:sz w:val="20"/>
        </w:rPr>
        <w:t xml:space="preserve">) + </w:t>
      </w:r>
      <w:r>
        <w:rPr>
          <w:rFonts w:ascii="Times" w:eastAsia="Times" w:hAnsi="Times" w:cs="Times"/>
          <w:i/>
          <w:color w:val="000000"/>
          <w:sz w:val="20"/>
        </w:rPr>
        <w:t>R</w:t>
      </w:r>
      <w:r w:rsidRPr="002705C9">
        <w:rPr>
          <w:rFonts w:ascii="Times" w:eastAsia="Times" w:hAnsi="Times" w:cs="Times"/>
          <w:i/>
          <w:color w:val="000000"/>
          <w:sz w:val="20"/>
          <w:vertAlign w:val="subscript"/>
        </w:rPr>
        <w:t>ESP</w:t>
      </w:r>
      <w:r>
        <w:rPr>
          <w:rFonts w:ascii="Times" w:eastAsia="Times" w:hAnsi="Times" w:cs="Times"/>
          <w:color w:val="000000"/>
          <w:sz w:val="20"/>
        </w:rPr>
        <w:t xml:space="preserve"> </w:t>
      </w:r>
    </w:p>
    <w:p w14:paraId="6C2074E0" w14:textId="2DBB3C1E" w:rsidR="00303AAE" w:rsidRDefault="00E53B66" w:rsidP="00C262A4">
      <w:pPr>
        <w:pStyle w:val="Normal1"/>
        <w:widowControl w:val="0"/>
        <w:spacing w:before="200" w:line="260" w:lineRule="atLeast"/>
        <w:ind w:left="400"/>
        <w:jc w:val="both"/>
      </w:pPr>
      <w:bookmarkStart w:id="156" w:name="Bookmark_para_77"/>
      <w:bookmarkEnd w:id="156"/>
      <w:r>
        <w:rPr>
          <w:rFonts w:ascii="Times" w:eastAsia="Times" w:hAnsi="Times" w:cs="Times"/>
          <w:color w:val="000000"/>
          <w:sz w:val="20"/>
        </w:rPr>
        <w:t xml:space="preserve">Where </w:t>
      </w:r>
      <w:r>
        <w:rPr>
          <w:rFonts w:ascii="Times" w:eastAsia="Times" w:hAnsi="Times" w:cs="Times"/>
          <w:i/>
          <w:color w:val="000000"/>
          <w:sz w:val="20"/>
        </w:rPr>
        <w:t>K</w:t>
      </w:r>
      <w:r w:rsidRPr="00C262A4">
        <w:rPr>
          <w:rFonts w:ascii="Times" w:eastAsia="Times" w:hAnsi="Times" w:cs="Times"/>
          <w:i/>
          <w:color w:val="000000"/>
          <w:sz w:val="20"/>
          <w:vertAlign w:val="subscript"/>
        </w:rPr>
        <w:t>E</w:t>
      </w:r>
      <w:r>
        <w:rPr>
          <w:rFonts w:ascii="Times" w:eastAsia="Times" w:hAnsi="Times" w:cs="Times"/>
          <w:color w:val="000000"/>
          <w:sz w:val="20"/>
        </w:rPr>
        <w:t xml:space="preserve"> = Cost of equity</w:t>
      </w:r>
    </w:p>
    <w:p w14:paraId="47EA0C2C" w14:textId="4023853D" w:rsidR="00303AAE" w:rsidRDefault="00E53B66" w:rsidP="00C262A4">
      <w:pPr>
        <w:pStyle w:val="Normal1"/>
        <w:widowControl w:val="0"/>
        <w:spacing w:before="200" w:line="260" w:lineRule="atLeast"/>
        <w:ind w:left="400"/>
        <w:jc w:val="both"/>
      </w:pPr>
      <w:bookmarkStart w:id="157" w:name="Bookmark_para_78"/>
      <w:bookmarkEnd w:id="157"/>
      <w:r>
        <w:rPr>
          <w:rFonts w:ascii="Times" w:eastAsia="Times" w:hAnsi="Times" w:cs="Times"/>
          <w:i/>
          <w:color w:val="000000"/>
          <w:sz w:val="20"/>
        </w:rPr>
        <w:t>R</w:t>
      </w:r>
      <w:r w:rsidRPr="000132AD">
        <w:rPr>
          <w:rFonts w:ascii="Times" w:eastAsia="Times" w:hAnsi="Times" w:cs="Times"/>
          <w:i/>
          <w:color w:val="000000"/>
          <w:sz w:val="20"/>
          <w:vertAlign w:val="subscript"/>
        </w:rPr>
        <w:t>F</w:t>
      </w:r>
      <w:r>
        <w:rPr>
          <w:rFonts w:ascii="Times" w:eastAsia="Times" w:hAnsi="Times" w:cs="Times"/>
          <w:color w:val="000000"/>
          <w:sz w:val="20"/>
        </w:rPr>
        <w:t xml:space="preserve"> = Risk-free rate</w:t>
      </w:r>
    </w:p>
    <w:p w14:paraId="78E1BCA9" w14:textId="77777777" w:rsidR="00303AAE" w:rsidRDefault="00E53B66">
      <w:pPr>
        <w:pStyle w:val="Normal1"/>
        <w:widowControl w:val="0"/>
        <w:spacing w:before="200" w:line="260" w:lineRule="atLeast"/>
        <w:ind w:left="400"/>
        <w:jc w:val="both"/>
      </w:pPr>
      <w:bookmarkStart w:id="158" w:name="Bookmark_para_79"/>
      <w:bookmarkEnd w:id="158"/>
      <w:r>
        <w:rPr>
          <w:rFonts w:ascii="Times" w:eastAsia="Times" w:hAnsi="Times" w:cs="Times"/>
          <w:i/>
          <w:color w:val="000000"/>
          <w:sz w:val="20"/>
        </w:rPr>
        <w:t>β</w:t>
      </w:r>
      <w:r>
        <w:rPr>
          <w:rFonts w:ascii="Times" w:eastAsia="Times" w:hAnsi="Times" w:cs="Times"/>
          <w:color w:val="000000"/>
          <w:sz w:val="20"/>
        </w:rPr>
        <w:t xml:space="preserve"> = Beta</w:t>
      </w:r>
    </w:p>
    <w:p w14:paraId="7E8435A7" w14:textId="744B16D3" w:rsidR="00303AAE" w:rsidRDefault="00E53B66" w:rsidP="00C262A4">
      <w:pPr>
        <w:pStyle w:val="Normal1"/>
        <w:widowControl w:val="0"/>
        <w:spacing w:before="200" w:line="260" w:lineRule="atLeast"/>
        <w:ind w:left="400"/>
        <w:jc w:val="both"/>
      </w:pPr>
      <w:bookmarkStart w:id="159" w:name="Bookmark_para_80"/>
      <w:bookmarkEnd w:id="159"/>
      <w:r>
        <w:rPr>
          <w:rFonts w:ascii="Times" w:eastAsia="Times" w:hAnsi="Times" w:cs="Times"/>
          <w:i/>
          <w:color w:val="000000"/>
          <w:sz w:val="20"/>
        </w:rPr>
        <w:t>R</w:t>
      </w:r>
      <w:r w:rsidRPr="00C262A4">
        <w:rPr>
          <w:rFonts w:ascii="Times" w:eastAsia="Times" w:hAnsi="Times" w:cs="Times"/>
          <w:i/>
          <w:color w:val="000000"/>
          <w:sz w:val="20"/>
          <w:vertAlign w:val="subscript"/>
        </w:rPr>
        <w:t>ERP</w:t>
      </w:r>
      <w:r>
        <w:rPr>
          <w:rFonts w:ascii="Times" w:eastAsia="Times" w:hAnsi="Times" w:cs="Times"/>
          <w:color w:val="000000"/>
          <w:sz w:val="20"/>
        </w:rPr>
        <w:t xml:space="preserve"> = Equity risk premium</w:t>
      </w:r>
    </w:p>
    <w:p w14:paraId="16C2FF5A" w14:textId="7FB79030" w:rsidR="00303AAE" w:rsidRDefault="00E53B66" w:rsidP="00C262A4">
      <w:pPr>
        <w:pStyle w:val="Normal1"/>
        <w:widowControl w:val="0"/>
        <w:spacing w:before="200" w:line="260" w:lineRule="atLeast"/>
        <w:ind w:left="400"/>
        <w:jc w:val="both"/>
      </w:pPr>
      <w:bookmarkStart w:id="160" w:name="Bookmark_para_81"/>
      <w:bookmarkEnd w:id="160"/>
      <w:r>
        <w:rPr>
          <w:rFonts w:ascii="Times" w:eastAsia="Times" w:hAnsi="Times" w:cs="Times"/>
          <w:i/>
          <w:color w:val="000000"/>
          <w:sz w:val="20"/>
        </w:rPr>
        <w:t>R</w:t>
      </w:r>
      <w:r w:rsidRPr="00C262A4">
        <w:rPr>
          <w:rFonts w:ascii="Times" w:eastAsia="Times" w:hAnsi="Times" w:cs="Times"/>
          <w:i/>
          <w:color w:val="000000"/>
          <w:sz w:val="20"/>
          <w:vertAlign w:val="subscript"/>
        </w:rPr>
        <w:t>ESP</w:t>
      </w:r>
      <w:r>
        <w:rPr>
          <w:rFonts w:ascii="Times" w:eastAsia="Times" w:hAnsi="Times" w:cs="Times"/>
          <w:color w:val="000000"/>
          <w:sz w:val="20"/>
        </w:rPr>
        <w:t xml:space="preserve"> = Equity size premium</w:t>
      </w:r>
    </w:p>
    <w:p w14:paraId="51CAEBF9" w14:textId="77777777" w:rsidR="00303AAE" w:rsidRDefault="00E53B66">
      <w:pPr>
        <w:pStyle w:val="Normal1"/>
        <w:widowControl w:val="0"/>
        <w:spacing w:line="260" w:lineRule="atLeast"/>
        <w:jc w:val="both"/>
      </w:pPr>
      <w:r>
        <w:rPr>
          <w:rFonts w:ascii="Times" w:eastAsia="Times" w:hAnsi="Times" w:cs="Times"/>
          <w:color w:val="000000"/>
          <w:sz w:val="20"/>
        </w:rPr>
        <w:t>In simpler terms, the cost of equity equals the risk-free rate plus an equity size premium plus the company's beta times the market risk premium.</w:t>
      </w:r>
    </w:p>
    <w:p w14:paraId="70CB85D9" w14:textId="77777777" w:rsidR="00303AAE" w:rsidRDefault="00E53B66">
      <w:pPr>
        <w:pStyle w:val="Normal1"/>
        <w:widowControl w:val="0"/>
        <w:spacing w:before="200" w:line="260" w:lineRule="atLeast"/>
        <w:jc w:val="both"/>
      </w:pPr>
      <w:bookmarkStart w:id="161" w:name="Bookmark_para_82"/>
      <w:bookmarkEnd w:id="161"/>
      <w:r>
        <w:rPr>
          <w:rFonts w:ascii="Times" w:eastAsia="Times" w:hAnsi="Times" w:cs="Times"/>
          <w:color w:val="000000"/>
          <w:sz w:val="20"/>
        </w:rPr>
        <w:t>The following table summarizes the parties' respective inputs for WACC or cost of equity:</w:t>
      </w:r>
    </w:p>
    <w:p w14:paraId="4ADAC03B" w14:textId="107DC21C" w:rsidR="00303AAE" w:rsidRDefault="009A051E">
      <w:pPr>
        <w:pStyle w:val="Normal1"/>
        <w:widowControl w:val="0"/>
        <w:spacing w:before="240" w:line="260" w:lineRule="atLeast"/>
      </w:pPr>
      <w:r>
        <w:rPr>
          <w:noProof/>
        </w:rPr>
        <w:lastRenderedPageBreak/>
        <w:drawing>
          <wp:inline distT="0" distB="0" distL="0" distR="0" wp14:anchorId="35A58634" wp14:editId="6C04D574">
            <wp:extent cx="191135" cy="1911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bookmarkStart w:id="162" w:name="Table2_insert"/>
      <w:r w:rsidR="00E53B66">
        <w:fldChar w:fldCharType="begin"/>
      </w:r>
      <w:r w:rsidR="00E53B66">
        <w:instrText xml:space="preserve"> HYPERLINK  "" \l Table2</w:instrText>
      </w:r>
      <w:r w:rsidR="00E53B66">
        <w:fldChar w:fldCharType="separate"/>
      </w:r>
      <w:r w:rsidR="00E53B66">
        <w:rPr>
          <w:rFonts w:ascii="Times" w:eastAsia="Times" w:hAnsi="Times" w:cs="Times"/>
          <w:color w:val="0077CC"/>
          <w:sz w:val="20"/>
          <w:u w:val="single"/>
        </w:rPr>
        <w:t>Go to table2</w:t>
      </w:r>
      <w:r w:rsidR="00E53B66">
        <w:fldChar w:fldCharType="end"/>
      </w:r>
      <w:bookmarkEnd w:id="162"/>
    </w:p>
    <w:p w14:paraId="2F57E0C2" w14:textId="3B1EA3AE" w:rsidR="00303AAE" w:rsidRDefault="004D7DB9" w:rsidP="004D7DB9">
      <w:pPr>
        <w:pStyle w:val="Normal1"/>
        <w:widowControl w:val="0"/>
        <w:spacing w:before="200" w:line="260" w:lineRule="atLeast"/>
        <w:jc w:val="both"/>
      </w:pPr>
      <w:bookmarkStart w:id="163" w:name="Bookmark_para_83"/>
      <w:bookmarkEnd w:id="163"/>
      <w:r>
        <w:rPr>
          <w:rFonts w:ascii="Times" w:eastAsia="Times" w:hAnsi="Times" w:cs="Times"/>
          <w:color w:val="000000"/>
          <w:sz w:val="20"/>
        </w:rPr>
        <w:t xml:space="preserve"> </w:t>
      </w:r>
      <w:r w:rsidR="00E53B66">
        <w:rPr>
          <w:rFonts w:ascii="Times" w:eastAsia="Times" w:hAnsi="Times" w:cs="Times"/>
          <w:b/>
          <w:color w:val="000000"/>
          <w:sz w:val="20"/>
        </w:rPr>
        <w:t xml:space="preserve">a. </w:t>
      </w:r>
      <w:r w:rsidR="00E53B66">
        <w:rPr>
          <w:rFonts w:ascii="Times" w:eastAsia="Times" w:hAnsi="Times" w:cs="Times"/>
          <w:color w:val="000000"/>
          <w:sz w:val="18"/>
        </w:rPr>
        <w:t> </w:t>
      </w:r>
      <w:r>
        <w:rPr>
          <w:rFonts w:ascii="Times" w:eastAsia="Times" w:hAnsi="Times" w:cs="Times"/>
          <w:color w:val="000000"/>
          <w:sz w:val="18"/>
        </w:rPr>
        <w:t xml:space="preserve"> </w:t>
      </w:r>
      <w:r w:rsidR="00E53B66">
        <w:rPr>
          <w:rFonts w:ascii="Times" w:eastAsia="Times" w:hAnsi="Times" w:cs="Times"/>
          <w:b/>
          <w:color w:val="000000"/>
          <w:sz w:val="20"/>
        </w:rPr>
        <w:t>Risk-free rate</w:t>
      </w:r>
    </w:p>
    <w:p w14:paraId="5DE5DAAB" w14:textId="4C76F92D" w:rsidR="00303AAE" w:rsidRDefault="00E53B66" w:rsidP="005A34B6">
      <w:pPr>
        <w:pStyle w:val="Normal1"/>
        <w:widowControl w:val="0"/>
        <w:spacing w:before="200" w:line="260" w:lineRule="atLeast"/>
        <w:jc w:val="both"/>
      </w:pPr>
      <w:bookmarkStart w:id="164" w:name="Bookmark_para_84"/>
      <w:bookmarkEnd w:id="164"/>
      <w:r>
        <w:rPr>
          <w:rFonts w:ascii="Times" w:eastAsia="Times" w:hAnsi="Times" w:cs="Times"/>
          <w:color w:val="000000"/>
          <w:sz w:val="20"/>
        </w:rPr>
        <w:t xml:space="preserve">Petitioners determined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risk-free rate using the 20-year Treasury bond yield, which was 3.80% on November 30, 2010, whereas 3M Cogent used the 10-year Treasury bond yield, which was approxim</w:t>
      </w:r>
      <w:r w:rsidR="005A34B6">
        <w:rPr>
          <w:rFonts w:ascii="Times" w:eastAsia="Times" w:hAnsi="Times" w:cs="Times"/>
          <w:color w:val="000000"/>
          <w:sz w:val="20"/>
        </w:rPr>
        <w:t>ately 2.96% on December 1, 2010.</w:t>
      </w:r>
      <w:r>
        <w:rPr>
          <w:rFonts w:ascii="Times" w:eastAsia="Times" w:hAnsi="Times" w:cs="Times"/>
          <w:color w:val="000000"/>
          <w:sz w:val="20"/>
        </w:rPr>
        <w:t xml:space="preserve"> Both sides acknowledged that either the 10-year or 20-year Treasury bond yields would be appropriate metrics for the risk-free rate. </w:t>
      </w:r>
    </w:p>
    <w:p w14:paraId="74CAC0EA" w14:textId="4B262163" w:rsidR="00303AAE" w:rsidRDefault="00E53B66" w:rsidP="00084623">
      <w:pPr>
        <w:pStyle w:val="Normal1"/>
        <w:widowControl w:val="0"/>
        <w:spacing w:before="200" w:line="260" w:lineRule="atLeast"/>
        <w:jc w:val="both"/>
      </w:pPr>
      <w:bookmarkStart w:id="165" w:name="Bookmark_para_85"/>
      <w:bookmarkStart w:id="166" w:name="Bookmark_I590TCN628T43B0040000400"/>
      <w:bookmarkEnd w:id="165"/>
      <w:bookmarkEnd w:id="166"/>
      <w:r>
        <w:rPr>
          <w:rFonts w:ascii="Times" w:eastAsia="Times" w:hAnsi="Times" w:cs="Times"/>
          <w:color w:val="000000"/>
          <w:sz w:val="20"/>
        </w:rPr>
        <w:t>In the appraisal context, this Court has used the 20-year Treasury bond yield on numerous occasions</w:t>
      </w:r>
      <w:r>
        <w:rPr>
          <w:rFonts w:ascii="Times" w:eastAsia="Times" w:hAnsi="Times" w:cs="Times"/>
          <w:color w:val="000000"/>
          <w:sz w:val="18"/>
        </w:rPr>
        <w:t> </w:t>
      </w:r>
      <w:r>
        <w:rPr>
          <w:rFonts w:ascii="Times" w:eastAsia="Times" w:hAnsi="Times" w:cs="Times"/>
          <w:color w:val="000000"/>
          <w:sz w:val="20"/>
        </w:rPr>
        <w:t>in its calculation of the risk-free rate.</w:t>
      </w:r>
      <w:r w:rsidR="004D7DB9">
        <w:rPr>
          <w:rFonts w:ascii="Times" w:eastAsia="Times" w:hAnsi="Times" w:cs="Times"/>
          <w:vertAlign w:val="superscript"/>
        </w:rPr>
        <w:t xml:space="preserve"> </w:t>
      </w:r>
      <w:r>
        <w:rPr>
          <w:rFonts w:ascii="Times" w:eastAsia="Times" w:hAnsi="Times" w:cs="Times"/>
          <w:color w:val="000000"/>
          <w:sz w:val="20"/>
        </w:rPr>
        <w:t xml:space="preserve">It does not appear from these cases, however, that the issue of a 10-year versus a 20-year bond was disputed or that the Court based its use of a twenty-year rate on professional or academic valuation literature. To the contrary, the literature suggests that the 10-year Treasury bond yield is the appropriate metric for the risk-free rate in this case. For example,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states, "we believe that using the 10-year bond as the risk-free rate on all cash flows is a good practice in valuation, at least in mature markets." </w:t>
      </w:r>
      <w:r>
        <w:rPr>
          <w:rFonts w:ascii="Times" w:eastAsia="Times" w:hAnsi="Times" w:cs="Times"/>
          <w:vertAlign w:val="superscript"/>
        </w:rPr>
        <w:footnoteReference w:customMarkFollows="1" w:id="12"/>
        <w:t>129</w:t>
      </w:r>
      <w:r w:rsidR="00084623">
        <w:t xml:space="preserve"> </w:t>
      </w:r>
      <w:r>
        <w:rPr>
          <w:rFonts w:ascii="Times" w:eastAsia="Times" w:hAnsi="Times" w:cs="Times"/>
          <w:color w:val="000000"/>
          <w:sz w:val="20"/>
        </w:rPr>
        <w:t xml:space="preserve">Another well-known treatise on valuation also suggests a 10-year time horizon. </w:t>
      </w:r>
      <w:r>
        <w:rPr>
          <w:rFonts w:ascii="Times" w:eastAsia="Times" w:hAnsi="Times" w:cs="Times"/>
          <w:vertAlign w:val="superscript"/>
        </w:rPr>
        <w:footnoteReference w:customMarkFollows="1" w:id="13"/>
        <w:t>130</w:t>
      </w:r>
      <w:r w:rsidR="00084623">
        <w:t xml:space="preserve"> </w:t>
      </w:r>
      <w:r>
        <w:rPr>
          <w:rFonts w:ascii="Times" w:eastAsia="Times" w:hAnsi="Times" w:cs="Times"/>
          <w:color w:val="000000"/>
          <w:sz w:val="20"/>
        </w:rPr>
        <w:t xml:space="preserve">And, yet another source states: "[m]any analysts use the yield on a 10-year [Treasury bond] as a proxy for the risk-free rate, although the yields on a 20-year or 30-year [Treasury bond] are also reasonable proxies." </w:t>
      </w:r>
      <w:r>
        <w:rPr>
          <w:rFonts w:ascii="Times" w:eastAsia="Times" w:hAnsi="Times" w:cs="Times"/>
          <w:vertAlign w:val="superscript"/>
        </w:rPr>
        <w:footnoteReference w:customMarkFollows="1" w:id="14"/>
        <w:t>131</w:t>
      </w:r>
    </w:p>
    <w:p w14:paraId="2157C0BA"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Based on the referenced literature and the fact that Cogent is a mature firm—as evidenced by its history of positive cash flows—I conclude that the 10-year Treasury bond yield, </w:t>
      </w:r>
      <w:r>
        <w:rPr>
          <w:rFonts w:ascii="Times" w:eastAsia="Times" w:hAnsi="Times" w:cs="Times"/>
          <w:i/>
          <w:color w:val="000000"/>
          <w:sz w:val="20"/>
        </w:rPr>
        <w:t>i.e.</w:t>
      </w:r>
      <w:r>
        <w:rPr>
          <w:rFonts w:ascii="Times" w:eastAsia="Times" w:hAnsi="Times" w:cs="Times"/>
          <w:color w:val="000000"/>
          <w:sz w:val="20"/>
        </w:rPr>
        <w:t>, 2.96%, espoused by Respondent is the appropriate metric for the risk-free rate in this case.</w:t>
      </w:r>
    </w:p>
    <w:p w14:paraId="3E8972D1" w14:textId="77777777" w:rsidR="00303AAE" w:rsidRDefault="00E53B66">
      <w:pPr>
        <w:pStyle w:val="Normal1"/>
        <w:widowControl w:val="0"/>
        <w:spacing w:before="240" w:line="260" w:lineRule="atLeast"/>
      </w:pPr>
      <w:r>
        <w:rPr>
          <w:rFonts w:ascii="Times" w:eastAsia="Times" w:hAnsi="Times" w:cs="Times"/>
          <w:b/>
          <w:color w:val="000000"/>
          <w:sz w:val="20"/>
        </w:rPr>
        <w:t>b. Beta</w:t>
      </w:r>
    </w:p>
    <w:p w14:paraId="70BFA3F2" w14:textId="74B35800" w:rsidR="00303AAE" w:rsidRDefault="00E53B66" w:rsidP="00084623">
      <w:pPr>
        <w:pStyle w:val="Normal1"/>
        <w:widowControl w:val="0"/>
        <w:spacing w:before="200" w:line="260" w:lineRule="atLeast"/>
        <w:jc w:val="both"/>
      </w:pPr>
      <w:bookmarkStart w:id="170" w:name="Bookmark_para_86"/>
      <w:bookmarkStart w:id="171" w:name="Bookmark_I77T5KHJRX90009YTT40000F"/>
      <w:bookmarkStart w:id="172" w:name="Bookmark_I590TCN62D6N690050000400"/>
      <w:bookmarkEnd w:id="170"/>
      <w:bookmarkEnd w:id="171"/>
      <w:bookmarkEnd w:id="172"/>
      <w:r>
        <w:rPr>
          <w:rFonts w:ascii="Times" w:eastAsia="Times" w:hAnsi="Times" w:cs="Times"/>
          <w:color w:val="000000"/>
          <w:sz w:val="20"/>
        </w:rPr>
        <w:t xml:space="preserve">As a matter of valuation theory, "companies that are more </w:t>
      </w:r>
      <w:r>
        <w:rPr>
          <w:rFonts w:ascii="Times" w:eastAsia="Times" w:hAnsi="Times" w:cs="Times"/>
          <w:color w:val="000000"/>
          <w:sz w:val="20"/>
        </w:rPr>
        <w:lastRenderedPageBreak/>
        <w:t xml:space="preserve">unstable and leveraged, less </w:t>
      </w:r>
      <w:proofErr w:type="gramStart"/>
      <w:r>
        <w:rPr>
          <w:rFonts w:ascii="Times" w:eastAsia="Times" w:hAnsi="Times" w:cs="Times"/>
          <w:color w:val="000000"/>
          <w:sz w:val="20"/>
        </w:rPr>
        <w:t xml:space="preserve">established </w:t>
      </w:r>
      <w:r>
        <w:rPr>
          <w:rFonts w:ascii="Times" w:eastAsia="Times" w:hAnsi="Times" w:cs="Times"/>
          <w:color w:val="000000"/>
          <w:sz w:val="18"/>
        </w:rPr>
        <w:t> [</w:t>
      </w:r>
      <w:proofErr w:type="gramEnd"/>
      <w:r>
        <w:rPr>
          <w:rFonts w:ascii="Times" w:eastAsia="Times" w:hAnsi="Times" w:cs="Times"/>
          <w:color w:val="000000"/>
          <w:sz w:val="18"/>
        </w:rPr>
        <w:t>*56] </w:t>
      </w:r>
      <w:r>
        <w:rPr>
          <w:rFonts w:ascii="Times" w:eastAsia="Times" w:hAnsi="Times" w:cs="Times"/>
          <w:color w:val="000000"/>
          <w:sz w:val="20"/>
        </w:rPr>
        <w:t>and financially and competitively secure, and in colloquial terms =</w:t>
      </w:r>
      <w:r w:rsidR="00084623">
        <w:rPr>
          <w:rFonts w:ascii="Times" w:eastAsia="Times" w:hAnsi="Times" w:cs="Times"/>
          <w:color w:val="000000"/>
          <w:sz w:val="20"/>
        </w:rPr>
        <w:t xml:space="preserve"> </w:t>
      </w:r>
      <w:r>
        <w:rPr>
          <w:rFonts w:ascii="Times" w:eastAsia="Times" w:hAnsi="Times" w:cs="Times"/>
          <w:color w:val="000000"/>
          <w:sz w:val="20"/>
        </w:rPr>
        <w:t>riskier,' should have higher betas."  Betas also can take into account considerations like political risk to the extent such risks are priced by the market. The experts' calculations of beta diverge in significant respects and are the largest driver of the price difference in their respective DCF calculations. Petitioners advocate for a beta of 0.87, while Respondent espouses a much higher beta of 1.52.  In this regard, the parties clash over three main topics: (1) whether to use a 1-year Bloomberg weekly raw beta or a 2-year Bloomberg weekly adjusted beta; (2) the order of operations; and (3) whether to adjust for all cash or only excess cash.</w:t>
      </w:r>
    </w:p>
    <w:p w14:paraId="03017773" w14:textId="586ECC2D" w:rsidR="00303AAE" w:rsidRDefault="00E53B66">
      <w:pPr>
        <w:pStyle w:val="Normal1"/>
        <w:widowControl w:val="0"/>
        <w:spacing w:before="200" w:line="260" w:lineRule="atLeast"/>
        <w:jc w:val="both"/>
      </w:pPr>
      <w:bookmarkStart w:id="173" w:name="Bookmark_para_87"/>
      <w:bookmarkEnd w:id="173"/>
      <w:r>
        <w:rPr>
          <w:rFonts w:ascii="Times" w:eastAsia="Times" w:hAnsi="Times" w:cs="Times"/>
          <w:color w:val="000000"/>
          <w:sz w:val="20"/>
        </w:rPr>
        <w:t xml:space="preserve">The first issue is whether the Court should start with Bailey's 1-year Bloomberg weekly raw beta of 0.708 or the Gordian Experts' 2-year Bloomberg weekly adjusted beta of 0.67. </w:t>
      </w:r>
    </w:p>
    <w:p w14:paraId="2A0FA409" w14:textId="6D5905D0" w:rsidR="00303AAE" w:rsidRDefault="00E53B66" w:rsidP="00A2248C">
      <w:pPr>
        <w:pStyle w:val="Normal1"/>
        <w:widowControl w:val="0"/>
        <w:spacing w:before="200" w:line="260" w:lineRule="atLeast"/>
        <w:jc w:val="both"/>
      </w:pPr>
      <w:r>
        <w:rPr>
          <w:rFonts w:ascii="Times" w:eastAsia="Times" w:hAnsi="Times" w:cs="Times"/>
          <w:color w:val="000000"/>
          <w:sz w:val="20"/>
        </w:rPr>
        <w:t xml:space="preserve"> At this point, the experts agree that the Court should use an observation period of one week. They differ, however, as to the sample period and whether the beta should be adjusted or raw. Bailey explained that he chose a 1-year sample period to avoid the "significant noise associated with movements in the market due to the impact of the Global Financial Crisis through the period late 2007 through early 2009." Owsley, on the other hand, provided no explanation of the reasons for his selection of a 2-year sample period. Accordingly, I adopt Bailey's selection of a 1-year sample period for this case.</w:t>
      </w:r>
    </w:p>
    <w:p w14:paraId="3514C3D0" w14:textId="3428CD2B" w:rsidR="00303AAE" w:rsidRDefault="00E53B66">
      <w:pPr>
        <w:pStyle w:val="Normal1"/>
        <w:widowControl w:val="0"/>
        <w:spacing w:before="200" w:line="260" w:lineRule="atLeast"/>
        <w:jc w:val="both"/>
      </w:pPr>
      <w:bookmarkStart w:id="174" w:name="Bookmark_para_88"/>
      <w:bookmarkEnd w:id="174"/>
      <w:r>
        <w:rPr>
          <w:rFonts w:ascii="Times" w:eastAsia="Times" w:hAnsi="Times" w:cs="Times"/>
          <w:color w:val="000000"/>
          <w:sz w:val="20"/>
        </w:rPr>
        <w:t xml:space="preserve">Turning to what I have referred to as the "order of operations" issue, both Petitioners and Respondent agree that it is necessary to adjust the beta of Cogent to reflect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large cash position. To do that, Bailey cash adjusted the Bloomberg </w:t>
      </w:r>
      <w:r>
        <w:rPr>
          <w:rFonts w:ascii="Times" w:eastAsia="Times" w:hAnsi="Times" w:cs="Times"/>
          <w:color w:val="000000"/>
          <w:sz w:val="18"/>
        </w:rPr>
        <w:t> </w:t>
      </w:r>
      <w:r w:rsidR="004D2052">
        <w:rPr>
          <w:rFonts w:ascii="Times" w:eastAsia="Times" w:hAnsi="Times" w:cs="Times"/>
          <w:color w:val="000000"/>
          <w:sz w:val="18"/>
        </w:rPr>
        <w:t xml:space="preserve"> </w:t>
      </w:r>
      <w:r>
        <w:rPr>
          <w:rFonts w:ascii="Times" w:eastAsia="Times" w:hAnsi="Times" w:cs="Times"/>
          <w:color w:val="000000"/>
          <w:sz w:val="20"/>
        </w:rPr>
        <w:t>raw beta. In contrast, the Gordian Experts cash adjusted the Bloomberg adjusted beta, which is equal to (</w:t>
      </w:r>
      <w:r>
        <w:rPr>
          <w:rFonts w:ascii="Times" w:eastAsia="Times" w:hAnsi="Times" w:cs="Times"/>
          <w:i/>
          <w:color w:val="000000"/>
          <w:sz w:val="20"/>
        </w:rPr>
        <w:t>Raw Beta</w:t>
      </w:r>
      <w:r>
        <w:rPr>
          <w:rFonts w:ascii="Times" w:eastAsia="Times" w:hAnsi="Times" w:cs="Times"/>
          <w:color w:val="000000"/>
          <w:sz w:val="20"/>
        </w:rPr>
        <w:t xml:space="preserve"> x 0.67) + [1.00 x (0.33)]. In this context, it strikes me as inappropriate to cash adjust a market-adjusted beta because it effectively cash adjusts the market. Accordingly, I conclude that the appropriate </w:t>
      </w:r>
      <w:r>
        <w:rPr>
          <w:rFonts w:ascii="Times" w:eastAsia="Times" w:hAnsi="Times" w:cs="Times"/>
          <w:color w:val="000000"/>
          <w:sz w:val="20"/>
        </w:rPr>
        <w:lastRenderedPageBreak/>
        <w:t xml:space="preserve">number to begin the development of beta with is the 1-year Bloomberg weekly raw beta, </w:t>
      </w:r>
      <w:r>
        <w:rPr>
          <w:rFonts w:ascii="Times" w:eastAsia="Times" w:hAnsi="Times" w:cs="Times"/>
          <w:i/>
          <w:color w:val="000000"/>
          <w:sz w:val="20"/>
        </w:rPr>
        <w:t>i.e.</w:t>
      </w:r>
      <w:r>
        <w:rPr>
          <w:rFonts w:ascii="Times" w:eastAsia="Times" w:hAnsi="Times" w:cs="Times"/>
          <w:color w:val="000000"/>
          <w:sz w:val="20"/>
        </w:rPr>
        <w:t>, 0.708.</w:t>
      </w:r>
    </w:p>
    <w:p w14:paraId="78A8D488" w14:textId="77777777" w:rsidR="00303AAE" w:rsidRDefault="00E53B66">
      <w:pPr>
        <w:pStyle w:val="Normal1"/>
        <w:widowControl w:val="0"/>
        <w:spacing w:before="200" w:line="260" w:lineRule="atLeast"/>
        <w:jc w:val="both"/>
      </w:pPr>
      <w:bookmarkStart w:id="175" w:name="Bookmark_para_89"/>
      <w:bookmarkEnd w:id="175"/>
      <w:r>
        <w:rPr>
          <w:rFonts w:ascii="Times" w:eastAsia="Times" w:hAnsi="Times" w:cs="Times"/>
          <w:color w:val="000000"/>
          <w:sz w:val="20"/>
        </w:rPr>
        <w:t>The process for adjusting asset beta estimates for excess cash and investments is outlined by Pratt and Grabowski:</w:t>
      </w:r>
    </w:p>
    <w:p w14:paraId="7FEE5AAA" w14:textId="77777777" w:rsidR="00303AAE" w:rsidRDefault="00E53B66">
      <w:pPr>
        <w:pStyle w:val="Normal1"/>
        <w:widowControl w:val="0"/>
        <w:spacing w:before="200" w:line="260" w:lineRule="atLeast"/>
        <w:ind w:left="400"/>
        <w:jc w:val="both"/>
      </w:pPr>
      <w:bookmarkStart w:id="176" w:name="Bookmark_para_90"/>
      <w:bookmarkEnd w:id="176"/>
      <w:r>
        <w:rPr>
          <w:rFonts w:ascii="Times" w:eastAsia="Times" w:hAnsi="Times" w:cs="Times"/>
          <w:color w:val="000000"/>
          <w:sz w:val="20"/>
        </w:rPr>
        <w:t xml:space="preserve">The assets of the guideline public companies used in estimating beta often include excess cash and marketable securities. If you do not take into account the excess cash and marketable securities, you can arrive at an incorrect estimate of the asset beta for the operating business. This will lead to an incorrect estimate of the beta for the subject company. After </w:t>
      </w:r>
      <w:proofErr w:type="spellStart"/>
      <w:r>
        <w:rPr>
          <w:rFonts w:ascii="Times" w:eastAsia="Times" w:hAnsi="Times" w:cs="Times"/>
          <w:color w:val="000000"/>
          <w:sz w:val="20"/>
        </w:rPr>
        <w:t>unlevering</w:t>
      </w:r>
      <w:proofErr w:type="spellEnd"/>
      <w:r>
        <w:rPr>
          <w:rFonts w:ascii="Times" w:eastAsia="Times" w:hAnsi="Times" w:cs="Times"/>
          <w:color w:val="000000"/>
          <w:sz w:val="20"/>
        </w:rPr>
        <w:t xml:space="preserve"> the beta for the guideline public companies, you adjust the unlevered beta estimates for any excess cash or marketable securities held by each guideline public company. This adjustment is based on the principle that the beta of the overall company is the market-value weighted average of the </w:t>
      </w:r>
      <w:r>
        <w:rPr>
          <w:rFonts w:ascii="Times" w:eastAsia="Times" w:hAnsi="Times" w:cs="Times"/>
          <w:color w:val="000000"/>
          <w:sz w:val="18"/>
        </w:rPr>
        <w:t> [*59] </w:t>
      </w:r>
      <w:r>
        <w:rPr>
          <w:rFonts w:ascii="Times" w:eastAsia="Times" w:hAnsi="Times" w:cs="Times"/>
          <w:color w:val="000000"/>
          <w:sz w:val="20"/>
        </w:rPr>
        <w:t xml:space="preserve">businesses or assets (including excess cash) comprising the overall firm. </w:t>
      </w:r>
      <w:r>
        <w:rPr>
          <w:rFonts w:ascii="Times" w:eastAsia="Times" w:hAnsi="Times" w:cs="Times"/>
          <w:vertAlign w:val="superscript"/>
        </w:rPr>
        <w:footnoteReference w:customMarkFollows="1" w:id="15"/>
        <w:t>138</w:t>
      </w:r>
    </w:p>
    <w:p w14:paraId="7619364C" w14:textId="77777777" w:rsidR="00303AAE" w:rsidRDefault="00E53B66">
      <w:pPr>
        <w:pStyle w:val="Normal1"/>
        <w:widowControl w:val="0"/>
        <w:spacing w:line="260" w:lineRule="atLeast"/>
        <w:jc w:val="both"/>
      </w:pPr>
      <w:r>
        <w:rPr>
          <w:rFonts w:ascii="Times" w:eastAsia="Times" w:hAnsi="Times" w:cs="Times"/>
          <w:color w:val="000000"/>
          <w:sz w:val="20"/>
        </w:rPr>
        <w:t>The formula for that adjustment is as follows:</w:t>
      </w:r>
    </w:p>
    <w:p w14:paraId="318EA3E1" w14:textId="1C53A9F0" w:rsidR="00303AAE" w:rsidRDefault="00E53B66" w:rsidP="004D2052">
      <w:pPr>
        <w:pStyle w:val="Normal1"/>
        <w:widowControl w:val="0"/>
        <w:spacing w:before="200" w:line="260" w:lineRule="atLeast"/>
        <w:ind w:left="400"/>
        <w:jc w:val="both"/>
      </w:pPr>
      <w:bookmarkStart w:id="178" w:name="Bookmark_para_91"/>
      <w:bookmarkEnd w:id="178"/>
      <w:r>
        <w:rPr>
          <w:rFonts w:ascii="Times" w:eastAsia="Times" w:hAnsi="Times" w:cs="Times"/>
          <w:i/>
          <w:color w:val="000000"/>
          <w:sz w:val="20"/>
        </w:rPr>
        <w:t>β</w:t>
      </w:r>
      <w:r w:rsidRPr="007C1F65">
        <w:rPr>
          <w:rFonts w:ascii="Times" w:eastAsia="Times" w:hAnsi="Times" w:cs="Times"/>
          <w:i/>
          <w:color w:val="000000"/>
          <w:sz w:val="20"/>
          <w:vertAlign w:val="subscript"/>
        </w:rPr>
        <w:t>U</w:t>
      </w:r>
      <w:r>
        <w:rPr>
          <w:rFonts w:ascii="Times" w:eastAsia="Times" w:hAnsi="Times" w:cs="Times"/>
          <w:i/>
          <w:color w:val="000000"/>
          <w:sz w:val="20"/>
        </w:rPr>
        <w:t xml:space="preserve"> or overall company unlevered or asset beta</w:t>
      </w:r>
    </w:p>
    <w:p w14:paraId="4831CD26" w14:textId="1330D69F" w:rsidR="00303AAE" w:rsidRPr="007C1F65" w:rsidRDefault="00E53B66">
      <w:pPr>
        <w:pStyle w:val="Normal1"/>
        <w:widowControl w:val="0"/>
        <w:spacing w:before="200" w:line="260" w:lineRule="atLeast"/>
        <w:ind w:left="800"/>
        <w:jc w:val="both"/>
        <w:rPr>
          <w:sz w:val="21"/>
        </w:rPr>
      </w:pPr>
      <w:bookmarkStart w:id="179" w:name="Bookmark_para_92"/>
      <w:bookmarkEnd w:id="179"/>
      <w:r w:rsidRPr="007C1F65">
        <w:rPr>
          <w:rFonts w:ascii="Times" w:eastAsia="Times" w:hAnsi="Times" w:cs="Times"/>
          <w:color w:val="000000"/>
          <w:sz w:val="16"/>
        </w:rPr>
        <w:t>= [</w:t>
      </w:r>
      <w:r w:rsidR="007C1F65" w:rsidRPr="007C1F65">
        <w:rPr>
          <w:rFonts w:ascii="Times" w:eastAsia="Times" w:hAnsi="Times" w:cs="Times"/>
          <w:i/>
          <w:color w:val="000000"/>
          <w:sz w:val="16"/>
        </w:rPr>
        <w:t>Asset beta f</w:t>
      </w:r>
      <w:r w:rsidRPr="007C1F65">
        <w:rPr>
          <w:rFonts w:ascii="Times" w:eastAsia="Times" w:hAnsi="Times" w:cs="Times"/>
          <w:i/>
          <w:color w:val="000000"/>
          <w:sz w:val="16"/>
        </w:rPr>
        <w:t>or operations</w:t>
      </w:r>
      <w:r w:rsidRPr="007C1F65">
        <w:rPr>
          <w:rFonts w:ascii="Times" w:eastAsia="Times" w:hAnsi="Times" w:cs="Times"/>
          <w:color w:val="000000"/>
          <w:sz w:val="16"/>
        </w:rPr>
        <w:t xml:space="preserve"> x (</w:t>
      </w:r>
      <w:r w:rsidRPr="007C1F65">
        <w:rPr>
          <w:rFonts w:ascii="Times" w:eastAsia="Times" w:hAnsi="Times" w:cs="Times"/>
          <w:i/>
          <w:color w:val="000000"/>
          <w:sz w:val="16"/>
        </w:rPr>
        <w:t>Operating Assets/Total Assets</w:t>
      </w:r>
      <w:r w:rsidRPr="007C1F65">
        <w:rPr>
          <w:rFonts w:ascii="Times" w:eastAsia="Times" w:hAnsi="Times" w:cs="Times"/>
          <w:color w:val="000000"/>
          <w:sz w:val="16"/>
        </w:rPr>
        <w:t>)]</w:t>
      </w:r>
    </w:p>
    <w:p w14:paraId="3997FF8D" w14:textId="2B1759B7" w:rsidR="00303AAE" w:rsidRPr="007C1F65" w:rsidRDefault="00E53B66">
      <w:pPr>
        <w:pStyle w:val="Normal1"/>
        <w:widowControl w:val="0"/>
        <w:spacing w:before="200" w:line="260" w:lineRule="atLeast"/>
        <w:ind w:left="800"/>
        <w:jc w:val="both"/>
        <w:rPr>
          <w:sz w:val="21"/>
        </w:rPr>
      </w:pPr>
      <w:bookmarkStart w:id="180" w:name="Bookmark_para_93"/>
      <w:bookmarkEnd w:id="180"/>
      <w:r w:rsidRPr="007C1F65">
        <w:rPr>
          <w:rFonts w:ascii="Times" w:eastAsia="Times" w:hAnsi="Times" w:cs="Times"/>
          <w:b/>
          <w:color w:val="000000"/>
          <w:sz w:val="16"/>
        </w:rPr>
        <w:t>+</w:t>
      </w:r>
      <w:r w:rsidRPr="007C1F65">
        <w:rPr>
          <w:rFonts w:ascii="Times" w:eastAsia="Times" w:hAnsi="Times" w:cs="Times"/>
          <w:color w:val="000000"/>
          <w:sz w:val="16"/>
        </w:rPr>
        <w:t xml:space="preserve"> [</w:t>
      </w:r>
      <w:r w:rsidR="007C1F65" w:rsidRPr="007C1F65">
        <w:rPr>
          <w:rFonts w:ascii="Times" w:eastAsia="Times" w:hAnsi="Times" w:cs="Times"/>
          <w:i/>
          <w:color w:val="000000"/>
          <w:sz w:val="16"/>
        </w:rPr>
        <w:t>Asset beta f</w:t>
      </w:r>
      <w:r w:rsidRPr="007C1F65">
        <w:rPr>
          <w:rFonts w:ascii="Times" w:eastAsia="Times" w:hAnsi="Times" w:cs="Times"/>
          <w:i/>
          <w:color w:val="000000"/>
          <w:sz w:val="16"/>
        </w:rPr>
        <w:t>or surplus assets</w:t>
      </w:r>
      <w:r w:rsidRPr="007C1F65">
        <w:rPr>
          <w:rFonts w:ascii="Times" w:eastAsia="Times" w:hAnsi="Times" w:cs="Times"/>
          <w:color w:val="000000"/>
          <w:sz w:val="16"/>
        </w:rPr>
        <w:t xml:space="preserve"> x (</w:t>
      </w:r>
      <w:r w:rsidRPr="007C1F65">
        <w:rPr>
          <w:rFonts w:ascii="Times" w:eastAsia="Times" w:hAnsi="Times" w:cs="Times"/>
          <w:i/>
          <w:color w:val="000000"/>
          <w:sz w:val="16"/>
        </w:rPr>
        <w:t>Surplus Assets/Total Assets</w:t>
      </w:r>
      <w:r w:rsidRPr="007C1F65">
        <w:rPr>
          <w:rFonts w:ascii="Times" w:eastAsia="Times" w:hAnsi="Times" w:cs="Times"/>
          <w:color w:val="000000"/>
          <w:sz w:val="16"/>
        </w:rPr>
        <w:t>)]</w:t>
      </w:r>
    </w:p>
    <w:p w14:paraId="2F04E2DC" w14:textId="39D98EBB" w:rsidR="00303AAE" w:rsidRDefault="00E53B66" w:rsidP="004D2052">
      <w:pPr>
        <w:pStyle w:val="Normal1"/>
        <w:widowControl w:val="0"/>
        <w:spacing w:before="200" w:line="260" w:lineRule="atLeast"/>
        <w:jc w:val="both"/>
      </w:pPr>
      <w:bookmarkStart w:id="181" w:name="Bookmark_para_94"/>
      <w:bookmarkEnd w:id="181"/>
      <w:r>
        <w:rPr>
          <w:rFonts w:ascii="Times" w:eastAsia="Times" w:hAnsi="Times" w:cs="Times"/>
          <w:color w:val="000000"/>
          <w:sz w:val="20"/>
        </w:rPr>
        <w:t>If we assume that cash has a beta of zero, the equation is simply:</w:t>
      </w:r>
    </w:p>
    <w:p w14:paraId="6BB54750" w14:textId="07538CA1" w:rsidR="00303AAE" w:rsidRDefault="00E53B66">
      <w:pPr>
        <w:pStyle w:val="Normal1"/>
        <w:widowControl w:val="0"/>
        <w:spacing w:before="200" w:line="260" w:lineRule="atLeast"/>
        <w:ind w:left="400"/>
        <w:jc w:val="both"/>
      </w:pPr>
      <w:bookmarkStart w:id="182" w:name="Bookmark_para_95"/>
      <w:bookmarkEnd w:id="182"/>
      <w:r>
        <w:rPr>
          <w:rFonts w:ascii="Times" w:eastAsia="Times" w:hAnsi="Times" w:cs="Times"/>
          <w:i/>
          <w:color w:val="000000"/>
          <w:sz w:val="20"/>
        </w:rPr>
        <w:t>β</w:t>
      </w:r>
      <w:r w:rsidRPr="007C1F65">
        <w:rPr>
          <w:rFonts w:ascii="Times" w:eastAsia="Times" w:hAnsi="Times" w:cs="Times"/>
          <w:i/>
          <w:color w:val="000000"/>
          <w:sz w:val="20"/>
          <w:vertAlign w:val="subscript"/>
        </w:rPr>
        <w:t>U</w:t>
      </w:r>
      <w:r w:rsidR="007C1F65">
        <w:rPr>
          <w:rFonts w:ascii="Times" w:eastAsia="Times" w:hAnsi="Times" w:cs="Times"/>
          <w:i/>
          <w:color w:val="000000"/>
          <w:sz w:val="20"/>
        </w:rPr>
        <w:t xml:space="preserve"> = Asset beta f</w:t>
      </w:r>
      <w:r>
        <w:rPr>
          <w:rFonts w:ascii="Times" w:eastAsia="Times" w:hAnsi="Times" w:cs="Times"/>
          <w:i/>
          <w:color w:val="000000"/>
          <w:sz w:val="20"/>
        </w:rPr>
        <w:t>or operations</w:t>
      </w:r>
      <w:r>
        <w:rPr>
          <w:rFonts w:ascii="Times" w:eastAsia="Times" w:hAnsi="Times" w:cs="Times"/>
          <w:color w:val="000000"/>
          <w:sz w:val="20"/>
        </w:rPr>
        <w:t xml:space="preserve"> x (</w:t>
      </w:r>
      <w:r>
        <w:rPr>
          <w:rFonts w:ascii="Times" w:eastAsia="Times" w:hAnsi="Times" w:cs="Times"/>
          <w:i/>
          <w:color w:val="000000"/>
          <w:sz w:val="20"/>
        </w:rPr>
        <w:t>Operating Assets/Total Assets</w:t>
      </w:r>
      <w:r>
        <w:rPr>
          <w:rFonts w:ascii="Times" w:eastAsia="Times" w:hAnsi="Times" w:cs="Times"/>
          <w:color w:val="000000"/>
          <w:sz w:val="20"/>
        </w:rPr>
        <w:t>)</w:t>
      </w:r>
    </w:p>
    <w:p w14:paraId="247DA81F" w14:textId="77777777" w:rsidR="00303AAE" w:rsidRDefault="00E53B66">
      <w:pPr>
        <w:pStyle w:val="Normal1"/>
        <w:widowControl w:val="0"/>
        <w:spacing w:before="200" w:line="260" w:lineRule="atLeast"/>
        <w:jc w:val="both"/>
      </w:pPr>
      <w:bookmarkStart w:id="183" w:name="Bookmark_para_96"/>
      <w:bookmarkEnd w:id="183"/>
      <w:r>
        <w:rPr>
          <w:rFonts w:ascii="Times" w:eastAsia="Times" w:hAnsi="Times" w:cs="Times"/>
          <w:color w:val="000000"/>
          <w:sz w:val="20"/>
        </w:rPr>
        <w:t>That equation can be restated as:</w:t>
      </w:r>
    </w:p>
    <w:p w14:paraId="4C334AE9" w14:textId="24195C69" w:rsidR="00303AAE" w:rsidRDefault="00E53B66">
      <w:pPr>
        <w:pStyle w:val="Normal1"/>
        <w:widowControl w:val="0"/>
        <w:spacing w:before="200" w:line="260" w:lineRule="atLeast"/>
        <w:ind w:left="400"/>
        <w:jc w:val="both"/>
      </w:pPr>
      <w:bookmarkStart w:id="184" w:name="Bookmark_para_97"/>
      <w:bookmarkEnd w:id="184"/>
      <w:r>
        <w:rPr>
          <w:rFonts w:ascii="Times" w:eastAsia="Times" w:hAnsi="Times" w:cs="Times"/>
          <w:i/>
          <w:color w:val="000000"/>
          <w:sz w:val="20"/>
        </w:rPr>
        <w:t>Asset beta f or operations = β</w:t>
      </w:r>
      <w:r w:rsidRPr="007C1F65">
        <w:rPr>
          <w:rFonts w:ascii="Times" w:eastAsia="Times" w:hAnsi="Times" w:cs="Times"/>
          <w:i/>
          <w:color w:val="000000"/>
          <w:sz w:val="20"/>
          <w:vertAlign w:val="subscript"/>
        </w:rPr>
        <w:t>U</w:t>
      </w:r>
      <w:r w:rsidRPr="007C1F65">
        <w:rPr>
          <w:rFonts w:ascii="Times" w:eastAsia="Times" w:hAnsi="Times" w:cs="Times"/>
          <w:color w:val="000000"/>
          <w:sz w:val="20"/>
          <w:vertAlign w:val="subscript"/>
        </w:rPr>
        <w:t xml:space="preserve"> </w:t>
      </w:r>
      <w:r>
        <w:rPr>
          <w:rFonts w:ascii="Times" w:eastAsia="Times" w:hAnsi="Times" w:cs="Times"/>
          <w:color w:val="000000"/>
          <w:sz w:val="20"/>
        </w:rPr>
        <w:t>x (</w:t>
      </w:r>
      <w:r>
        <w:rPr>
          <w:rFonts w:ascii="Times" w:eastAsia="Times" w:hAnsi="Times" w:cs="Times"/>
          <w:i/>
          <w:color w:val="000000"/>
          <w:sz w:val="20"/>
        </w:rPr>
        <w:t>Total Assets/Operating Assets</w:t>
      </w:r>
      <w:r>
        <w:rPr>
          <w:rFonts w:ascii="Times" w:eastAsia="Times" w:hAnsi="Times" w:cs="Times"/>
          <w:color w:val="000000"/>
          <w:sz w:val="20"/>
        </w:rPr>
        <w:t>)</w:t>
      </w:r>
    </w:p>
    <w:p w14:paraId="66CDB1B9" w14:textId="7BFAF95D" w:rsidR="00303AAE" w:rsidRDefault="00E53B66">
      <w:pPr>
        <w:pStyle w:val="Normal1"/>
        <w:widowControl w:val="0"/>
        <w:spacing w:before="200" w:line="260" w:lineRule="atLeast"/>
        <w:jc w:val="both"/>
        <w:rPr>
          <w:rFonts w:ascii="Times" w:eastAsia="Times" w:hAnsi="Times" w:cs="Times"/>
          <w:vertAlign w:val="superscript"/>
        </w:rPr>
      </w:pPr>
      <w:bookmarkStart w:id="185" w:name="Bookmark_para_98"/>
      <w:bookmarkEnd w:id="185"/>
      <w:r>
        <w:rPr>
          <w:rFonts w:ascii="Times" w:eastAsia="Times" w:hAnsi="Times" w:cs="Times"/>
          <w:color w:val="000000"/>
          <w:sz w:val="20"/>
        </w:rPr>
        <w:t xml:space="preserve">Here,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total assets were approximately $868.7 million. </w:t>
      </w:r>
    </w:p>
    <w:p w14:paraId="663D6117" w14:textId="77777777" w:rsidR="004D2052" w:rsidRDefault="004D2052">
      <w:pPr>
        <w:pStyle w:val="Normal1"/>
        <w:widowControl w:val="0"/>
        <w:spacing w:before="200" w:line="260" w:lineRule="atLeast"/>
        <w:jc w:val="both"/>
      </w:pPr>
    </w:p>
    <w:p w14:paraId="7C27E151" w14:textId="77777777" w:rsidR="00303AAE" w:rsidRDefault="00E53B66">
      <w:pPr>
        <w:pStyle w:val="Normal1"/>
        <w:widowControl w:val="0"/>
        <w:spacing w:line="260" w:lineRule="atLeast"/>
        <w:jc w:val="both"/>
      </w:pPr>
      <w:r>
        <w:rPr>
          <w:rFonts w:ascii="Times" w:eastAsia="Times" w:hAnsi="Times" w:cs="Times"/>
          <w:color w:val="000000"/>
          <w:sz w:val="20"/>
        </w:rPr>
        <w:lastRenderedPageBreak/>
        <w:t xml:space="preserve"> Operating assets are calculated using the following formula:</w:t>
      </w:r>
    </w:p>
    <w:p w14:paraId="20FBDBD6" w14:textId="77777777" w:rsidR="00303AAE" w:rsidRDefault="00E53B66">
      <w:pPr>
        <w:pStyle w:val="Normal1"/>
        <w:widowControl w:val="0"/>
        <w:spacing w:line="260" w:lineRule="atLeast"/>
        <w:ind w:left="400"/>
        <w:jc w:val="both"/>
      </w:pPr>
      <w:bookmarkStart w:id="186" w:name="Bookmark_para_99"/>
      <w:bookmarkEnd w:id="186"/>
      <w:r>
        <w:rPr>
          <w:rFonts w:ascii="Times" w:eastAsia="Times" w:hAnsi="Times" w:cs="Times"/>
          <w:color w:val="000000"/>
          <w:sz w:val="20"/>
        </w:rPr>
        <w:t>Operating assets = total assets - surplus assets</w:t>
      </w:r>
    </w:p>
    <w:p w14:paraId="1462A166" w14:textId="693280C1" w:rsidR="00303AAE" w:rsidRDefault="00E53B66" w:rsidP="007C1F65">
      <w:pPr>
        <w:pStyle w:val="Normal1"/>
        <w:widowControl w:val="0"/>
        <w:spacing w:before="200" w:line="260" w:lineRule="atLeast"/>
        <w:jc w:val="both"/>
      </w:pPr>
      <w:bookmarkStart w:id="187" w:name="Bookmark_para_100"/>
      <w:bookmarkEnd w:id="187"/>
      <w:r>
        <w:rPr>
          <w:rFonts w:ascii="Times" w:eastAsia="Times" w:hAnsi="Times" w:cs="Times"/>
          <w:color w:val="000000"/>
          <w:sz w:val="20"/>
        </w:rPr>
        <w:t xml:space="preserve">Predictably, the parties disagree as to what proportion of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large cash reserves should be considered "surplus." Bailey treats approximately</w:t>
      </w:r>
      <w:r>
        <w:rPr>
          <w:rFonts w:ascii="Times" w:eastAsia="Times" w:hAnsi="Times" w:cs="Times"/>
          <w:color w:val="000000"/>
          <w:sz w:val="18"/>
        </w:rPr>
        <w:t> </w:t>
      </w:r>
      <w:r>
        <w:rPr>
          <w:rFonts w:ascii="Times" w:eastAsia="Times" w:hAnsi="Times" w:cs="Times"/>
          <w:color w:val="000000"/>
          <w:sz w:val="20"/>
        </w:rPr>
        <w:t xml:space="preserve">$100 million as surplus, whereas the Gordian Experts consider all of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cash, </w:t>
      </w:r>
      <w:r>
        <w:rPr>
          <w:rFonts w:ascii="Times" w:eastAsia="Times" w:hAnsi="Times" w:cs="Times"/>
          <w:i/>
          <w:color w:val="000000"/>
          <w:sz w:val="20"/>
        </w:rPr>
        <w:t>i.e.</w:t>
      </w:r>
      <w:r>
        <w:rPr>
          <w:rFonts w:ascii="Times" w:eastAsia="Times" w:hAnsi="Times" w:cs="Times"/>
          <w:color w:val="000000"/>
          <w:sz w:val="20"/>
        </w:rPr>
        <w:t xml:space="preserve">, $533.2 million, to be excess. At the very least, the parties agree that the $100 million the Cogent board announced it would use to execute a share buyback is excess cash. As for the remaining $433.2 million in cash, Bailey asserts that it should be treated as an operational asset because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executives signaled "to the market that Cogent intended to utilize their cash balance to support the operations of the business in order to take advantage of the significant growth opportunities in the marketplace." Yet, that view of surplus cash contradicts the Pratt and Grabowski treatise upon which Bailey explicitly relied. Pratt and Grabowski define surplus assets as "[a]</w:t>
      </w:r>
      <w:proofErr w:type="spellStart"/>
      <w:r>
        <w:rPr>
          <w:rFonts w:ascii="Times" w:eastAsia="Times" w:hAnsi="Times" w:cs="Times"/>
          <w:color w:val="000000"/>
          <w:sz w:val="20"/>
        </w:rPr>
        <w:t>ssets</w:t>
      </w:r>
      <w:proofErr w:type="spellEnd"/>
      <w:r>
        <w:rPr>
          <w:rFonts w:ascii="Times" w:eastAsia="Times" w:hAnsi="Times" w:cs="Times"/>
          <w:color w:val="000000"/>
          <w:sz w:val="20"/>
        </w:rPr>
        <w:t xml:space="preserve"> that could be sold or distributed without impairing company operations." </w:t>
      </w:r>
      <w:r>
        <w:rPr>
          <w:rFonts w:ascii="Times" w:eastAsia="Times" w:hAnsi="Times" w:cs="Times"/>
          <w:vertAlign w:val="superscript"/>
        </w:rPr>
        <w:footnoteReference w:customMarkFollows="1" w:id="16"/>
        <w:t>142</w:t>
      </w:r>
      <w:r w:rsidR="007C1F65">
        <w:t xml:space="preserve"> </w:t>
      </w:r>
      <w:r>
        <w:rPr>
          <w:rFonts w:ascii="Times" w:eastAsia="Times" w:hAnsi="Times" w:cs="Times"/>
          <w:color w:val="000000"/>
          <w:sz w:val="20"/>
        </w:rPr>
        <w:t xml:space="preserve">Using that broader view and a simplifying assumption that Cogent would need $50 million in maintenance cash for operations, </w:t>
      </w:r>
      <w:r>
        <w:rPr>
          <w:rFonts w:ascii="Times" w:eastAsia="Times" w:hAnsi="Times" w:cs="Times"/>
          <w:vertAlign w:val="superscript"/>
        </w:rPr>
        <w:footnoteReference w:customMarkFollows="1" w:id="17"/>
        <w:t>143</w:t>
      </w:r>
      <w:r>
        <w:rPr>
          <w:rFonts w:ascii="Times" w:eastAsia="Times" w:hAnsi="Times" w:cs="Times"/>
          <w:color w:val="000000"/>
          <w:sz w:val="20"/>
        </w:rPr>
        <w:t xml:space="preserve"> its excess cash would be $483.2 million. </w:t>
      </w:r>
      <w:proofErr w:type="gramStart"/>
      <w:r>
        <w:rPr>
          <w:rFonts w:ascii="Times" w:eastAsia="Times" w:hAnsi="Times" w:cs="Times"/>
          <w:vertAlign w:val="superscript"/>
        </w:rPr>
        <w:footnoteReference w:customMarkFollows="1" w:id="18"/>
        <w:t>144</w:t>
      </w:r>
      <w:r w:rsidR="007C1F65">
        <w:t xml:space="preserve"> </w:t>
      </w:r>
      <w:r>
        <w:rPr>
          <w:rFonts w:ascii="Times" w:eastAsia="Times" w:hAnsi="Times" w:cs="Times"/>
          <w:color w:val="000000"/>
          <w:sz w:val="20"/>
        </w:rPr>
        <w:t xml:space="preserve"> The</w:t>
      </w:r>
      <w:proofErr w:type="gramEnd"/>
      <w:r>
        <w:rPr>
          <w:rFonts w:ascii="Times" w:eastAsia="Times" w:hAnsi="Times" w:cs="Times"/>
          <w:color w:val="000000"/>
          <w:sz w:val="20"/>
        </w:rPr>
        <w:t xml:space="preserve"> operational assets of Cogent then would be just $385.5 million. </w:t>
      </w:r>
      <w:r>
        <w:rPr>
          <w:rFonts w:ascii="Times" w:eastAsia="Times" w:hAnsi="Times" w:cs="Times"/>
          <w:vertAlign w:val="superscript"/>
        </w:rPr>
        <w:footnoteReference w:customMarkFollows="1" w:id="19"/>
        <w:t>145</w:t>
      </w:r>
      <w:r w:rsidR="007C1F65">
        <w:t xml:space="preserve"> </w:t>
      </w:r>
      <w:r>
        <w:rPr>
          <w:rFonts w:ascii="Times" w:eastAsia="Times" w:hAnsi="Times" w:cs="Times"/>
          <w:color w:val="000000"/>
          <w:sz w:val="20"/>
        </w:rPr>
        <w:t xml:space="preserve">Thus, the ratio of total assets to operating assets would be 2.253. </w:t>
      </w:r>
      <w:r>
        <w:rPr>
          <w:rFonts w:ascii="Times" w:eastAsia="Times" w:hAnsi="Times" w:cs="Times"/>
          <w:vertAlign w:val="superscript"/>
        </w:rPr>
        <w:footnoteReference w:customMarkFollows="1" w:id="20"/>
        <w:t>146</w:t>
      </w:r>
    </w:p>
    <w:p w14:paraId="26D67D6E" w14:textId="15F41C52" w:rsidR="00303AAE" w:rsidRDefault="00E53B66">
      <w:pPr>
        <w:pStyle w:val="Normal1"/>
        <w:widowControl w:val="0"/>
        <w:spacing w:before="200" w:line="260" w:lineRule="atLeast"/>
        <w:jc w:val="both"/>
      </w:pPr>
      <w:r>
        <w:rPr>
          <w:rFonts w:ascii="Times" w:eastAsia="Times" w:hAnsi="Times" w:cs="Times"/>
          <w:color w:val="000000"/>
          <w:sz w:val="20"/>
        </w:rPr>
        <w:t xml:space="preserve"> Applying previously mentioned</w:t>
      </w:r>
      <w:r w:rsidR="007C1F65">
        <w:rPr>
          <w:rFonts w:ascii="Times" w:eastAsia="Times" w:hAnsi="Times" w:cs="Times"/>
          <w:color w:val="000000"/>
          <w:sz w:val="20"/>
        </w:rPr>
        <w:t xml:space="preserve"> </w:t>
      </w:r>
      <w:r>
        <w:rPr>
          <w:rFonts w:ascii="Times" w:eastAsia="Times" w:hAnsi="Times" w:cs="Times"/>
          <w:color w:val="000000"/>
          <w:sz w:val="20"/>
        </w:rPr>
        <w:t>formula, the asset beta for operations equals the overall company unlevered or asset beta (0.708) times the ratio of total assets to operating assets (2.253) or 1.595.</w:t>
      </w:r>
    </w:p>
    <w:p w14:paraId="0D96A15B" w14:textId="77777777" w:rsidR="00303AAE" w:rsidRDefault="00E53B66">
      <w:pPr>
        <w:pStyle w:val="Normal1"/>
        <w:widowControl w:val="0"/>
        <w:spacing w:before="200" w:line="260" w:lineRule="atLeast"/>
        <w:jc w:val="both"/>
      </w:pPr>
      <w:bookmarkStart w:id="193" w:name="Bookmark_para_101"/>
      <w:bookmarkEnd w:id="193"/>
      <w:r>
        <w:rPr>
          <w:rFonts w:ascii="Times" w:eastAsia="Times" w:hAnsi="Times" w:cs="Times"/>
          <w:color w:val="000000"/>
          <w:sz w:val="20"/>
        </w:rPr>
        <w:t xml:space="preserve">Empirical studies have shown that measures of risk, including beta, "tend to revert towards the mean over time." </w:t>
      </w:r>
      <w:r>
        <w:rPr>
          <w:rFonts w:ascii="Times" w:eastAsia="Times" w:hAnsi="Times" w:cs="Times"/>
          <w:vertAlign w:val="superscript"/>
        </w:rPr>
        <w:footnoteReference w:customMarkFollows="1" w:id="21"/>
        <w:t>147</w:t>
      </w:r>
    </w:p>
    <w:p w14:paraId="5DE825CC" w14:textId="28C4FD7F" w:rsidR="00303AAE" w:rsidRDefault="00E53B66" w:rsidP="004336D8">
      <w:pPr>
        <w:pStyle w:val="Normal1"/>
        <w:widowControl w:val="0"/>
        <w:spacing w:before="200" w:line="260" w:lineRule="atLeast"/>
        <w:jc w:val="both"/>
      </w:pPr>
      <w:r>
        <w:rPr>
          <w:rFonts w:ascii="Times" w:eastAsia="Times" w:hAnsi="Times" w:cs="Times"/>
          <w:color w:val="000000"/>
          <w:sz w:val="20"/>
        </w:rPr>
        <w:t xml:space="preserve"> Where a good set of </w:t>
      </w:r>
      <w:proofErr w:type="spellStart"/>
      <w:r>
        <w:rPr>
          <w:rFonts w:ascii="Times" w:eastAsia="Times" w:hAnsi="Times" w:cs="Times"/>
          <w:color w:val="000000"/>
          <w:sz w:val="20"/>
        </w:rPr>
        <w:t>comparables</w:t>
      </w:r>
      <w:proofErr w:type="spellEnd"/>
      <w:r>
        <w:rPr>
          <w:rFonts w:ascii="Times" w:eastAsia="Times" w:hAnsi="Times" w:cs="Times"/>
          <w:color w:val="000000"/>
          <w:sz w:val="20"/>
        </w:rPr>
        <w:t xml:space="preserve"> for industry betas do not exist, one can "smooth" beta by adjusting historical </w:t>
      </w:r>
      <w:proofErr w:type="gramStart"/>
      <w:r>
        <w:rPr>
          <w:rFonts w:ascii="Times" w:eastAsia="Times" w:hAnsi="Times" w:cs="Times"/>
          <w:color w:val="000000"/>
          <w:sz w:val="20"/>
        </w:rPr>
        <w:t xml:space="preserve">beta </w:t>
      </w:r>
      <w:r>
        <w:rPr>
          <w:rFonts w:ascii="Times" w:eastAsia="Times" w:hAnsi="Times" w:cs="Times"/>
          <w:color w:val="000000"/>
          <w:sz w:val="18"/>
        </w:rPr>
        <w:t> </w:t>
      </w:r>
      <w:r>
        <w:rPr>
          <w:rFonts w:ascii="Times" w:eastAsia="Times" w:hAnsi="Times" w:cs="Times"/>
          <w:color w:val="000000"/>
          <w:sz w:val="20"/>
        </w:rPr>
        <w:t>by</w:t>
      </w:r>
      <w:proofErr w:type="gramEnd"/>
      <w:r>
        <w:rPr>
          <w:rFonts w:ascii="Times" w:eastAsia="Times" w:hAnsi="Times" w:cs="Times"/>
          <w:color w:val="000000"/>
          <w:sz w:val="20"/>
        </w:rPr>
        <w:t xml:space="preserve"> a market beta of 1, using a 1/3 weighting factor for the market and a 2/3 weighting for the subject company's beta, in this case Cogent. </w:t>
      </w:r>
      <w:r>
        <w:rPr>
          <w:rFonts w:ascii="Times" w:eastAsia="Times" w:hAnsi="Times" w:cs="Times"/>
          <w:vertAlign w:val="superscript"/>
        </w:rPr>
        <w:footnoteReference w:customMarkFollows="1" w:id="22"/>
        <w:t>148</w:t>
      </w:r>
      <w:r>
        <w:rPr>
          <w:rFonts w:ascii="Times" w:eastAsia="Times" w:hAnsi="Times" w:cs="Times"/>
          <w:color w:val="000000"/>
          <w:sz w:val="20"/>
        </w:rPr>
        <w:t xml:space="preserve"> Here, that would result in a forward estimated beta </w:t>
      </w:r>
      <w:r>
        <w:rPr>
          <w:rFonts w:ascii="Times" w:eastAsia="Times" w:hAnsi="Times" w:cs="Times"/>
          <w:color w:val="000000"/>
          <w:sz w:val="20"/>
        </w:rPr>
        <w:lastRenderedPageBreak/>
        <w:t xml:space="preserve">of approximately 1.397. </w:t>
      </w:r>
      <w:r>
        <w:rPr>
          <w:rFonts w:ascii="Times" w:eastAsia="Times" w:hAnsi="Times" w:cs="Times"/>
          <w:vertAlign w:val="superscript"/>
        </w:rPr>
        <w:footnoteReference w:customMarkFollows="1" w:id="23"/>
        <w:t>149</w:t>
      </w:r>
    </w:p>
    <w:p w14:paraId="2DFEFDEB" w14:textId="61B46872" w:rsidR="00303AAE" w:rsidRDefault="00E53B66">
      <w:pPr>
        <w:pStyle w:val="Normal1"/>
        <w:widowControl w:val="0"/>
        <w:spacing w:before="200" w:line="260" w:lineRule="atLeast"/>
        <w:jc w:val="both"/>
      </w:pPr>
      <w:bookmarkStart w:id="197" w:name="Bookmark_para_102"/>
      <w:bookmarkEnd w:id="197"/>
      <w:r>
        <w:rPr>
          <w:rFonts w:ascii="Times" w:eastAsia="Times" w:hAnsi="Times" w:cs="Times"/>
          <w:color w:val="000000"/>
          <w:sz w:val="20"/>
        </w:rPr>
        <w:t xml:space="preserve">The Respondent also calculated beta using a peer group method, </w:t>
      </w:r>
      <w:r>
        <w:rPr>
          <w:rFonts w:ascii="Times" w:eastAsia="Times" w:hAnsi="Times" w:cs="Times"/>
          <w:i/>
          <w:color w:val="000000"/>
          <w:sz w:val="20"/>
        </w:rPr>
        <w:t>i.e.</w:t>
      </w:r>
      <w:r>
        <w:rPr>
          <w:rFonts w:ascii="Times" w:eastAsia="Times" w:hAnsi="Times" w:cs="Times"/>
          <w:color w:val="000000"/>
          <w:sz w:val="20"/>
        </w:rPr>
        <w:t xml:space="preserve">, a comparable companies analysis. For the reasons stated in subsection C above, I do not find the Gordian Experts' comparable companies analysis reliable. Accordingly, I rely solely on my calculation of a Cogent forward beta of 1.397 for purposes of determining the appropriate WACC </w:t>
      </w:r>
      <w:r>
        <w:rPr>
          <w:rFonts w:ascii="Times" w:eastAsia="Times" w:hAnsi="Times" w:cs="Times"/>
          <w:color w:val="000000"/>
          <w:sz w:val="18"/>
        </w:rPr>
        <w:t> </w:t>
      </w:r>
      <w:r w:rsidR="007C1F65">
        <w:rPr>
          <w:rFonts w:ascii="Times" w:eastAsia="Times" w:hAnsi="Times" w:cs="Times"/>
          <w:color w:val="000000"/>
          <w:sz w:val="18"/>
        </w:rPr>
        <w:t xml:space="preserve"> </w:t>
      </w:r>
      <w:r>
        <w:rPr>
          <w:rFonts w:ascii="Times" w:eastAsia="Times" w:hAnsi="Times" w:cs="Times"/>
          <w:color w:val="000000"/>
          <w:sz w:val="20"/>
        </w:rPr>
        <w:t>here.</w:t>
      </w:r>
    </w:p>
    <w:p w14:paraId="2A5FEF0C" w14:textId="77777777" w:rsidR="00303AAE" w:rsidRDefault="00E53B66">
      <w:pPr>
        <w:pStyle w:val="Normal1"/>
        <w:widowControl w:val="0"/>
        <w:spacing w:before="240" w:line="260" w:lineRule="atLeast"/>
      </w:pPr>
      <w:r>
        <w:rPr>
          <w:rFonts w:ascii="Times" w:eastAsia="Times" w:hAnsi="Times" w:cs="Times"/>
          <w:b/>
          <w:color w:val="000000"/>
          <w:sz w:val="20"/>
        </w:rPr>
        <w:t>c. Equity risk premium</w:t>
      </w:r>
    </w:p>
    <w:p w14:paraId="04383D91" w14:textId="40F06292" w:rsidR="00303AAE" w:rsidRDefault="00E53B66" w:rsidP="004336D8">
      <w:pPr>
        <w:pStyle w:val="Normal1"/>
        <w:widowControl w:val="0"/>
        <w:spacing w:before="200" w:line="260" w:lineRule="atLeast"/>
        <w:jc w:val="both"/>
      </w:pPr>
      <w:bookmarkStart w:id="198" w:name="Bookmark_para_103"/>
      <w:bookmarkEnd w:id="198"/>
      <w:r>
        <w:rPr>
          <w:rFonts w:ascii="Times" w:eastAsia="Times" w:hAnsi="Times" w:cs="Times"/>
          <w:color w:val="000000"/>
          <w:sz w:val="20"/>
        </w:rPr>
        <w:t xml:space="preserve">There is very little difference between the parties as to the appropriate equity risk premium. Bailey supports the use of a supply-side equity risk premium of 5.0% as published in the 2010 Ibbotson yearbook.  The Gordian Experts relied on a 5.2% equity risk premium, which they derived from multiple sources, including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and Ibbotson. </w:t>
      </w:r>
    </w:p>
    <w:p w14:paraId="37255016" w14:textId="610256E6" w:rsidR="00303AAE" w:rsidRDefault="00E53B66" w:rsidP="004336D8">
      <w:pPr>
        <w:pStyle w:val="Normal1"/>
        <w:widowControl w:val="0"/>
        <w:spacing w:before="200" w:line="260" w:lineRule="atLeast"/>
        <w:jc w:val="both"/>
      </w:pPr>
      <w:bookmarkStart w:id="199" w:name="Bookmark_para_104"/>
      <w:bookmarkEnd w:id="199"/>
      <w:r>
        <w:rPr>
          <w:rFonts w:ascii="Times" w:eastAsia="Times" w:hAnsi="Times" w:cs="Times"/>
          <w:color w:val="000000"/>
          <w:sz w:val="20"/>
        </w:rPr>
        <w:t xml:space="preserve">Bailey cited a number of treatises and articles in support of his view that the Court should apply a supply-side equity risk premium. Owsley's report, on the other hand, did not explain how he calculated equity risk premium (beyond identifying sources).  In addition, Schiller testified that he was unfamiliar with the distinction between a supply-side equity risk premium and a historic equity risk premium. </w:t>
      </w:r>
    </w:p>
    <w:p w14:paraId="2D7E4053" w14:textId="77777777" w:rsidR="00303AAE" w:rsidRDefault="00E53B66">
      <w:pPr>
        <w:pStyle w:val="Normal1"/>
        <w:widowControl w:val="0"/>
        <w:spacing w:before="200" w:line="260" w:lineRule="atLeast"/>
        <w:jc w:val="both"/>
      </w:pPr>
      <w:bookmarkStart w:id="200" w:name="Bookmark_para_105"/>
      <w:bookmarkStart w:id="201" w:name="Bookmark_I77T5KHK4410009YTT40000G"/>
      <w:bookmarkStart w:id="202" w:name="Bookmark_I77T5KHKF210009YTT40000H"/>
      <w:bookmarkStart w:id="203" w:name="Bookmark_I77T5KHM5FF0009YTT40000J"/>
      <w:bookmarkStart w:id="204" w:name="Bookmark_I590TCN62D6N6B0020000400"/>
      <w:bookmarkEnd w:id="200"/>
      <w:bookmarkEnd w:id="201"/>
      <w:bookmarkEnd w:id="202"/>
      <w:bookmarkEnd w:id="203"/>
      <w:bookmarkEnd w:id="204"/>
      <w:r>
        <w:rPr>
          <w:rFonts w:ascii="Times" w:eastAsia="Times" w:hAnsi="Times" w:cs="Times"/>
          <w:color w:val="000000"/>
          <w:sz w:val="20"/>
        </w:rPr>
        <w:t xml:space="preserve">Because Bailey demonstrated a stronger understanding of this subject and explained his methodology more convincingly, I conclude that the 5.20% equity risk premium used by Bailey is the appropriate value to use in this case. </w:t>
      </w:r>
      <w:r>
        <w:rPr>
          <w:rFonts w:ascii="Times" w:eastAsia="Times" w:hAnsi="Times" w:cs="Times"/>
          <w:vertAlign w:val="superscript"/>
        </w:rPr>
        <w:footnoteReference w:customMarkFollows="1" w:id="24"/>
        <w:t>155</w:t>
      </w:r>
    </w:p>
    <w:p w14:paraId="5F766BF2" w14:textId="77777777" w:rsidR="00303AAE" w:rsidRDefault="00E53B66">
      <w:pPr>
        <w:pStyle w:val="Normal1"/>
        <w:widowControl w:val="0"/>
        <w:spacing w:before="240" w:line="260" w:lineRule="atLeast"/>
      </w:pPr>
      <w:r>
        <w:rPr>
          <w:rFonts w:ascii="Times" w:eastAsia="Times" w:hAnsi="Times" w:cs="Times"/>
          <w:b/>
          <w:color w:val="000000"/>
          <w:sz w:val="20"/>
        </w:rPr>
        <w:t>d. Equity size premium</w:t>
      </w:r>
    </w:p>
    <w:p w14:paraId="491CBC40" w14:textId="1F5CC0FD" w:rsidR="00303AAE" w:rsidRDefault="00E53B66" w:rsidP="00CF6F74">
      <w:pPr>
        <w:pStyle w:val="Normal1"/>
        <w:widowControl w:val="0"/>
        <w:spacing w:before="200" w:line="260" w:lineRule="atLeast"/>
        <w:jc w:val="both"/>
      </w:pPr>
      <w:bookmarkStart w:id="209" w:name="Bookmark_para_106"/>
      <w:bookmarkStart w:id="210" w:name="Bookmark_I590TCN62HM6TG0030000400"/>
      <w:bookmarkStart w:id="211" w:name="Bookmark_I590TCN62HM6TG0050000400"/>
      <w:bookmarkStart w:id="212" w:name="Bookmark_LNHNREFclscc16"/>
      <w:bookmarkEnd w:id="209"/>
      <w:bookmarkEnd w:id="210"/>
      <w:bookmarkEnd w:id="211"/>
      <w:bookmarkEnd w:id="212"/>
      <w:r>
        <w:rPr>
          <w:rFonts w:ascii="Times" w:eastAsia="Times" w:hAnsi="Times" w:cs="Times"/>
          <w:color w:val="000000"/>
          <w:sz w:val="20"/>
        </w:rPr>
        <w:t xml:space="preserve">"In addition to the equity risk premium, an equity size premium generally is added to the company's cost of equity in the valuation of smaller companies to account for the higher rate of return demanded by investors to compensate for the greater </w:t>
      </w:r>
      <w:r>
        <w:rPr>
          <w:rFonts w:ascii="Times" w:eastAsia="Times" w:hAnsi="Times" w:cs="Times"/>
          <w:color w:val="000000"/>
          <w:sz w:val="20"/>
        </w:rPr>
        <w:lastRenderedPageBreak/>
        <w:t xml:space="preserve">risk associated with small company equity." "A size premium is an accepted part of CAPM because there is evidence in empirical returns that investors demand a premium for the extra risk of smaller companies." The opposing experts came to similar values in their determination of an equity size premium: 1.73% for Petitioners and 2.0% for Respondent. </w:t>
      </w:r>
    </w:p>
    <w:p w14:paraId="2BE84F8B" w14:textId="5D8700C9" w:rsidR="00303AAE" w:rsidRDefault="00E53B66" w:rsidP="00CF6F74">
      <w:pPr>
        <w:pStyle w:val="Normal1"/>
        <w:widowControl w:val="0"/>
        <w:spacing w:before="200" w:line="260" w:lineRule="atLeast"/>
        <w:jc w:val="both"/>
      </w:pPr>
      <w:bookmarkStart w:id="213" w:name="Bookmark_para_107"/>
      <w:bookmarkEnd w:id="213"/>
      <w:r>
        <w:rPr>
          <w:rFonts w:ascii="Times" w:eastAsia="Times" w:hAnsi="Times" w:cs="Times"/>
          <w:color w:val="000000"/>
          <w:sz w:val="20"/>
        </w:rPr>
        <w:t xml:space="preserve">Bailey selected his equity size premium of 1.73% based </w:t>
      </w:r>
      <w:r>
        <w:rPr>
          <w:rFonts w:ascii="Times" w:eastAsia="Times" w:hAnsi="Times" w:cs="Times"/>
          <w:color w:val="000000"/>
          <w:sz w:val="18"/>
        </w:rPr>
        <w:t>  </w:t>
      </w:r>
      <w:r>
        <w:rPr>
          <w:rFonts w:ascii="Times" w:eastAsia="Times" w:hAnsi="Times" w:cs="Times"/>
          <w:color w:val="000000"/>
          <w:sz w:val="20"/>
        </w:rPr>
        <w:t xml:space="preserve">on decile 7 of Ibbotson Associates' ("Ibbotson") 2010 yearbook, which encompasses companies with a market capitalization between $685,129,000 and $1,063,308,000. </w:t>
      </w:r>
      <w:r>
        <w:rPr>
          <w:rFonts w:ascii="Times" w:eastAsia="Times" w:hAnsi="Times" w:cs="Times"/>
          <w:vertAlign w:val="superscript"/>
        </w:rPr>
        <w:footnoteReference w:customMarkFollows="1" w:id="25"/>
        <w:t>159</w:t>
      </w:r>
      <w:r>
        <w:rPr>
          <w:rFonts w:ascii="Times" w:eastAsia="Times" w:hAnsi="Times" w:cs="Times"/>
          <w:color w:val="000000"/>
          <w:sz w:val="20"/>
        </w:rPr>
        <w:t xml:space="preserve"> The Gordian Experts, on the other hand, used Ibbotson's 2009 yearbook and adjusted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market capitalization to exclude its large cash reserves.</w:t>
      </w:r>
    </w:p>
    <w:p w14:paraId="70FD9363" w14:textId="13BD4ACC" w:rsidR="00303AAE" w:rsidRDefault="00E53B66" w:rsidP="001B53C4">
      <w:pPr>
        <w:pStyle w:val="Normal1"/>
        <w:widowControl w:val="0"/>
        <w:spacing w:before="200" w:line="260" w:lineRule="atLeast"/>
        <w:jc w:val="both"/>
      </w:pPr>
      <w:bookmarkStart w:id="215" w:name="Bookmark_para_108"/>
      <w:bookmarkStart w:id="216" w:name="Bookmark_I590TCN62HM6TH0020000400"/>
      <w:bookmarkEnd w:id="215"/>
      <w:bookmarkEnd w:id="216"/>
      <w:r>
        <w:rPr>
          <w:rFonts w:ascii="Times" w:eastAsia="Times" w:hAnsi="Times" w:cs="Times"/>
          <w:color w:val="000000"/>
          <w:sz w:val="20"/>
        </w:rPr>
        <w:t xml:space="preserve">The Ibbotson table headings clearly </w:t>
      </w:r>
      <w:proofErr w:type="gramStart"/>
      <w:r>
        <w:rPr>
          <w:rFonts w:ascii="Times" w:eastAsia="Times" w:hAnsi="Times" w:cs="Times"/>
          <w:color w:val="000000"/>
          <w:sz w:val="20"/>
        </w:rPr>
        <w:t>state</w:t>
      </w:r>
      <w:proofErr w:type="gramEnd"/>
      <w:r>
        <w:rPr>
          <w:rFonts w:ascii="Times" w:eastAsia="Times" w:hAnsi="Times" w:cs="Times"/>
          <w:color w:val="000000"/>
          <w:sz w:val="20"/>
        </w:rPr>
        <w:t xml:space="preserve"> "market capitalization."  In addition, the relevant treatises focus on the market value of common equity and do not suggest making an adjustment to exclude cash reserves. </w:t>
      </w:r>
      <w:r>
        <w:rPr>
          <w:rFonts w:ascii="Times" w:eastAsia="Times" w:hAnsi="Times" w:cs="Times"/>
          <w:vertAlign w:val="superscript"/>
        </w:rPr>
        <w:footnoteReference w:customMarkFollows="1" w:id="26"/>
        <w:t>161</w:t>
      </w:r>
      <w:r>
        <w:rPr>
          <w:rFonts w:ascii="Times" w:eastAsia="Times" w:hAnsi="Times" w:cs="Times"/>
          <w:color w:val="000000"/>
          <w:sz w:val="20"/>
        </w:rPr>
        <w:t xml:space="preserve">Consistent with Ibbotson's headings and the treatises, the Court of Chancery consistently has used market capitalization as the benchmark for selecting the equity size premium. </w:t>
      </w:r>
      <w:r>
        <w:rPr>
          <w:rFonts w:ascii="Times" w:eastAsia="Times" w:hAnsi="Times" w:cs="Times"/>
          <w:vertAlign w:val="superscript"/>
        </w:rPr>
        <w:footnoteReference w:customMarkFollows="1" w:id="27"/>
        <w:t>162</w:t>
      </w:r>
    </w:p>
    <w:p w14:paraId="4B0C1E5F" w14:textId="5FEB21AA" w:rsidR="00303AAE" w:rsidRDefault="00E53B66">
      <w:pPr>
        <w:pStyle w:val="Normal1"/>
        <w:widowControl w:val="0"/>
        <w:spacing w:before="200" w:line="260" w:lineRule="atLeast"/>
        <w:jc w:val="both"/>
      </w:pPr>
      <w:bookmarkStart w:id="221" w:name="Bookmark_para_109"/>
      <w:bookmarkEnd w:id="221"/>
      <w:r>
        <w:rPr>
          <w:rFonts w:ascii="Times" w:eastAsia="Times" w:hAnsi="Times" w:cs="Times"/>
          <w:color w:val="000000"/>
          <w:sz w:val="20"/>
        </w:rPr>
        <w:t>Despite those authorities and Schiller's awareness that "the definition [for equity size premium] says market capitalization," the Gordian Experts chose a size premium by "look[</w:t>
      </w:r>
      <w:proofErr w:type="spellStart"/>
      <w:r>
        <w:rPr>
          <w:rFonts w:ascii="Times" w:eastAsia="Times" w:hAnsi="Times" w:cs="Times"/>
          <w:color w:val="000000"/>
          <w:sz w:val="20"/>
        </w:rPr>
        <w:t>ing</w:t>
      </w:r>
      <w:proofErr w:type="spellEnd"/>
      <w:r>
        <w:rPr>
          <w:rFonts w:ascii="Times" w:eastAsia="Times" w:hAnsi="Times" w:cs="Times"/>
          <w:color w:val="000000"/>
          <w:sz w:val="20"/>
        </w:rPr>
        <w:t xml:space="preserve">] at the size of the market value less cash of Cogent." </w:t>
      </w:r>
    </w:p>
    <w:p w14:paraId="2AF60173" w14:textId="77777777" w:rsidR="00303AAE" w:rsidRDefault="00E53B66">
      <w:pPr>
        <w:pStyle w:val="Normal1"/>
        <w:widowControl w:val="0"/>
        <w:spacing w:line="260" w:lineRule="atLeast"/>
        <w:jc w:val="both"/>
      </w:pPr>
      <w:r>
        <w:rPr>
          <w:rFonts w:ascii="Times" w:eastAsia="Times" w:hAnsi="Times" w:cs="Times"/>
          <w:color w:val="000000"/>
          <w:sz w:val="20"/>
        </w:rPr>
        <w:t xml:space="preserve"> That adjustment was based on Schiller's view that</w:t>
      </w:r>
    </w:p>
    <w:p w14:paraId="3AA25193" w14:textId="5A776161" w:rsidR="00303AAE" w:rsidRDefault="00E53B66">
      <w:pPr>
        <w:pStyle w:val="Normal1"/>
        <w:widowControl w:val="0"/>
        <w:spacing w:line="260" w:lineRule="atLeast"/>
        <w:ind w:left="400"/>
        <w:jc w:val="both"/>
      </w:pPr>
      <w:bookmarkStart w:id="222" w:name="Bookmark_para_110"/>
      <w:bookmarkEnd w:id="222"/>
      <w:r>
        <w:rPr>
          <w:rFonts w:ascii="Times" w:eastAsia="Times" w:hAnsi="Times" w:cs="Times"/>
          <w:color w:val="000000"/>
          <w:sz w:val="20"/>
        </w:rPr>
        <w:t xml:space="preserve">we're valuing . . . Cogent absent its cash. We're not valuing Cogent in the DCF. Because the way the DCF works is, we value the cash streams the company throws off and then we add the cash on top of it. </w:t>
      </w:r>
      <w:proofErr w:type="gramStart"/>
      <w:r>
        <w:rPr>
          <w:rFonts w:ascii="Times" w:eastAsia="Times" w:hAnsi="Times" w:cs="Times"/>
          <w:color w:val="000000"/>
          <w:sz w:val="20"/>
        </w:rPr>
        <w:t>So</w:t>
      </w:r>
      <w:proofErr w:type="gramEnd"/>
      <w:r>
        <w:rPr>
          <w:rFonts w:ascii="Times" w:eastAsia="Times" w:hAnsi="Times" w:cs="Times"/>
          <w:color w:val="000000"/>
          <w:sz w:val="20"/>
        </w:rPr>
        <w:t xml:space="preserve"> we split the baby in two parts and look at the values of each. </w:t>
      </w:r>
    </w:p>
    <w:p w14:paraId="7094C725" w14:textId="01871D44" w:rsidR="00303AAE" w:rsidRDefault="00E53B66" w:rsidP="001B53C4">
      <w:pPr>
        <w:pStyle w:val="Normal1"/>
        <w:widowControl w:val="0"/>
        <w:spacing w:before="200" w:line="260" w:lineRule="atLeast"/>
        <w:jc w:val="both"/>
      </w:pPr>
      <w:bookmarkStart w:id="223" w:name="Bookmark_para_111"/>
      <w:bookmarkEnd w:id="223"/>
      <w:r>
        <w:rPr>
          <w:rFonts w:ascii="Times" w:eastAsia="Times" w:hAnsi="Times" w:cs="Times"/>
          <w:color w:val="000000"/>
          <w:sz w:val="20"/>
        </w:rPr>
        <w:t xml:space="preserve">I am not persuaded, however, that Schiller's approach is consistent with the proper use of the Ibbotson tables. The </w:t>
      </w:r>
      <w:r>
        <w:rPr>
          <w:rFonts w:ascii="Times" w:eastAsia="Times" w:hAnsi="Times" w:cs="Times"/>
          <w:color w:val="000000"/>
          <w:sz w:val="20"/>
        </w:rPr>
        <w:lastRenderedPageBreak/>
        <w:t xml:space="preserve">Ibbotson tables were based on important research in 1981 by Rolf </w:t>
      </w:r>
      <w:proofErr w:type="spellStart"/>
      <w:r>
        <w:rPr>
          <w:rFonts w:ascii="Times" w:eastAsia="Times" w:hAnsi="Times" w:cs="Times"/>
          <w:color w:val="000000"/>
          <w:sz w:val="20"/>
        </w:rPr>
        <w:t>Banz</w:t>
      </w:r>
      <w:proofErr w:type="spellEnd"/>
      <w:r>
        <w:rPr>
          <w:rFonts w:ascii="Times" w:eastAsia="Times" w:hAnsi="Times" w:cs="Times"/>
          <w:color w:val="000000"/>
          <w:sz w:val="20"/>
        </w:rPr>
        <w:t xml:space="preserve">, who found an empirical relationship between the </w:t>
      </w:r>
      <w:r>
        <w:rPr>
          <w:rFonts w:ascii="Times" w:eastAsia="Times" w:hAnsi="Times" w:cs="Times"/>
          <w:i/>
          <w:color w:val="000000"/>
          <w:sz w:val="20"/>
        </w:rPr>
        <w:t>market value</w:t>
      </w:r>
      <w:r>
        <w:rPr>
          <w:rFonts w:ascii="Times" w:eastAsia="Times" w:hAnsi="Times" w:cs="Times"/>
          <w:color w:val="000000"/>
          <w:sz w:val="20"/>
        </w:rPr>
        <w:t xml:space="preserve"> of </w:t>
      </w:r>
      <w:proofErr w:type="gramStart"/>
      <w:r>
        <w:rPr>
          <w:rFonts w:ascii="Times" w:eastAsia="Times" w:hAnsi="Times" w:cs="Times"/>
          <w:color w:val="000000"/>
          <w:sz w:val="20"/>
        </w:rPr>
        <w:t xml:space="preserve">stocks </w:t>
      </w:r>
      <w:r>
        <w:rPr>
          <w:rFonts w:ascii="Times" w:eastAsia="Times" w:hAnsi="Times" w:cs="Times"/>
          <w:color w:val="000000"/>
          <w:sz w:val="18"/>
        </w:rPr>
        <w:t> </w:t>
      </w:r>
      <w:r>
        <w:rPr>
          <w:rFonts w:ascii="Times" w:eastAsia="Times" w:hAnsi="Times" w:cs="Times"/>
          <w:color w:val="000000"/>
          <w:sz w:val="20"/>
        </w:rPr>
        <w:t>and</w:t>
      </w:r>
      <w:proofErr w:type="gramEnd"/>
      <w:r>
        <w:rPr>
          <w:rFonts w:ascii="Times" w:eastAsia="Times" w:hAnsi="Times" w:cs="Times"/>
          <w:color w:val="000000"/>
          <w:sz w:val="20"/>
        </w:rPr>
        <w:t xml:space="preserve"> higher rates of return. </w:t>
      </w:r>
      <w:r>
        <w:rPr>
          <w:rFonts w:ascii="Times" w:eastAsia="Times" w:hAnsi="Times" w:cs="Times"/>
          <w:vertAlign w:val="superscript"/>
        </w:rPr>
        <w:footnoteReference w:customMarkFollows="1" w:id="28"/>
        <w:t>165</w:t>
      </w:r>
      <w:r w:rsidR="001B53C4">
        <w:t xml:space="preserve"> </w:t>
      </w:r>
      <w:r>
        <w:rPr>
          <w:rFonts w:ascii="Times" w:eastAsia="Times" w:hAnsi="Times" w:cs="Times"/>
          <w:color w:val="000000"/>
          <w:sz w:val="20"/>
        </w:rPr>
        <w:t>Put differently, the Ibbotson tables look at the statistical relationship between market capitalization and equity size premium. The Gordian Experts failed to present a convincing explanation as to why their use of a different metric—enterprise value—more accurately reflects the correlation that the equity size premium attempts to reflect.</w:t>
      </w:r>
    </w:p>
    <w:p w14:paraId="62BE806C" w14:textId="377A79B1" w:rsidR="00303AAE" w:rsidRDefault="00E53B66">
      <w:pPr>
        <w:pStyle w:val="Normal1"/>
        <w:widowControl w:val="0"/>
        <w:spacing w:before="200" w:line="260" w:lineRule="atLeast"/>
        <w:jc w:val="both"/>
      </w:pPr>
      <w:bookmarkStart w:id="225" w:name="Bookmark_para_112"/>
      <w:bookmarkEnd w:id="225"/>
      <w:r>
        <w:rPr>
          <w:rFonts w:ascii="Times" w:eastAsia="Times" w:hAnsi="Times" w:cs="Times"/>
          <w:color w:val="000000"/>
          <w:sz w:val="20"/>
        </w:rPr>
        <w:t xml:space="preserve">While some studies—notably the Duff &amp; Phelps </w:t>
      </w:r>
      <w:r>
        <w:rPr>
          <w:rFonts w:ascii="Times" w:eastAsia="Times" w:hAnsi="Times" w:cs="Times"/>
          <w:i/>
          <w:color w:val="000000"/>
          <w:sz w:val="20"/>
        </w:rPr>
        <w:t>Risk Premium Report</w:t>
      </w:r>
      <w:r>
        <w:rPr>
          <w:rFonts w:ascii="Times" w:eastAsia="Times" w:hAnsi="Times" w:cs="Times"/>
          <w:color w:val="000000"/>
          <w:sz w:val="20"/>
        </w:rPr>
        <w:t xml:space="preserve"> </w:t>
      </w:r>
      <w:r>
        <w:rPr>
          <w:rFonts w:ascii="Times" w:eastAsia="Times" w:hAnsi="Times" w:cs="Times"/>
          <w:vertAlign w:val="superscript"/>
        </w:rPr>
        <w:footnoteReference w:customMarkFollows="1" w:id="29"/>
        <w:t>166</w:t>
      </w:r>
      <w:r>
        <w:rPr>
          <w:rFonts w:ascii="Times" w:eastAsia="Times" w:hAnsi="Times" w:cs="Times"/>
          <w:color w:val="000000"/>
          <w:sz w:val="20"/>
        </w:rPr>
        <w:t xml:space="preserve">—use a metric other than the market value of equity, Respondent's expert chose to use Ibbotson's Valuation Yearbook. In doing so, they effectively embraced the view that there is a relationship between market capitalization and rate </w:t>
      </w:r>
      <w:r>
        <w:rPr>
          <w:rFonts w:ascii="Times" w:eastAsia="Times" w:hAnsi="Times" w:cs="Times"/>
          <w:color w:val="000000"/>
          <w:sz w:val="18"/>
        </w:rPr>
        <w:t> </w:t>
      </w:r>
      <w:r w:rsidR="00094E0D">
        <w:rPr>
          <w:rFonts w:ascii="Times" w:eastAsia="Times" w:hAnsi="Times" w:cs="Times"/>
          <w:color w:val="000000"/>
          <w:sz w:val="18"/>
        </w:rPr>
        <w:t xml:space="preserve"> </w:t>
      </w:r>
      <w:r>
        <w:rPr>
          <w:rFonts w:ascii="Times" w:eastAsia="Times" w:hAnsi="Times" w:cs="Times"/>
          <w:color w:val="000000"/>
          <w:sz w:val="20"/>
        </w:rPr>
        <w:t>of return.</w:t>
      </w:r>
    </w:p>
    <w:p w14:paraId="41519E94" w14:textId="77777777" w:rsidR="00303AAE" w:rsidRDefault="00E53B66">
      <w:pPr>
        <w:pStyle w:val="Normal1"/>
        <w:widowControl w:val="0"/>
        <w:spacing w:before="200" w:line="260" w:lineRule="atLeast"/>
        <w:jc w:val="both"/>
      </w:pPr>
      <w:bookmarkStart w:id="227" w:name="Bookmark_para_113"/>
      <w:bookmarkEnd w:id="227"/>
      <w:r>
        <w:rPr>
          <w:rFonts w:ascii="Times" w:eastAsia="Times" w:hAnsi="Times" w:cs="Times"/>
          <w:color w:val="000000"/>
          <w:sz w:val="20"/>
        </w:rPr>
        <w:t>Finally, the Gordian Experts' exclusion of cash is counterintuitive. The Ibbotson tables are based on the insight that smaller companies are more risky than larger companies. The Gordian Experts' exclusion of cash decreases the "size" of the company involved, thereby increasing its equity size premium. Here, that would mean that Cogent would be more risky as a result of its cash reserves. Intuitively, however, one would expect that, all other things being equal, having cash reserves, as opposed to debt, would decrease the riskiness of a company.</w:t>
      </w:r>
    </w:p>
    <w:p w14:paraId="733D6A74" w14:textId="77777777" w:rsidR="00303AAE" w:rsidRDefault="00E53B66">
      <w:pPr>
        <w:pStyle w:val="Normal1"/>
        <w:widowControl w:val="0"/>
        <w:spacing w:before="200" w:line="260" w:lineRule="atLeast"/>
        <w:jc w:val="both"/>
      </w:pPr>
      <w:bookmarkStart w:id="228" w:name="Bookmark_para_114"/>
      <w:bookmarkEnd w:id="228"/>
      <w:r>
        <w:rPr>
          <w:rFonts w:ascii="Times" w:eastAsia="Times" w:hAnsi="Times" w:cs="Times"/>
          <w:color w:val="000000"/>
          <w:sz w:val="20"/>
        </w:rPr>
        <w:t>For all of these reasons, I adopt Bailey's selection of an equity size premium of 1.73%.</w:t>
      </w:r>
    </w:p>
    <w:p w14:paraId="1629EA6A" w14:textId="77777777" w:rsidR="00303AAE" w:rsidRDefault="00E53B66">
      <w:pPr>
        <w:pStyle w:val="Normal1"/>
        <w:widowControl w:val="0"/>
        <w:spacing w:before="240" w:line="260" w:lineRule="atLeast"/>
      </w:pPr>
      <w:r>
        <w:rPr>
          <w:rFonts w:ascii="Times" w:eastAsia="Times" w:hAnsi="Times" w:cs="Times"/>
          <w:b/>
          <w:color w:val="000000"/>
          <w:sz w:val="20"/>
        </w:rPr>
        <w:t xml:space="preserve">e. Calculating </w:t>
      </w:r>
      <w:proofErr w:type="spellStart"/>
      <w:r>
        <w:rPr>
          <w:rFonts w:ascii="Times" w:eastAsia="Times" w:hAnsi="Times" w:cs="Times"/>
          <w:b/>
          <w:color w:val="000000"/>
          <w:sz w:val="20"/>
        </w:rPr>
        <w:t>Cogent's</w:t>
      </w:r>
      <w:proofErr w:type="spellEnd"/>
      <w:r>
        <w:rPr>
          <w:rFonts w:ascii="Times" w:eastAsia="Times" w:hAnsi="Times" w:cs="Times"/>
          <w:b/>
          <w:color w:val="000000"/>
          <w:sz w:val="20"/>
        </w:rPr>
        <w:t xml:space="preserve"> WACC</w:t>
      </w:r>
    </w:p>
    <w:p w14:paraId="6112AB2A" w14:textId="77777777" w:rsidR="00303AAE" w:rsidRDefault="00E53B66">
      <w:pPr>
        <w:pStyle w:val="Normal1"/>
        <w:widowControl w:val="0"/>
        <w:spacing w:before="200" w:line="260" w:lineRule="atLeast"/>
        <w:jc w:val="both"/>
      </w:pPr>
      <w:bookmarkStart w:id="229" w:name="Bookmark_para_115"/>
      <w:bookmarkEnd w:id="229"/>
      <w:r>
        <w:rPr>
          <w:rFonts w:ascii="Times" w:eastAsia="Times" w:hAnsi="Times" w:cs="Times"/>
          <w:color w:val="000000"/>
          <w:sz w:val="20"/>
        </w:rPr>
        <w:t>As previously discussed, the equation for CAPM is:</w:t>
      </w:r>
    </w:p>
    <w:p w14:paraId="12BAA15A" w14:textId="74F99B04" w:rsidR="00303AAE" w:rsidRDefault="00E53B66" w:rsidP="001B53C4">
      <w:pPr>
        <w:pStyle w:val="Normal1"/>
        <w:widowControl w:val="0"/>
        <w:spacing w:before="200" w:line="260" w:lineRule="atLeast"/>
        <w:ind w:left="400"/>
        <w:jc w:val="both"/>
      </w:pPr>
      <w:bookmarkStart w:id="230" w:name="Bookmark_para_116"/>
      <w:bookmarkEnd w:id="230"/>
      <w:r>
        <w:rPr>
          <w:rFonts w:ascii="Times" w:eastAsia="Times" w:hAnsi="Times" w:cs="Times"/>
          <w:i/>
          <w:color w:val="000000"/>
          <w:sz w:val="20"/>
        </w:rPr>
        <w:t>K</w:t>
      </w:r>
      <w:r w:rsidRPr="001B53C4">
        <w:rPr>
          <w:rFonts w:ascii="Times" w:eastAsia="Times" w:hAnsi="Times" w:cs="Times"/>
          <w:i/>
          <w:color w:val="000000"/>
          <w:sz w:val="20"/>
          <w:vertAlign w:val="subscript"/>
        </w:rPr>
        <w:t>E</w:t>
      </w:r>
      <w:r>
        <w:rPr>
          <w:rFonts w:ascii="Times" w:eastAsia="Times" w:hAnsi="Times" w:cs="Times"/>
          <w:color w:val="000000"/>
          <w:sz w:val="20"/>
        </w:rPr>
        <w:t xml:space="preserve"> = </w:t>
      </w:r>
      <w:r>
        <w:rPr>
          <w:rFonts w:ascii="Times" w:eastAsia="Times" w:hAnsi="Times" w:cs="Times"/>
          <w:i/>
          <w:color w:val="000000"/>
          <w:sz w:val="20"/>
        </w:rPr>
        <w:t>R</w:t>
      </w:r>
      <w:r w:rsidRPr="001B53C4">
        <w:rPr>
          <w:rFonts w:ascii="Times" w:eastAsia="Times" w:hAnsi="Times" w:cs="Times"/>
          <w:i/>
          <w:color w:val="000000"/>
          <w:sz w:val="20"/>
          <w:vertAlign w:val="subscript"/>
        </w:rPr>
        <w:t>F</w:t>
      </w:r>
      <w:r>
        <w:rPr>
          <w:rFonts w:ascii="Times" w:eastAsia="Times" w:hAnsi="Times" w:cs="Times"/>
          <w:color w:val="000000"/>
          <w:sz w:val="20"/>
        </w:rPr>
        <w:t xml:space="preserve"> + (</w:t>
      </w:r>
      <w:r>
        <w:rPr>
          <w:rFonts w:ascii="Times" w:eastAsia="Times" w:hAnsi="Times" w:cs="Times"/>
          <w:i/>
          <w:color w:val="000000"/>
          <w:sz w:val="20"/>
        </w:rPr>
        <w:t>β x R</w:t>
      </w:r>
      <w:r w:rsidRPr="001B53C4">
        <w:rPr>
          <w:rFonts w:ascii="Times" w:eastAsia="Times" w:hAnsi="Times" w:cs="Times"/>
          <w:i/>
          <w:color w:val="000000"/>
          <w:sz w:val="20"/>
          <w:vertAlign w:val="subscript"/>
        </w:rPr>
        <w:t>ERP</w:t>
      </w:r>
      <w:r>
        <w:rPr>
          <w:rFonts w:ascii="Times" w:eastAsia="Times" w:hAnsi="Times" w:cs="Times"/>
          <w:color w:val="000000"/>
          <w:sz w:val="20"/>
        </w:rPr>
        <w:t xml:space="preserve">) + </w:t>
      </w:r>
      <w:r>
        <w:rPr>
          <w:rFonts w:ascii="Times" w:eastAsia="Times" w:hAnsi="Times" w:cs="Times"/>
          <w:i/>
          <w:color w:val="000000"/>
          <w:sz w:val="20"/>
        </w:rPr>
        <w:t>R</w:t>
      </w:r>
      <w:r w:rsidRPr="001B53C4">
        <w:rPr>
          <w:rFonts w:ascii="Times" w:eastAsia="Times" w:hAnsi="Times" w:cs="Times"/>
          <w:i/>
          <w:color w:val="000000"/>
          <w:sz w:val="20"/>
          <w:vertAlign w:val="subscript"/>
        </w:rPr>
        <w:t>ESP</w:t>
      </w:r>
    </w:p>
    <w:p w14:paraId="1CCCC766" w14:textId="77777777" w:rsidR="00303AAE" w:rsidRDefault="00E53B66">
      <w:pPr>
        <w:pStyle w:val="Normal1"/>
        <w:widowControl w:val="0"/>
        <w:spacing w:before="200" w:line="260" w:lineRule="atLeast"/>
        <w:jc w:val="both"/>
      </w:pPr>
      <w:bookmarkStart w:id="231" w:name="Bookmark_para_117"/>
      <w:bookmarkEnd w:id="231"/>
      <w:r>
        <w:rPr>
          <w:rFonts w:ascii="Times" w:eastAsia="Times" w:hAnsi="Times" w:cs="Times"/>
          <w:color w:val="000000"/>
          <w:sz w:val="20"/>
        </w:rPr>
        <w:t>Inputting my conclusions as to the risk-free rate, beta, equity risk premium, and equity size premium into that equation yields:</w:t>
      </w:r>
    </w:p>
    <w:p w14:paraId="627AC627" w14:textId="26BCCEE2" w:rsidR="00303AAE" w:rsidRDefault="00E53B66" w:rsidP="001B53C4">
      <w:pPr>
        <w:pStyle w:val="Normal1"/>
        <w:widowControl w:val="0"/>
        <w:spacing w:before="200" w:line="260" w:lineRule="atLeast"/>
        <w:ind w:left="400"/>
        <w:jc w:val="both"/>
      </w:pPr>
      <w:bookmarkStart w:id="232" w:name="Bookmark_para_118"/>
      <w:bookmarkEnd w:id="232"/>
      <w:r>
        <w:rPr>
          <w:rFonts w:ascii="Times" w:eastAsia="Times" w:hAnsi="Times" w:cs="Times"/>
          <w:i/>
          <w:color w:val="000000"/>
          <w:sz w:val="20"/>
        </w:rPr>
        <w:t>K</w:t>
      </w:r>
      <w:r w:rsidRPr="001B53C4">
        <w:rPr>
          <w:rFonts w:ascii="Times" w:eastAsia="Times" w:hAnsi="Times" w:cs="Times"/>
          <w:i/>
          <w:color w:val="000000"/>
          <w:sz w:val="20"/>
          <w:vertAlign w:val="subscript"/>
        </w:rPr>
        <w:t>E</w:t>
      </w:r>
      <w:r>
        <w:rPr>
          <w:rFonts w:ascii="Times" w:eastAsia="Times" w:hAnsi="Times" w:cs="Times"/>
          <w:color w:val="000000"/>
          <w:sz w:val="20"/>
        </w:rPr>
        <w:t xml:space="preserve"> = 2.96 + (1.397 x 5.2) + 1.73 = 11.954%</w:t>
      </w:r>
    </w:p>
    <w:p w14:paraId="1B10A481" w14:textId="77777777" w:rsidR="00303AAE" w:rsidRDefault="00E53B66">
      <w:pPr>
        <w:pStyle w:val="Normal1"/>
        <w:widowControl w:val="0"/>
        <w:spacing w:before="200" w:line="260" w:lineRule="atLeast"/>
        <w:jc w:val="both"/>
      </w:pPr>
      <w:bookmarkStart w:id="233" w:name="Bookmark_para_119"/>
      <w:bookmarkEnd w:id="233"/>
      <w:r>
        <w:rPr>
          <w:rFonts w:ascii="Times" w:eastAsia="Times" w:hAnsi="Times" w:cs="Times"/>
          <w:color w:val="000000"/>
          <w:sz w:val="20"/>
        </w:rPr>
        <w:t xml:space="preserve">Based on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capital structure of 100% equity,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WACC would equal its cost of equity, or 11.954%.</w:t>
      </w:r>
    </w:p>
    <w:p w14:paraId="6883B6A3" w14:textId="77777777" w:rsidR="00303AAE" w:rsidRDefault="00E53B66">
      <w:pPr>
        <w:pStyle w:val="Normal1"/>
        <w:widowControl w:val="0"/>
        <w:spacing w:before="240" w:line="260" w:lineRule="atLeast"/>
      </w:pPr>
      <w:r>
        <w:rPr>
          <w:rFonts w:ascii="Times" w:eastAsia="Times" w:hAnsi="Times" w:cs="Times"/>
          <w:b/>
          <w:color w:val="000000"/>
          <w:sz w:val="20"/>
        </w:rPr>
        <w:t xml:space="preserve">f. The present value of </w:t>
      </w:r>
      <w:proofErr w:type="spellStart"/>
      <w:r>
        <w:rPr>
          <w:rFonts w:ascii="Times" w:eastAsia="Times" w:hAnsi="Times" w:cs="Times"/>
          <w:b/>
          <w:color w:val="000000"/>
          <w:sz w:val="20"/>
        </w:rPr>
        <w:t>Cogent's</w:t>
      </w:r>
      <w:proofErr w:type="spellEnd"/>
      <w:r>
        <w:rPr>
          <w:rFonts w:ascii="Times" w:eastAsia="Times" w:hAnsi="Times" w:cs="Times"/>
          <w:b/>
          <w:color w:val="000000"/>
          <w:sz w:val="20"/>
        </w:rPr>
        <w:t xml:space="preserve"> unlevered free cash flows</w:t>
      </w:r>
    </w:p>
    <w:p w14:paraId="200279E3" w14:textId="5F0DD7D6" w:rsidR="00303AAE" w:rsidRDefault="00E53B66">
      <w:pPr>
        <w:pStyle w:val="Normal1"/>
        <w:widowControl w:val="0"/>
        <w:spacing w:before="200" w:line="260" w:lineRule="atLeast"/>
        <w:jc w:val="both"/>
      </w:pPr>
      <w:bookmarkStart w:id="234" w:name="Bookmark_para_120"/>
      <w:bookmarkEnd w:id="234"/>
      <w:r>
        <w:rPr>
          <w:rFonts w:ascii="Times" w:eastAsia="Times" w:hAnsi="Times" w:cs="Times"/>
          <w:color w:val="000000"/>
          <w:sz w:val="20"/>
        </w:rPr>
        <w:lastRenderedPageBreak/>
        <w:t xml:space="preserve">Using the WACC of 11.954%, the following </w:t>
      </w:r>
      <w:proofErr w:type="gramStart"/>
      <w:r>
        <w:rPr>
          <w:rFonts w:ascii="Times" w:eastAsia="Times" w:hAnsi="Times" w:cs="Times"/>
          <w:color w:val="000000"/>
          <w:sz w:val="20"/>
        </w:rPr>
        <w:t xml:space="preserve">table </w:t>
      </w:r>
      <w:r>
        <w:rPr>
          <w:rFonts w:ascii="Times" w:eastAsia="Times" w:hAnsi="Times" w:cs="Times"/>
          <w:color w:val="000000"/>
          <w:sz w:val="18"/>
        </w:rPr>
        <w:t> </w:t>
      </w:r>
      <w:r>
        <w:rPr>
          <w:rFonts w:ascii="Times" w:eastAsia="Times" w:hAnsi="Times" w:cs="Times"/>
          <w:color w:val="000000"/>
          <w:sz w:val="20"/>
        </w:rPr>
        <w:t>represents</w:t>
      </w:r>
      <w:proofErr w:type="gramEnd"/>
      <w:r>
        <w:rPr>
          <w:rFonts w:ascii="Times" w:eastAsia="Times" w:hAnsi="Times" w:cs="Times"/>
          <w:color w:val="000000"/>
          <w:sz w:val="20"/>
        </w:rPr>
        <w:t xml:space="preserve"> the present value ("PV"), as of the Merger date, of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five-year projected unlevered free cash flows:</w:t>
      </w:r>
    </w:p>
    <w:p w14:paraId="1A0AB7CF" w14:textId="0205321B" w:rsidR="00303AAE" w:rsidRDefault="009A051E">
      <w:pPr>
        <w:pStyle w:val="Normal1"/>
        <w:widowControl w:val="0"/>
        <w:spacing w:before="240" w:line="260" w:lineRule="atLeast"/>
      </w:pPr>
      <w:r>
        <w:rPr>
          <w:noProof/>
        </w:rPr>
        <w:drawing>
          <wp:inline distT="0" distB="0" distL="0" distR="0" wp14:anchorId="2A1A5BA6" wp14:editId="00D18C6F">
            <wp:extent cx="191135" cy="191135"/>
            <wp:effectExtent l="0" t="0" r="120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bookmarkStart w:id="235" w:name="Table3_insert"/>
      <w:r w:rsidR="00E53B66">
        <w:fldChar w:fldCharType="begin"/>
      </w:r>
      <w:r w:rsidR="00E53B66">
        <w:instrText xml:space="preserve"> HYPERLINK  "" \l Table3</w:instrText>
      </w:r>
      <w:r w:rsidR="00E53B66">
        <w:fldChar w:fldCharType="separate"/>
      </w:r>
      <w:r w:rsidR="00E53B66">
        <w:rPr>
          <w:rFonts w:ascii="Times" w:eastAsia="Times" w:hAnsi="Times" w:cs="Times"/>
          <w:color w:val="0077CC"/>
          <w:sz w:val="20"/>
          <w:u w:val="single"/>
        </w:rPr>
        <w:t>Go to table3</w:t>
      </w:r>
      <w:r w:rsidR="00E53B66">
        <w:fldChar w:fldCharType="end"/>
      </w:r>
      <w:bookmarkEnd w:id="235"/>
    </w:p>
    <w:p w14:paraId="283A3879" w14:textId="77777777" w:rsidR="00303AAE" w:rsidRDefault="00E53B66">
      <w:pPr>
        <w:pStyle w:val="Normal1"/>
        <w:widowControl w:val="0"/>
        <w:spacing w:before="200" w:line="260" w:lineRule="atLeast"/>
        <w:jc w:val="both"/>
      </w:pPr>
      <w:bookmarkStart w:id="236" w:name="Bookmark_para_121"/>
      <w:bookmarkEnd w:id="236"/>
      <w:r>
        <w:rPr>
          <w:rFonts w:ascii="Times" w:eastAsia="Times" w:hAnsi="Times" w:cs="Times"/>
          <w:color w:val="000000"/>
          <w:sz w:val="20"/>
        </w:rPr>
        <w:t>The sum of the present value of the cash flows for 2010-2015 is $42 million.</w:t>
      </w:r>
    </w:p>
    <w:p w14:paraId="5C953D3E" w14:textId="77777777" w:rsidR="00303AAE" w:rsidRDefault="00E53B66">
      <w:pPr>
        <w:pStyle w:val="Normal1"/>
        <w:widowControl w:val="0"/>
        <w:spacing w:before="240" w:line="260" w:lineRule="atLeast"/>
      </w:pPr>
      <w:r>
        <w:rPr>
          <w:rFonts w:ascii="Times" w:eastAsia="Times" w:hAnsi="Times" w:cs="Times"/>
          <w:b/>
          <w:color w:val="000000"/>
          <w:sz w:val="20"/>
        </w:rPr>
        <w:t>3. Terminal value</w:t>
      </w:r>
    </w:p>
    <w:p w14:paraId="0EF8F18E" w14:textId="77B4ACF0" w:rsidR="00303AAE" w:rsidRDefault="00E53B66" w:rsidP="008B66EA">
      <w:pPr>
        <w:pStyle w:val="Normal1"/>
        <w:widowControl w:val="0"/>
        <w:spacing w:before="200" w:line="260" w:lineRule="atLeast"/>
        <w:jc w:val="both"/>
      </w:pPr>
      <w:bookmarkStart w:id="237" w:name="Bookmark_para_122"/>
      <w:bookmarkStart w:id="238" w:name="Bookmark_I590TCN628T43C0030000400"/>
      <w:bookmarkStart w:id="239" w:name="Bookmark_I590TCN628T43C0050000400"/>
      <w:bookmarkStart w:id="240" w:name="Bookmark_LNHNREFclscc17"/>
      <w:bookmarkEnd w:id="237"/>
      <w:bookmarkEnd w:id="238"/>
      <w:bookmarkEnd w:id="239"/>
      <w:bookmarkEnd w:id="240"/>
      <w:r>
        <w:rPr>
          <w:rFonts w:ascii="Times" w:eastAsia="Times" w:hAnsi="Times" w:cs="Times"/>
          <w:color w:val="000000"/>
          <w:sz w:val="20"/>
        </w:rPr>
        <w:t>"In a DCF analysis, future cash flows are projected for each year during a set period, typically five years. After that time, a terminal value is calculated to predict the company's cash flow into perpetuity."  "The two established methods for computing terminal value are the exit multiples model (a market approach) and the growth in perpetuity model [</w:t>
      </w:r>
      <w:r>
        <w:rPr>
          <w:rFonts w:ascii="Times" w:eastAsia="Times" w:hAnsi="Times" w:cs="Times"/>
          <w:i/>
          <w:color w:val="000000"/>
          <w:sz w:val="20"/>
        </w:rPr>
        <w:t>i.e.</w:t>
      </w:r>
      <w:r>
        <w:rPr>
          <w:rFonts w:ascii="Times" w:eastAsia="Times" w:hAnsi="Times" w:cs="Times"/>
          <w:color w:val="000000"/>
          <w:sz w:val="20"/>
        </w:rPr>
        <w:t xml:space="preserve">, the Gordon Growth Model]." "Both approaches have been accepted by this court in the past." </w:t>
      </w:r>
    </w:p>
    <w:p w14:paraId="7F57922C" w14:textId="4228D1C1" w:rsidR="00303AAE" w:rsidRDefault="00E53B66">
      <w:pPr>
        <w:pStyle w:val="Normal1"/>
        <w:widowControl w:val="0"/>
        <w:spacing w:before="200" w:line="260" w:lineRule="atLeast"/>
        <w:jc w:val="both"/>
      </w:pPr>
      <w:bookmarkStart w:id="241" w:name="Bookmark_para_123"/>
      <w:bookmarkEnd w:id="241"/>
      <w:r>
        <w:rPr>
          <w:rFonts w:ascii="Times" w:eastAsia="Times" w:hAnsi="Times" w:cs="Times"/>
          <w:color w:val="000000"/>
          <w:sz w:val="20"/>
        </w:rPr>
        <w:t xml:space="preserve">Both Bailey and the Gordian Experts estimated the terminal value of Cogent based on the perpetuity growth model or the Gordon Growth Model. The Gordian Experts also used an exit multiples approach that estimated a terminal value based on the multiples of enterprise value to estimated forward 2011 EBITDA for the set of comparable companies. </w:t>
      </w:r>
      <w:r w:rsidR="00AC2C5B">
        <w:rPr>
          <w:rFonts w:ascii="Times" w:eastAsia="Times" w:hAnsi="Times" w:cs="Times"/>
          <w:vertAlign w:val="superscript"/>
        </w:rPr>
        <w:t xml:space="preserve"> </w:t>
      </w:r>
    </w:p>
    <w:p w14:paraId="5D8FAE06" w14:textId="77777777" w:rsidR="00303AAE" w:rsidRDefault="00E53B66">
      <w:pPr>
        <w:pStyle w:val="Normal1"/>
        <w:widowControl w:val="0"/>
        <w:spacing w:before="240" w:line="260" w:lineRule="atLeast"/>
      </w:pPr>
      <w:r>
        <w:rPr>
          <w:rFonts w:ascii="Times" w:eastAsia="Times" w:hAnsi="Times" w:cs="Times"/>
          <w:b/>
          <w:color w:val="000000"/>
          <w:sz w:val="20"/>
        </w:rPr>
        <w:t>a. The Gordon Growth Model</w:t>
      </w:r>
    </w:p>
    <w:p w14:paraId="57A08F28" w14:textId="3303A1CB" w:rsidR="00303AAE" w:rsidRDefault="00E53B66" w:rsidP="00AC2C5B">
      <w:pPr>
        <w:pStyle w:val="Normal1"/>
        <w:widowControl w:val="0"/>
        <w:spacing w:before="200" w:line="260" w:lineRule="atLeast"/>
        <w:jc w:val="both"/>
      </w:pPr>
      <w:bookmarkStart w:id="242" w:name="Bookmark_para_124"/>
      <w:bookmarkEnd w:id="242"/>
      <w:r>
        <w:rPr>
          <w:rFonts w:ascii="Times" w:eastAsia="Times" w:hAnsi="Times" w:cs="Times"/>
          <w:color w:val="000000"/>
          <w:sz w:val="20"/>
        </w:rPr>
        <w:t xml:space="preserve">The Gordon Growth Model can be expressed as follows </w:t>
      </w:r>
      <w:r>
        <w:rPr>
          <w:rFonts w:ascii="Times" w:eastAsia="Times" w:hAnsi="Times" w:cs="Times"/>
          <w:vertAlign w:val="superscript"/>
        </w:rPr>
        <w:footnoteReference w:customMarkFollows="1" w:id="30"/>
        <w:t>171</w:t>
      </w:r>
      <w:r>
        <w:rPr>
          <w:rFonts w:ascii="Times" w:eastAsia="Times" w:hAnsi="Times" w:cs="Times"/>
          <w:color w:val="000000"/>
          <w:sz w:val="20"/>
        </w:rPr>
        <w:t>:</w:t>
      </w:r>
    </w:p>
    <w:p w14:paraId="456A4464" w14:textId="2D62C9EE" w:rsidR="00303AAE" w:rsidRDefault="00E53B66" w:rsidP="00AC2C5B">
      <w:pPr>
        <w:pStyle w:val="Normal1"/>
        <w:widowControl w:val="0"/>
        <w:spacing w:before="200" w:line="260" w:lineRule="atLeast"/>
        <w:ind w:left="400"/>
        <w:jc w:val="both"/>
      </w:pPr>
      <w:bookmarkStart w:id="244" w:name="Bookmark_para_125"/>
      <w:bookmarkEnd w:id="244"/>
      <w:r>
        <w:rPr>
          <w:rFonts w:ascii="Times" w:eastAsia="Times" w:hAnsi="Times" w:cs="Times"/>
          <w:i/>
          <w:color w:val="000000"/>
          <w:sz w:val="20"/>
        </w:rPr>
        <w:t>TV</w:t>
      </w:r>
      <w:r>
        <w:rPr>
          <w:rFonts w:ascii="Times" w:eastAsia="Times" w:hAnsi="Times" w:cs="Times"/>
          <w:color w:val="000000"/>
          <w:sz w:val="20"/>
        </w:rPr>
        <w:t xml:space="preserve"> = </w:t>
      </w:r>
      <w:proofErr w:type="spellStart"/>
      <w:r>
        <w:rPr>
          <w:rFonts w:ascii="Times" w:eastAsia="Times" w:hAnsi="Times" w:cs="Times"/>
          <w:i/>
          <w:color w:val="000000"/>
          <w:sz w:val="20"/>
        </w:rPr>
        <w:t>FCF</w:t>
      </w:r>
      <w:r w:rsidRPr="00AC2C5B">
        <w:rPr>
          <w:rFonts w:ascii="Times" w:eastAsia="Times" w:hAnsi="Times" w:cs="Times"/>
          <w:i/>
          <w:color w:val="000000"/>
          <w:sz w:val="20"/>
          <w:vertAlign w:val="subscript"/>
        </w:rPr>
        <w:t>t</w:t>
      </w:r>
      <w:proofErr w:type="spellEnd"/>
      <w:r w:rsidRPr="00AC2C5B">
        <w:rPr>
          <w:rFonts w:ascii="Times" w:eastAsia="Times" w:hAnsi="Times" w:cs="Times"/>
          <w:color w:val="000000"/>
          <w:sz w:val="20"/>
          <w:vertAlign w:val="subscript"/>
        </w:rPr>
        <w:t xml:space="preserve"> + 1</w:t>
      </w:r>
      <w:r>
        <w:rPr>
          <w:rFonts w:ascii="Times" w:eastAsia="Times" w:hAnsi="Times" w:cs="Times"/>
          <w:color w:val="000000"/>
          <w:sz w:val="20"/>
        </w:rPr>
        <w:t>/</w:t>
      </w:r>
      <w:r>
        <w:rPr>
          <w:rFonts w:ascii="Times" w:eastAsia="Times" w:hAnsi="Times" w:cs="Times"/>
          <w:i/>
          <w:color w:val="000000"/>
          <w:sz w:val="20"/>
        </w:rPr>
        <w:t>WACC - g</w:t>
      </w:r>
    </w:p>
    <w:p w14:paraId="18CE7E08" w14:textId="77777777" w:rsidR="00303AAE" w:rsidRDefault="00E53B66">
      <w:pPr>
        <w:pStyle w:val="Normal1"/>
        <w:widowControl w:val="0"/>
        <w:spacing w:before="200" w:line="260" w:lineRule="atLeast"/>
        <w:ind w:left="400"/>
        <w:jc w:val="both"/>
      </w:pPr>
      <w:bookmarkStart w:id="245" w:name="Bookmark_para_126"/>
      <w:bookmarkEnd w:id="245"/>
      <w:r>
        <w:rPr>
          <w:rFonts w:ascii="Times" w:eastAsia="Times" w:hAnsi="Times" w:cs="Times"/>
          <w:i/>
          <w:color w:val="000000"/>
          <w:sz w:val="20"/>
        </w:rPr>
        <w:t>TV</w:t>
      </w:r>
      <w:r>
        <w:rPr>
          <w:rFonts w:ascii="Times" w:eastAsia="Times" w:hAnsi="Times" w:cs="Times"/>
          <w:color w:val="000000"/>
          <w:sz w:val="20"/>
        </w:rPr>
        <w:t xml:space="preserve"> = Terminal value</w:t>
      </w:r>
    </w:p>
    <w:p w14:paraId="7086C558" w14:textId="41E9797E" w:rsidR="00303AAE" w:rsidRDefault="00E53B66">
      <w:pPr>
        <w:pStyle w:val="Normal1"/>
        <w:widowControl w:val="0"/>
        <w:spacing w:before="200" w:line="260" w:lineRule="atLeast"/>
        <w:ind w:left="400"/>
        <w:jc w:val="both"/>
      </w:pPr>
      <w:bookmarkStart w:id="246" w:name="Bookmark_para_127"/>
      <w:bookmarkEnd w:id="246"/>
      <w:proofErr w:type="spellStart"/>
      <w:r>
        <w:rPr>
          <w:rFonts w:ascii="Times" w:eastAsia="Times" w:hAnsi="Times" w:cs="Times"/>
          <w:i/>
          <w:color w:val="000000"/>
          <w:sz w:val="20"/>
        </w:rPr>
        <w:t>FCF</w:t>
      </w:r>
      <w:r w:rsidRPr="00AC2C5B">
        <w:rPr>
          <w:rFonts w:ascii="Times" w:eastAsia="Times" w:hAnsi="Times" w:cs="Times"/>
          <w:i/>
          <w:color w:val="000000"/>
          <w:sz w:val="20"/>
          <w:vertAlign w:val="subscript"/>
        </w:rPr>
        <w:t>t</w:t>
      </w:r>
      <w:proofErr w:type="spellEnd"/>
      <w:r w:rsidRPr="00AC2C5B">
        <w:rPr>
          <w:rFonts w:ascii="Times" w:eastAsia="Times" w:hAnsi="Times" w:cs="Times"/>
          <w:color w:val="000000"/>
          <w:sz w:val="20"/>
          <w:vertAlign w:val="subscript"/>
        </w:rPr>
        <w:t xml:space="preserve"> + 1 </w:t>
      </w:r>
      <w:r>
        <w:rPr>
          <w:rFonts w:ascii="Times" w:eastAsia="Times" w:hAnsi="Times" w:cs="Times"/>
          <w:color w:val="000000"/>
          <w:sz w:val="20"/>
        </w:rPr>
        <w:t>= Free cash flow in the first year after the explicit forecast period</w:t>
      </w:r>
    </w:p>
    <w:p w14:paraId="7D4DC597" w14:textId="77777777" w:rsidR="00303AAE" w:rsidRDefault="00E53B66">
      <w:pPr>
        <w:pStyle w:val="Normal1"/>
        <w:widowControl w:val="0"/>
        <w:spacing w:before="200" w:line="260" w:lineRule="atLeast"/>
        <w:ind w:left="400"/>
        <w:jc w:val="both"/>
      </w:pPr>
      <w:bookmarkStart w:id="247" w:name="Bookmark_para_128"/>
      <w:bookmarkEnd w:id="247"/>
      <w:r>
        <w:rPr>
          <w:rFonts w:ascii="Times" w:eastAsia="Times" w:hAnsi="Times" w:cs="Times"/>
          <w:i/>
          <w:color w:val="000000"/>
          <w:sz w:val="20"/>
        </w:rPr>
        <w:t>WACC</w:t>
      </w:r>
      <w:r>
        <w:rPr>
          <w:rFonts w:ascii="Times" w:eastAsia="Times" w:hAnsi="Times" w:cs="Times"/>
          <w:color w:val="000000"/>
          <w:sz w:val="20"/>
        </w:rPr>
        <w:t xml:space="preserve"> = Weighted average cost of capital</w:t>
      </w:r>
    </w:p>
    <w:p w14:paraId="2BA21F2D" w14:textId="77777777" w:rsidR="00303AAE" w:rsidRDefault="00E53B66">
      <w:pPr>
        <w:pStyle w:val="Normal1"/>
        <w:widowControl w:val="0"/>
        <w:spacing w:before="200" w:line="260" w:lineRule="atLeast"/>
        <w:ind w:left="400"/>
        <w:jc w:val="both"/>
      </w:pPr>
      <w:bookmarkStart w:id="248" w:name="Bookmark_para_129"/>
      <w:bookmarkEnd w:id="248"/>
      <w:r>
        <w:rPr>
          <w:rFonts w:ascii="Times" w:eastAsia="Times" w:hAnsi="Times" w:cs="Times"/>
          <w:i/>
          <w:color w:val="000000"/>
          <w:sz w:val="20"/>
        </w:rPr>
        <w:t>g</w:t>
      </w:r>
      <w:r>
        <w:rPr>
          <w:rFonts w:ascii="Times" w:eastAsia="Times" w:hAnsi="Times" w:cs="Times"/>
          <w:color w:val="000000"/>
          <w:sz w:val="20"/>
        </w:rPr>
        <w:t xml:space="preserve"> = Expected growth rate of free cash flow into perpetuity</w:t>
      </w:r>
    </w:p>
    <w:p w14:paraId="6E069112" w14:textId="2191F753" w:rsidR="00303AAE" w:rsidRDefault="00E53B66" w:rsidP="00AC2C5B">
      <w:pPr>
        <w:pStyle w:val="Normal1"/>
        <w:widowControl w:val="0"/>
        <w:spacing w:before="200" w:line="260" w:lineRule="atLeast"/>
        <w:jc w:val="both"/>
      </w:pPr>
      <w:bookmarkStart w:id="249" w:name="Bookmark_para_130"/>
      <w:bookmarkStart w:id="250" w:name="Bookmark_I590TCN62HM6TJ0020000400"/>
      <w:bookmarkEnd w:id="249"/>
      <w:bookmarkEnd w:id="250"/>
      <w:r>
        <w:rPr>
          <w:rFonts w:ascii="Times" w:eastAsia="Times" w:hAnsi="Times" w:cs="Times"/>
          <w:color w:val="000000"/>
          <w:sz w:val="20"/>
        </w:rPr>
        <w:t xml:space="preserve">To calculate terminal value using the Gordon Growth Model, the Court must select a long-term growth rate, </w:t>
      </w:r>
      <w:r>
        <w:rPr>
          <w:rFonts w:ascii="Times" w:eastAsia="Times" w:hAnsi="Times" w:cs="Times"/>
          <w:i/>
          <w:color w:val="000000"/>
          <w:sz w:val="20"/>
        </w:rPr>
        <w:t>i.e.</w:t>
      </w:r>
      <w:r>
        <w:rPr>
          <w:rFonts w:ascii="Times" w:eastAsia="Times" w:hAnsi="Times" w:cs="Times"/>
          <w:color w:val="000000"/>
          <w:sz w:val="20"/>
        </w:rPr>
        <w:t xml:space="preserve">, the expected growth rate of free cash flows into perpetuity. "A viable company should grow at least at the rate of inflation and . . . the rate of inflation is the floor for a terminal value estimate for </w:t>
      </w:r>
      <w:r>
        <w:rPr>
          <w:rFonts w:ascii="Times" w:eastAsia="Times" w:hAnsi="Times" w:cs="Times"/>
          <w:color w:val="000000"/>
          <w:sz w:val="20"/>
        </w:rPr>
        <w:lastRenderedPageBreak/>
        <w:t>a solidly profitable company that does not have an identifiable risk of insolvency." But, a terminal growth rate should not be greater than the nominal growth rate for the United States economy, because "[</w:t>
      </w:r>
      <w:proofErr w:type="spellStart"/>
      <w:r>
        <w:rPr>
          <w:rFonts w:ascii="Times" w:eastAsia="Times" w:hAnsi="Times" w:cs="Times"/>
          <w:color w:val="000000"/>
          <w:sz w:val="20"/>
        </w:rPr>
        <w:t>i</w:t>
      </w:r>
      <w:proofErr w:type="spellEnd"/>
      <w:r>
        <w:rPr>
          <w:rFonts w:ascii="Times" w:eastAsia="Times" w:hAnsi="Times" w:cs="Times"/>
          <w:color w:val="000000"/>
          <w:sz w:val="20"/>
        </w:rPr>
        <w:t xml:space="preserve">]f a company is assumed to grow at a higher rate indefinitely, its cash flow would eventually exceed America's [gross national product]." </w:t>
      </w:r>
      <w:r>
        <w:rPr>
          <w:rFonts w:ascii="Times" w:eastAsia="Times" w:hAnsi="Times" w:cs="Times"/>
          <w:vertAlign w:val="superscript"/>
        </w:rPr>
        <w:footnoteReference w:customMarkFollows="1" w:id="31"/>
        <w:t>173</w:t>
      </w:r>
    </w:p>
    <w:p w14:paraId="3B60A196" w14:textId="7A68A9E4" w:rsidR="00303AAE" w:rsidRDefault="00E53B66" w:rsidP="001B5D5F">
      <w:pPr>
        <w:pStyle w:val="Normal1"/>
        <w:widowControl w:val="0"/>
        <w:spacing w:before="200" w:line="260" w:lineRule="atLeast"/>
        <w:jc w:val="both"/>
      </w:pPr>
      <w:bookmarkStart w:id="252" w:name="Bookmark_para_131"/>
      <w:bookmarkEnd w:id="252"/>
      <w:r>
        <w:rPr>
          <w:rFonts w:ascii="Times" w:eastAsia="Times" w:hAnsi="Times" w:cs="Times"/>
          <w:color w:val="000000"/>
          <w:sz w:val="20"/>
        </w:rPr>
        <w:t xml:space="preserve">Relying on historical GDP and inflation data, economic </w:t>
      </w:r>
      <w:proofErr w:type="spellStart"/>
      <w:proofErr w:type="gramStart"/>
      <w:r>
        <w:rPr>
          <w:rFonts w:ascii="Times" w:eastAsia="Times" w:hAnsi="Times" w:cs="Times"/>
          <w:color w:val="000000"/>
          <w:sz w:val="20"/>
        </w:rPr>
        <w:t>analysts</w:t>
      </w:r>
      <w:proofErr w:type="spellEnd"/>
      <w:proofErr w:type="gramEnd"/>
      <w:r>
        <w:rPr>
          <w:rFonts w:ascii="Times" w:eastAsia="Times" w:hAnsi="Times" w:cs="Times"/>
          <w:color w:val="000000"/>
          <w:sz w:val="20"/>
        </w:rPr>
        <w:t xml:space="preserve"> projections, and the growth prospects of the biometrics industry, Bailey selected a perpetuity growth rate of 4.5%. The Gordian Experts, on the other hand, used a range of growth rates between 2% and 5%, and implicitly selected the midpoint of 3.5%. The Gordian Experts, however, provided no analysis or explanation in support of the number they chose for the terminal growth rate. </w:t>
      </w:r>
      <w:r>
        <w:rPr>
          <w:rFonts w:ascii="Times" w:eastAsia="Times" w:hAnsi="Times" w:cs="Times"/>
          <w:vertAlign w:val="superscript"/>
        </w:rPr>
        <w:footnoteReference w:customMarkFollows="1" w:id="32"/>
        <w:t>176</w:t>
      </w:r>
      <w:r w:rsidR="00AC2C5B">
        <w:t xml:space="preserve"> </w:t>
      </w:r>
      <w:r>
        <w:rPr>
          <w:rFonts w:ascii="Times" w:eastAsia="Times" w:hAnsi="Times" w:cs="Times"/>
          <w:color w:val="000000"/>
          <w:sz w:val="20"/>
        </w:rPr>
        <w:t>Because Bailey was the only expert who sought to justify his conclusion, and his conclusion is within the range of rates identified by Respondent's expert and appears to be reasonable based on the evidence, I adopt Bailey's estimate of a 4.5% perpetuity growth rate.</w:t>
      </w:r>
    </w:p>
    <w:p w14:paraId="0523C173" w14:textId="52444DAF" w:rsidR="00303AAE" w:rsidRDefault="00E53B66">
      <w:pPr>
        <w:pStyle w:val="Normal1"/>
        <w:widowControl w:val="0"/>
        <w:spacing w:before="200" w:line="260" w:lineRule="atLeast"/>
        <w:jc w:val="both"/>
      </w:pPr>
      <w:bookmarkStart w:id="254" w:name="Bookmark_para_132"/>
      <w:bookmarkEnd w:id="254"/>
      <w:r>
        <w:rPr>
          <w:rFonts w:ascii="Times" w:eastAsia="Times" w:hAnsi="Times" w:cs="Times"/>
          <w:color w:val="000000"/>
          <w:sz w:val="20"/>
        </w:rPr>
        <w:t xml:space="preserve">The parties also disagree as to whether the Court should use a two-stage or a three-stage DCF model. The Gordian Experts used a two-stage model whereby, at the end of the management projections in 2015, they estimated a single percentage figure that they would use as a proxy for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perpetual rate of growth beyond that period. Bailey, on the other hand, "gradually step[</w:t>
      </w:r>
      <w:proofErr w:type="spellStart"/>
      <w:r>
        <w:rPr>
          <w:rFonts w:ascii="Times" w:eastAsia="Times" w:hAnsi="Times" w:cs="Times"/>
          <w:color w:val="000000"/>
          <w:sz w:val="20"/>
        </w:rPr>
        <w:t>ped</w:t>
      </w:r>
      <w:proofErr w:type="spellEnd"/>
      <w:r>
        <w:rPr>
          <w:rFonts w:ascii="Times" w:eastAsia="Times" w:hAnsi="Times" w:cs="Times"/>
          <w:color w:val="000000"/>
          <w:sz w:val="20"/>
        </w:rPr>
        <w:t xml:space="preserve">] down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growth rate using a linear progression over the period from 2016 through </w:t>
      </w:r>
      <w:r>
        <w:rPr>
          <w:rFonts w:ascii="Times" w:eastAsia="Times" w:hAnsi="Times" w:cs="Times"/>
          <w:color w:val="000000"/>
          <w:sz w:val="18"/>
        </w:rPr>
        <w:t>  </w:t>
      </w:r>
      <w:r>
        <w:rPr>
          <w:rFonts w:ascii="Times" w:eastAsia="Times" w:hAnsi="Times" w:cs="Times"/>
          <w:color w:val="000000"/>
          <w:sz w:val="20"/>
        </w:rPr>
        <w:t xml:space="preserve">the terminal year, 2021," before applying his terminal growth percentage. </w:t>
      </w:r>
    </w:p>
    <w:p w14:paraId="559AF8CA" w14:textId="407403D2" w:rsidR="00303AAE" w:rsidRDefault="00E53B66" w:rsidP="00CD7FEB">
      <w:pPr>
        <w:pStyle w:val="Normal1"/>
        <w:widowControl w:val="0"/>
        <w:spacing w:before="200" w:line="260" w:lineRule="atLeast"/>
        <w:jc w:val="both"/>
      </w:pPr>
      <w:bookmarkStart w:id="255" w:name="Bookmark_para_133"/>
      <w:bookmarkStart w:id="256" w:name="Bookmark_I590TCN62D6N6C0010000400"/>
      <w:bookmarkEnd w:id="255"/>
      <w:bookmarkEnd w:id="256"/>
      <w:r>
        <w:rPr>
          <w:rFonts w:ascii="Times" w:eastAsia="Times" w:hAnsi="Times" w:cs="Times"/>
          <w:color w:val="000000"/>
          <w:sz w:val="20"/>
        </w:rPr>
        <w:t xml:space="preserve">"As a general matter, neither approach is inherently preferable."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notes, however, that the two-stage model "is best suited for firms that are in high growth and expect to maintain that growth rate for a specific time period, after which the sources of the high growth are expected to disappear." </w:t>
      </w:r>
      <w:r>
        <w:rPr>
          <w:rFonts w:ascii="Times" w:eastAsia="Times" w:hAnsi="Times" w:cs="Times"/>
          <w:vertAlign w:val="superscript"/>
        </w:rPr>
        <w:footnoteReference w:customMarkFollows="1" w:id="33"/>
        <w:t>179</w:t>
      </w:r>
    </w:p>
    <w:p w14:paraId="35474F46" w14:textId="77777777" w:rsidR="00303AAE" w:rsidRDefault="00E53B66">
      <w:pPr>
        <w:pStyle w:val="Normal1"/>
        <w:widowControl w:val="0"/>
        <w:spacing w:line="260" w:lineRule="atLeast"/>
        <w:jc w:val="both"/>
      </w:pPr>
      <w:r>
        <w:rPr>
          <w:rFonts w:ascii="Times" w:eastAsia="Times" w:hAnsi="Times" w:cs="Times"/>
          <w:color w:val="000000"/>
          <w:sz w:val="20"/>
        </w:rPr>
        <w:t xml:space="preserve">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provides two examples where this might apply:</w:t>
      </w:r>
    </w:p>
    <w:p w14:paraId="0BB90DDE" w14:textId="3DC36E99" w:rsidR="00303AAE" w:rsidRDefault="00E53B66">
      <w:pPr>
        <w:pStyle w:val="Normal1"/>
        <w:widowControl w:val="0"/>
        <w:spacing w:line="260" w:lineRule="atLeast"/>
        <w:ind w:left="400"/>
        <w:jc w:val="both"/>
      </w:pPr>
      <w:bookmarkStart w:id="258" w:name="Bookmark_para_134"/>
      <w:bookmarkEnd w:id="258"/>
      <w:r>
        <w:rPr>
          <w:rFonts w:ascii="Times" w:eastAsia="Times" w:hAnsi="Times" w:cs="Times"/>
          <w:color w:val="000000"/>
          <w:sz w:val="20"/>
        </w:rPr>
        <w:t xml:space="preserve">One scenario . . . is when a company has patent rights to a very profitable product for the next few years and is expected to enjoy supernormal growth during this period. Once the patent expires, it is expected to settle back into stable growth. Another scenario where it may be reasonable to make this assumption about growth is when a firm is in an industry that is enjoying super-normal </w:t>
      </w:r>
      <w:r>
        <w:rPr>
          <w:rFonts w:ascii="Times" w:eastAsia="Times" w:hAnsi="Times" w:cs="Times"/>
          <w:color w:val="000000"/>
          <w:sz w:val="20"/>
        </w:rPr>
        <w:lastRenderedPageBreak/>
        <w:t xml:space="preserve">growth, because there are significant barriers to entry (either legal or as a consequence of infrastructure requirements), which can be expected to keep new entrants out for several years. </w:t>
      </w:r>
    </w:p>
    <w:p w14:paraId="566168CD" w14:textId="79614B7F" w:rsidR="00303AAE" w:rsidRDefault="00E53B66" w:rsidP="00CD7FEB">
      <w:pPr>
        <w:pStyle w:val="Normal1"/>
        <w:widowControl w:val="0"/>
        <w:spacing w:before="200" w:line="260" w:lineRule="atLeast"/>
        <w:jc w:val="both"/>
      </w:pPr>
      <w:r>
        <w:rPr>
          <w:rFonts w:ascii="Times" w:eastAsia="Times" w:hAnsi="Times" w:cs="Times"/>
          <w:color w:val="000000"/>
          <w:sz w:val="20"/>
        </w:rPr>
        <w:t xml:space="preserve">The three-stage model, on the other hand, "is the most general of the models because it does not impose any restrictions on the payout ratio. This model assumes an initial period of stable high growth, a second period of declining growth, and a third period of stable low growth that lasts forever." </w:t>
      </w:r>
      <w:proofErr w:type="spellStart"/>
      <w:r>
        <w:rPr>
          <w:rFonts w:ascii="Times" w:eastAsia="Times" w:hAnsi="Times" w:cs="Times"/>
          <w:color w:val="000000"/>
          <w:sz w:val="20"/>
        </w:rPr>
        <w:t>Damodaran</w:t>
      </w:r>
      <w:proofErr w:type="spellEnd"/>
      <w:r>
        <w:rPr>
          <w:rFonts w:ascii="Times" w:eastAsia="Times" w:hAnsi="Times" w:cs="Times"/>
          <w:color w:val="000000"/>
          <w:sz w:val="20"/>
        </w:rPr>
        <w:t xml:space="preserve"> notes that the three-stage model is best suited "for a firm whose earnings are growing at very high rates, are expected to continue growing at those rates for an initial period, but are expected to start declining gradually toward a stable rate as the firm become[</w:t>
      </w:r>
      <w:proofErr w:type="spellStart"/>
      <w:r>
        <w:rPr>
          <w:rFonts w:ascii="Times" w:eastAsia="Times" w:hAnsi="Times" w:cs="Times"/>
          <w:color w:val="000000"/>
          <w:sz w:val="20"/>
        </w:rPr>
        <w:t>s</w:t>
      </w:r>
      <w:proofErr w:type="spellEnd"/>
      <w:r>
        <w:rPr>
          <w:rFonts w:ascii="Times" w:eastAsia="Times" w:hAnsi="Times" w:cs="Times"/>
          <w:color w:val="000000"/>
          <w:sz w:val="20"/>
        </w:rPr>
        <w:t xml:space="preserve">] large and loses its competitive advantages." </w:t>
      </w:r>
    </w:p>
    <w:p w14:paraId="71FE60AE" w14:textId="77777777" w:rsidR="00303AAE" w:rsidRDefault="00E53B66">
      <w:pPr>
        <w:pStyle w:val="Normal1"/>
        <w:widowControl w:val="0"/>
        <w:spacing w:before="200" w:line="260" w:lineRule="atLeast"/>
        <w:jc w:val="both"/>
      </w:pPr>
      <w:bookmarkStart w:id="259" w:name="Bookmark_para_135"/>
      <w:bookmarkEnd w:id="259"/>
      <w:r>
        <w:rPr>
          <w:rFonts w:ascii="Times" w:eastAsia="Times" w:hAnsi="Times" w:cs="Times"/>
          <w:color w:val="000000"/>
          <w:sz w:val="20"/>
        </w:rPr>
        <w:t xml:space="preserve">Based on my assumptions,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earnings are expected to grow at a high rate of 11.45% for the initial period before moving to a stable growth rate of 4.5%. </w:t>
      </w:r>
      <w:r>
        <w:rPr>
          <w:rFonts w:ascii="Times" w:eastAsia="Times" w:hAnsi="Times" w:cs="Times"/>
          <w:vertAlign w:val="superscript"/>
        </w:rPr>
        <w:footnoteReference w:customMarkFollows="1" w:id="34"/>
        <w:t>183</w:t>
      </w:r>
    </w:p>
    <w:p w14:paraId="46CFD5BE" w14:textId="76AE6788" w:rsidR="00303AAE" w:rsidRDefault="00E53B66">
      <w:pPr>
        <w:pStyle w:val="Normal1"/>
        <w:widowControl w:val="0"/>
        <w:spacing w:before="200" w:line="260" w:lineRule="atLeast"/>
        <w:jc w:val="both"/>
      </w:pPr>
      <w:r>
        <w:rPr>
          <w:rFonts w:ascii="Times" w:eastAsia="Times" w:hAnsi="Times" w:cs="Times"/>
          <w:color w:val="000000"/>
          <w:sz w:val="20"/>
        </w:rPr>
        <w:t xml:space="preserve"> I expect that decline will occur gradually as Cogent loses its competitive advantages in the field. Cogent is not in an industry where there are significant barriers that will disappear after 2015. Nor does Respondent identify any other reason to assume a precipitous drop-off. Accordingly, I believe that Bailey's three-</w:t>
      </w:r>
      <w:proofErr w:type="gramStart"/>
      <w:r>
        <w:rPr>
          <w:rFonts w:ascii="Times" w:eastAsia="Times" w:hAnsi="Times" w:cs="Times"/>
          <w:color w:val="000000"/>
          <w:sz w:val="20"/>
        </w:rPr>
        <w:t xml:space="preserve">stage </w:t>
      </w:r>
      <w:r>
        <w:rPr>
          <w:rFonts w:ascii="Times" w:eastAsia="Times" w:hAnsi="Times" w:cs="Times"/>
          <w:color w:val="000000"/>
          <w:sz w:val="18"/>
        </w:rPr>
        <w:t> </w:t>
      </w:r>
      <w:r>
        <w:rPr>
          <w:rFonts w:ascii="Times" w:eastAsia="Times" w:hAnsi="Times" w:cs="Times"/>
          <w:color w:val="000000"/>
          <w:sz w:val="20"/>
        </w:rPr>
        <w:t>model</w:t>
      </w:r>
      <w:proofErr w:type="gramEnd"/>
      <w:r>
        <w:rPr>
          <w:rFonts w:ascii="Times" w:eastAsia="Times" w:hAnsi="Times" w:cs="Times"/>
          <w:color w:val="000000"/>
          <w:sz w:val="20"/>
        </w:rPr>
        <w:t xml:space="preserve"> best reflects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expected growth over time and adopt that approach.</w:t>
      </w:r>
    </w:p>
    <w:p w14:paraId="2E47AE78" w14:textId="77777777" w:rsidR="00303AAE" w:rsidRDefault="00E53B66">
      <w:pPr>
        <w:pStyle w:val="Normal1"/>
        <w:widowControl w:val="0"/>
        <w:spacing w:before="200" w:line="260" w:lineRule="atLeast"/>
        <w:jc w:val="both"/>
      </w:pPr>
      <w:bookmarkStart w:id="261" w:name="Bookmark_para_136"/>
      <w:bookmarkEnd w:id="261"/>
      <w:r>
        <w:rPr>
          <w:rFonts w:ascii="Times" w:eastAsia="Times" w:hAnsi="Times" w:cs="Times"/>
          <w:color w:val="000000"/>
          <w:sz w:val="20"/>
        </w:rPr>
        <w:t xml:space="preserve">The following table represents my calculation of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unlevered free cash flow for the years 2016 through 2021, using a linear progression to step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growth rate down to 4.5% in 2021:</w:t>
      </w:r>
    </w:p>
    <w:p w14:paraId="0EFD0046" w14:textId="0F2E27CE" w:rsidR="00303AAE" w:rsidRDefault="009A051E">
      <w:pPr>
        <w:pStyle w:val="Normal1"/>
        <w:widowControl w:val="0"/>
        <w:spacing w:before="240" w:line="260" w:lineRule="atLeast"/>
      </w:pPr>
      <w:r>
        <w:rPr>
          <w:noProof/>
        </w:rPr>
        <w:drawing>
          <wp:inline distT="0" distB="0" distL="0" distR="0" wp14:anchorId="503AB237" wp14:editId="64E06276">
            <wp:extent cx="191135" cy="191135"/>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bookmarkStart w:id="262" w:name="Table4_insert"/>
      <w:r w:rsidR="00E53B66">
        <w:fldChar w:fldCharType="begin"/>
      </w:r>
      <w:r w:rsidR="00E53B66">
        <w:instrText xml:space="preserve"> HYPERLINK  "" \l Table4</w:instrText>
      </w:r>
      <w:r w:rsidR="00E53B66">
        <w:fldChar w:fldCharType="separate"/>
      </w:r>
      <w:r w:rsidR="00E53B66">
        <w:rPr>
          <w:rFonts w:ascii="Times" w:eastAsia="Times" w:hAnsi="Times" w:cs="Times"/>
          <w:color w:val="0077CC"/>
          <w:sz w:val="20"/>
          <w:u w:val="single"/>
        </w:rPr>
        <w:t>Go to table4</w:t>
      </w:r>
      <w:r w:rsidR="00E53B66">
        <w:fldChar w:fldCharType="end"/>
      </w:r>
      <w:bookmarkEnd w:id="262"/>
    </w:p>
    <w:p w14:paraId="1B002645" w14:textId="77777777" w:rsidR="00303AAE" w:rsidRDefault="00E53B66">
      <w:pPr>
        <w:pStyle w:val="Normal1"/>
        <w:widowControl w:val="0"/>
        <w:spacing w:before="200" w:line="260" w:lineRule="atLeast"/>
        <w:jc w:val="both"/>
      </w:pPr>
      <w:bookmarkStart w:id="263" w:name="Bookmark_para_137"/>
      <w:bookmarkEnd w:id="263"/>
      <w:r>
        <w:rPr>
          <w:rFonts w:ascii="Times" w:eastAsia="Times" w:hAnsi="Times" w:cs="Times"/>
          <w:color w:val="000000"/>
          <w:sz w:val="20"/>
        </w:rPr>
        <w:t>Discounting those values back to the Merger Date using the WACC of 11.954% yields the following values:</w:t>
      </w:r>
    </w:p>
    <w:p w14:paraId="6FC8D851" w14:textId="51589BA0" w:rsidR="00303AAE" w:rsidRDefault="009A051E">
      <w:pPr>
        <w:pStyle w:val="Normal1"/>
        <w:widowControl w:val="0"/>
        <w:spacing w:before="240" w:line="260" w:lineRule="atLeast"/>
      </w:pPr>
      <w:r>
        <w:rPr>
          <w:noProof/>
        </w:rPr>
        <w:drawing>
          <wp:inline distT="0" distB="0" distL="0" distR="0" wp14:anchorId="76D3C9AF" wp14:editId="0632439D">
            <wp:extent cx="191135" cy="191135"/>
            <wp:effectExtent l="0" t="0" r="1206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bookmarkStart w:id="264" w:name="Table5_insert"/>
      <w:r w:rsidR="00E53B66">
        <w:fldChar w:fldCharType="begin"/>
      </w:r>
      <w:r w:rsidR="00E53B66">
        <w:instrText xml:space="preserve"> HYPERLINK  "" \l Table5</w:instrText>
      </w:r>
      <w:r w:rsidR="00E53B66">
        <w:fldChar w:fldCharType="separate"/>
      </w:r>
      <w:r w:rsidR="00E53B66">
        <w:rPr>
          <w:rFonts w:ascii="Times" w:eastAsia="Times" w:hAnsi="Times" w:cs="Times"/>
          <w:color w:val="0077CC"/>
          <w:sz w:val="20"/>
          <w:u w:val="single"/>
        </w:rPr>
        <w:t>Go to table5</w:t>
      </w:r>
      <w:r w:rsidR="00E53B66">
        <w:fldChar w:fldCharType="end"/>
      </w:r>
      <w:bookmarkEnd w:id="264"/>
    </w:p>
    <w:p w14:paraId="071F7E8F" w14:textId="77777777" w:rsidR="00303AAE" w:rsidRDefault="00E53B66">
      <w:pPr>
        <w:pStyle w:val="Normal1"/>
        <w:widowControl w:val="0"/>
        <w:spacing w:before="200" w:line="260" w:lineRule="atLeast"/>
        <w:jc w:val="both"/>
      </w:pPr>
      <w:bookmarkStart w:id="265" w:name="Bookmark_para_138"/>
      <w:bookmarkEnd w:id="265"/>
      <w:r>
        <w:rPr>
          <w:rFonts w:ascii="Times" w:eastAsia="Times" w:hAnsi="Times" w:cs="Times"/>
          <w:color w:val="000000"/>
          <w:sz w:val="20"/>
        </w:rPr>
        <w:t>Thus, the sum of the present values of the cash flows for 2016-2020 is $111.5 million.</w:t>
      </w:r>
    </w:p>
    <w:p w14:paraId="62F4FD93" w14:textId="1BC6C63E" w:rsidR="00303AAE" w:rsidRDefault="00E53B66" w:rsidP="00C3344F">
      <w:pPr>
        <w:pStyle w:val="Normal1"/>
        <w:widowControl w:val="0"/>
        <w:spacing w:before="200" w:line="260" w:lineRule="atLeast"/>
        <w:jc w:val="both"/>
      </w:pPr>
      <w:bookmarkStart w:id="266" w:name="Bookmark_para_139"/>
      <w:bookmarkEnd w:id="266"/>
      <w:r>
        <w:rPr>
          <w:rFonts w:ascii="Times" w:eastAsia="Times" w:hAnsi="Times" w:cs="Times"/>
          <w:color w:val="000000"/>
          <w:sz w:val="20"/>
        </w:rPr>
        <w:t xml:space="preserve">Finally, using in the Gordon Growth Model equation for the third and final period, a WACC of 11.954%, a perpetuity </w:t>
      </w:r>
      <w:r>
        <w:rPr>
          <w:rFonts w:ascii="Times" w:eastAsia="Times" w:hAnsi="Times" w:cs="Times"/>
          <w:color w:val="000000"/>
          <w:sz w:val="20"/>
        </w:rPr>
        <w:lastRenderedPageBreak/>
        <w:t xml:space="preserve">growth rate of 4.5%, and free cash flows in 2021 of $64.4 million, I calculated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terminal value to be approximately $864 million. </w:t>
      </w:r>
      <w:r>
        <w:rPr>
          <w:rFonts w:ascii="Times" w:eastAsia="Times" w:hAnsi="Times" w:cs="Times"/>
          <w:vertAlign w:val="superscript"/>
        </w:rPr>
        <w:footnoteReference w:customMarkFollows="1" w:id="35"/>
        <w:t>184</w:t>
      </w:r>
      <w:r>
        <w:rPr>
          <w:rFonts w:ascii="Times" w:eastAsia="Times" w:hAnsi="Times" w:cs="Times"/>
          <w:color w:val="000000"/>
          <w:sz w:val="20"/>
        </w:rPr>
        <w:t xml:space="preserve"> Discounting that value using a WACC of 11.954% leads to a present value of the terminal value of $276.7 million.</w:t>
      </w:r>
    </w:p>
    <w:p w14:paraId="6BB0E8F6" w14:textId="77777777" w:rsidR="00303AAE" w:rsidRDefault="00E53B66">
      <w:pPr>
        <w:pStyle w:val="Normal1"/>
        <w:widowControl w:val="0"/>
        <w:spacing w:before="240" w:line="260" w:lineRule="atLeast"/>
      </w:pPr>
      <w:r>
        <w:rPr>
          <w:rFonts w:ascii="Times" w:eastAsia="Times" w:hAnsi="Times" w:cs="Times"/>
          <w:b/>
          <w:color w:val="000000"/>
          <w:sz w:val="20"/>
        </w:rPr>
        <w:t>b. EBITDA multiples</w:t>
      </w:r>
    </w:p>
    <w:p w14:paraId="6FF41205" w14:textId="43FF7495" w:rsidR="00303AAE" w:rsidRDefault="00E53B66" w:rsidP="00C3344F">
      <w:pPr>
        <w:pStyle w:val="Normal1"/>
        <w:widowControl w:val="0"/>
        <w:spacing w:before="200" w:line="260" w:lineRule="atLeast"/>
        <w:jc w:val="both"/>
      </w:pPr>
      <w:bookmarkStart w:id="268" w:name="Bookmark_para_140"/>
      <w:bookmarkStart w:id="269" w:name="Bookmark_I590TCN62D6N6C0030000400"/>
      <w:bookmarkStart w:id="270" w:name="Bookmark_LNHNREFclscc18"/>
      <w:bookmarkEnd w:id="268"/>
      <w:bookmarkEnd w:id="269"/>
      <w:bookmarkEnd w:id="270"/>
      <w:r>
        <w:rPr>
          <w:rFonts w:ascii="Times" w:eastAsia="Times" w:hAnsi="Times" w:cs="Times"/>
          <w:color w:val="000000"/>
          <w:sz w:val="20"/>
        </w:rPr>
        <w:t xml:space="preserve">"Multiples approaches assume that a company will be worth some multiple of future earnings or book value in the continuing period." </w:t>
      </w:r>
      <w:r>
        <w:rPr>
          <w:rFonts w:ascii="Times" w:eastAsia="Times" w:hAnsi="Times" w:cs="Times"/>
          <w:vertAlign w:val="superscript"/>
        </w:rPr>
        <w:footnoteReference w:customMarkFollows="1" w:id="36"/>
        <w:t>185</w:t>
      </w:r>
      <w:r>
        <w:rPr>
          <w:rFonts w:ascii="Times" w:eastAsia="Times" w:hAnsi="Times" w:cs="Times"/>
          <w:color w:val="000000"/>
          <w:sz w:val="20"/>
        </w:rPr>
        <w:t xml:space="preserve"> "[A] good industry comparison is crucial if a multiplier methodology is employed."  Here, the Gordian Experts selected a terminal EBITDA multiple range of 6.5x to 8.5x using the companies in their comparable companies analysis. Petitioners seek to exclude Respondent's terminal multiples approach for many of the same reasons they asserted in opposition to Respondent's other market approaches. I agree with Petitioners' objections.</w:t>
      </w:r>
    </w:p>
    <w:p w14:paraId="01642A7A" w14:textId="20D40E97" w:rsidR="00303AAE" w:rsidRDefault="00E53B66">
      <w:pPr>
        <w:pStyle w:val="Normal1"/>
        <w:widowControl w:val="0"/>
        <w:spacing w:before="200" w:line="260" w:lineRule="atLeast"/>
        <w:jc w:val="both"/>
      </w:pPr>
      <w:bookmarkStart w:id="272" w:name="Bookmark_para_141"/>
      <w:bookmarkEnd w:id="272"/>
      <w:r>
        <w:rPr>
          <w:rFonts w:ascii="Times" w:eastAsia="Times" w:hAnsi="Times" w:cs="Times"/>
          <w:color w:val="000000"/>
          <w:sz w:val="20"/>
        </w:rPr>
        <w:t xml:space="preserve">As discussed in Part II.C.1 </w:t>
      </w:r>
      <w:r>
        <w:rPr>
          <w:rFonts w:ascii="Times" w:eastAsia="Times" w:hAnsi="Times" w:cs="Times"/>
          <w:i/>
          <w:color w:val="000000"/>
          <w:sz w:val="20"/>
        </w:rPr>
        <w:t>supra</w:t>
      </w:r>
      <w:r>
        <w:rPr>
          <w:rFonts w:ascii="Times" w:eastAsia="Times" w:hAnsi="Times" w:cs="Times"/>
          <w:color w:val="000000"/>
          <w:sz w:val="20"/>
        </w:rPr>
        <w:t xml:space="preserve">, the comparable companies selected by the Gordian Experts are not sufficiently comparable to Cogent to support a reliable analysis and do not provide a good industry </w:t>
      </w:r>
      <w:proofErr w:type="gramStart"/>
      <w:r>
        <w:rPr>
          <w:rFonts w:ascii="Times" w:eastAsia="Times" w:hAnsi="Times" w:cs="Times"/>
          <w:color w:val="000000"/>
          <w:sz w:val="20"/>
        </w:rPr>
        <w:t xml:space="preserve">comparison. </w:t>
      </w:r>
      <w:r w:rsidR="00C3344F">
        <w:rPr>
          <w:rFonts w:ascii="Times" w:eastAsia="Times" w:hAnsi="Times" w:cs="Times"/>
          <w:color w:val="000000"/>
          <w:sz w:val="20"/>
        </w:rPr>
        <w:t xml:space="preserve"> </w:t>
      </w:r>
      <w:r>
        <w:rPr>
          <w:rFonts w:ascii="Times" w:eastAsia="Times" w:hAnsi="Times" w:cs="Times"/>
          <w:color w:val="000000"/>
          <w:sz w:val="20"/>
        </w:rPr>
        <w:t>.</w:t>
      </w:r>
      <w:proofErr w:type="gramEnd"/>
      <w:r>
        <w:rPr>
          <w:rFonts w:ascii="Times" w:eastAsia="Times" w:hAnsi="Times" w:cs="Times"/>
          <w:color w:val="000000"/>
          <w:sz w:val="20"/>
        </w:rPr>
        <w:t xml:space="preserve"> </w:t>
      </w:r>
    </w:p>
    <w:p w14:paraId="7ABE4A15" w14:textId="02407B7E" w:rsidR="00303AAE" w:rsidRDefault="00E53B66">
      <w:pPr>
        <w:pStyle w:val="Normal1"/>
        <w:widowControl w:val="0"/>
        <w:spacing w:line="260" w:lineRule="atLeast"/>
        <w:jc w:val="both"/>
      </w:pPr>
      <w:r>
        <w:rPr>
          <w:rFonts w:ascii="Times" w:eastAsia="Times" w:hAnsi="Times" w:cs="Times"/>
          <w:color w:val="000000"/>
          <w:sz w:val="20"/>
        </w:rPr>
        <w:t xml:space="preserve"> As with the EBITDA multiples analysis of the comparable companies, here only four of the purportedly comparable companies have data from which to calculate an equity value to estimated forward EBITDA ratio. </w:t>
      </w:r>
    </w:p>
    <w:p w14:paraId="65228FA7" w14:textId="5011EE6B" w:rsidR="00303AAE" w:rsidRDefault="00E53B66" w:rsidP="00C3344F">
      <w:pPr>
        <w:pStyle w:val="Normal1"/>
        <w:widowControl w:val="0"/>
        <w:spacing w:before="200" w:line="260" w:lineRule="atLeast"/>
        <w:jc w:val="both"/>
      </w:pPr>
      <w:bookmarkStart w:id="273" w:name="Bookmark_para_142"/>
      <w:bookmarkEnd w:id="273"/>
      <w:r>
        <w:rPr>
          <w:rFonts w:ascii="Times" w:eastAsia="Times" w:hAnsi="Times" w:cs="Times"/>
          <w:color w:val="000000"/>
          <w:sz w:val="20"/>
        </w:rPr>
        <w:t xml:space="preserve">Furthermore, Owsley's report on this issue is internally inconsistent. At one point, the report states that its range of 6.5x to 8.5x is "based on . . . 1st and 3rd quartile 2011 EBITDA multiples." Elsewhere, the report indicates that the 1st and 3rd quartile 2011 EBITDA multiples were actually 7.5x to 9.8x. </w:t>
      </w:r>
    </w:p>
    <w:p w14:paraId="356A61CB" w14:textId="70B274F3" w:rsidR="00303AAE" w:rsidRDefault="00E53B66">
      <w:pPr>
        <w:pStyle w:val="Normal1"/>
        <w:widowControl w:val="0"/>
        <w:spacing w:line="260" w:lineRule="atLeast"/>
        <w:jc w:val="both"/>
      </w:pPr>
      <w:r>
        <w:rPr>
          <w:rFonts w:ascii="Times" w:eastAsia="Times" w:hAnsi="Times" w:cs="Times"/>
          <w:color w:val="000000"/>
          <w:sz w:val="20"/>
        </w:rPr>
        <w:t xml:space="preserve"> At trial, Schiller defended the selection of multiples reflected in Owsley's report and described them as a "judgment call" or an "educated estimate based on what historical multiples have been adjusted for the sense that growth will have slowed to something much closer to GDP growth by that time." Beyond that, however, the G</w:t>
      </w:r>
      <w:r w:rsidR="00C3344F">
        <w:rPr>
          <w:rFonts w:ascii="Times" w:eastAsia="Times" w:hAnsi="Times" w:cs="Times"/>
          <w:color w:val="000000"/>
          <w:sz w:val="20"/>
        </w:rPr>
        <w:t>ordian Experts did not provide a</w:t>
      </w:r>
      <w:r>
        <w:rPr>
          <w:rFonts w:ascii="Times" w:eastAsia="Times" w:hAnsi="Times" w:cs="Times"/>
          <w:color w:val="000000"/>
          <w:sz w:val="20"/>
        </w:rPr>
        <w:t>ny authorities or analysis to justify their use of an EBITDA multiples approach to determine terminal value.</w:t>
      </w:r>
    </w:p>
    <w:p w14:paraId="4D3680C9" w14:textId="77777777" w:rsidR="00303AAE" w:rsidRDefault="00E53B66">
      <w:pPr>
        <w:pStyle w:val="Normal1"/>
        <w:widowControl w:val="0"/>
        <w:spacing w:before="200" w:line="260" w:lineRule="atLeast"/>
        <w:jc w:val="both"/>
      </w:pPr>
      <w:bookmarkStart w:id="274" w:name="Bookmark_para_143"/>
      <w:bookmarkEnd w:id="274"/>
      <w:r>
        <w:rPr>
          <w:rFonts w:ascii="Times" w:eastAsia="Times" w:hAnsi="Times" w:cs="Times"/>
          <w:color w:val="000000"/>
          <w:sz w:val="20"/>
        </w:rPr>
        <w:t>For these reasons, I reject Respondent's use of terminal EBITDA multiples and instead rely solely on the Gordon Growth Model for my determination of terminal value.</w:t>
      </w:r>
    </w:p>
    <w:p w14:paraId="3EF78945" w14:textId="77777777" w:rsidR="00303AAE" w:rsidRDefault="00E53B66">
      <w:pPr>
        <w:pStyle w:val="Normal1"/>
        <w:widowControl w:val="0"/>
        <w:spacing w:before="240" w:line="260" w:lineRule="atLeast"/>
      </w:pPr>
      <w:r>
        <w:rPr>
          <w:rFonts w:ascii="Times" w:eastAsia="Times" w:hAnsi="Times" w:cs="Times"/>
          <w:b/>
          <w:color w:val="000000"/>
          <w:sz w:val="20"/>
        </w:rPr>
        <w:t>4. DCF Valuation</w:t>
      </w:r>
    </w:p>
    <w:p w14:paraId="48BD73AA" w14:textId="04E12913" w:rsidR="00303AAE" w:rsidRDefault="00E53B66" w:rsidP="00B5797C">
      <w:pPr>
        <w:pStyle w:val="Normal1"/>
        <w:widowControl w:val="0"/>
        <w:spacing w:before="200" w:line="260" w:lineRule="atLeast"/>
        <w:jc w:val="both"/>
      </w:pPr>
      <w:bookmarkStart w:id="275" w:name="Bookmark_para_144"/>
      <w:bookmarkEnd w:id="275"/>
      <w:r>
        <w:rPr>
          <w:rFonts w:ascii="Times" w:eastAsia="Times" w:hAnsi="Times" w:cs="Times"/>
          <w:color w:val="000000"/>
          <w:sz w:val="20"/>
        </w:rPr>
        <w:t xml:space="preserve">The following table represents the Court's calculation of the </w:t>
      </w:r>
      <w:r>
        <w:rPr>
          <w:rFonts w:ascii="Times" w:eastAsia="Times" w:hAnsi="Times" w:cs="Times"/>
          <w:color w:val="000000"/>
          <w:sz w:val="20"/>
        </w:rPr>
        <w:lastRenderedPageBreak/>
        <w:t xml:space="preserve">valuation of Cogent using essentially Bailey's model, the aforementioned assumptions, and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cash balance of $533.2 million as of </w:t>
      </w:r>
      <w:proofErr w:type="gramStart"/>
      <w:r>
        <w:rPr>
          <w:rFonts w:ascii="Times" w:eastAsia="Times" w:hAnsi="Times" w:cs="Times"/>
          <w:color w:val="000000"/>
          <w:sz w:val="20"/>
        </w:rPr>
        <w:t xml:space="preserve">September </w:t>
      </w:r>
      <w:r>
        <w:rPr>
          <w:rFonts w:ascii="Times" w:eastAsia="Times" w:hAnsi="Times" w:cs="Times"/>
          <w:color w:val="000000"/>
          <w:sz w:val="18"/>
        </w:rPr>
        <w:t> </w:t>
      </w:r>
      <w:r>
        <w:rPr>
          <w:rFonts w:ascii="Times" w:eastAsia="Times" w:hAnsi="Times" w:cs="Times"/>
          <w:color w:val="000000"/>
          <w:sz w:val="20"/>
        </w:rPr>
        <w:t>30</w:t>
      </w:r>
      <w:proofErr w:type="gramEnd"/>
      <w:r>
        <w:rPr>
          <w:rFonts w:ascii="Times" w:eastAsia="Times" w:hAnsi="Times" w:cs="Times"/>
          <w:color w:val="000000"/>
          <w:sz w:val="20"/>
        </w:rPr>
        <w:t>, 2010 :</w:t>
      </w:r>
    </w:p>
    <w:p w14:paraId="270B144E" w14:textId="24688B76" w:rsidR="00303AAE" w:rsidRDefault="009A051E">
      <w:pPr>
        <w:pStyle w:val="Normal1"/>
        <w:widowControl w:val="0"/>
        <w:spacing w:before="240" w:line="260" w:lineRule="atLeast"/>
      </w:pPr>
      <w:r>
        <w:rPr>
          <w:noProof/>
        </w:rPr>
        <w:drawing>
          <wp:inline distT="0" distB="0" distL="0" distR="0" wp14:anchorId="35ED3962" wp14:editId="3ECB9D91">
            <wp:extent cx="191135" cy="191135"/>
            <wp:effectExtent l="0" t="0" r="1206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bookmarkStart w:id="276" w:name="Table6_insert"/>
      <w:r w:rsidR="00E53B66">
        <w:fldChar w:fldCharType="begin"/>
      </w:r>
      <w:r w:rsidR="00E53B66">
        <w:instrText xml:space="preserve"> HYPERLINK  "" \l Table6</w:instrText>
      </w:r>
      <w:r w:rsidR="00E53B66">
        <w:fldChar w:fldCharType="separate"/>
      </w:r>
      <w:r w:rsidR="00E53B66">
        <w:rPr>
          <w:rFonts w:ascii="Times" w:eastAsia="Times" w:hAnsi="Times" w:cs="Times"/>
          <w:color w:val="0077CC"/>
          <w:sz w:val="20"/>
          <w:u w:val="single"/>
        </w:rPr>
        <w:t>Go to table6</w:t>
      </w:r>
      <w:r w:rsidR="00E53B66">
        <w:fldChar w:fldCharType="end"/>
      </w:r>
      <w:bookmarkEnd w:id="276"/>
    </w:p>
    <w:p w14:paraId="563BA530" w14:textId="4CF17EF1" w:rsidR="00303AAE" w:rsidRDefault="00E53B66" w:rsidP="00B5797C">
      <w:pPr>
        <w:pStyle w:val="Normal1"/>
        <w:widowControl w:val="0"/>
        <w:spacing w:before="200" w:line="260" w:lineRule="atLeast"/>
        <w:jc w:val="both"/>
      </w:pPr>
      <w:bookmarkStart w:id="277" w:name="Bookmark_para_145"/>
      <w:bookmarkEnd w:id="277"/>
      <w:r>
        <w:rPr>
          <w:rFonts w:ascii="Times" w:eastAsia="Times" w:hAnsi="Times" w:cs="Times"/>
          <w:color w:val="000000"/>
          <w:sz w:val="20"/>
        </w:rPr>
        <w:t xml:space="preserve">In sum, the equity value of Cogent as of the Merger Date was approximately $963.4 million. Assuming shares outstanding of approximately 88.6 million, </w:t>
      </w:r>
      <w:r>
        <w:rPr>
          <w:rFonts w:ascii="Times" w:eastAsia="Times" w:hAnsi="Times" w:cs="Times"/>
          <w:vertAlign w:val="superscript"/>
        </w:rPr>
        <w:footnoteReference w:customMarkFollows="1" w:id="37"/>
        <w:t>193</w:t>
      </w:r>
      <w:r>
        <w:rPr>
          <w:rFonts w:ascii="Times" w:eastAsia="Times" w:hAnsi="Times" w:cs="Times"/>
          <w:color w:val="000000"/>
          <w:sz w:val="20"/>
        </w:rPr>
        <w:t xml:space="preserve"> the price per share would be $10.87. </w:t>
      </w:r>
      <w:r>
        <w:rPr>
          <w:rFonts w:ascii="Times" w:eastAsia="Times" w:hAnsi="Times" w:cs="Times"/>
          <w:vertAlign w:val="superscript"/>
        </w:rPr>
        <w:footnoteReference w:customMarkFollows="1" w:id="38"/>
        <w:t>194</w:t>
      </w:r>
    </w:p>
    <w:p w14:paraId="493CF7A1" w14:textId="77777777" w:rsidR="00303AAE" w:rsidRDefault="00E53B66">
      <w:pPr>
        <w:pStyle w:val="Normal1"/>
        <w:widowControl w:val="0"/>
        <w:spacing w:before="240" w:line="260" w:lineRule="atLeast"/>
      </w:pPr>
      <w:r>
        <w:rPr>
          <w:rFonts w:ascii="Times" w:eastAsia="Times" w:hAnsi="Times" w:cs="Times"/>
          <w:b/>
          <w:color w:val="000000"/>
          <w:sz w:val="20"/>
        </w:rPr>
        <w:t>E. Are Petitioners Entitled to Statutory Interest at the Legal Rate?</w:t>
      </w:r>
    </w:p>
    <w:bookmarkStart w:id="280" w:name="Bookmark_para_146"/>
    <w:bookmarkEnd w:id="280"/>
    <w:p w14:paraId="42F4C97C" w14:textId="77777777" w:rsidR="00303AAE" w:rsidRDefault="00E53B66">
      <w:pPr>
        <w:pStyle w:val="Normal1"/>
        <w:widowControl w:val="0"/>
        <w:spacing w:before="240" w:line="260" w:lineRule="atLeast"/>
        <w:jc w:val="both"/>
      </w:pPr>
      <w:r>
        <w:fldChar w:fldCharType="begin"/>
      </w:r>
      <w:r>
        <w:instrText xml:space="preserve"> HYPERLINK  https://advance.lexis.com/api/document?collection=statutes-legislation&amp;id=urn:contentItem:5P5G-8BC0-004D-44H8-00000-00&amp;context=</w:instrText>
      </w:r>
      <w:r>
        <w:fldChar w:fldCharType="separate"/>
      </w:r>
      <w:r>
        <w:rPr>
          <w:rFonts w:ascii="Times" w:eastAsia="Times" w:hAnsi="Times" w:cs="Times"/>
          <w:color w:val="0077CC"/>
          <w:sz w:val="20"/>
          <w:u w:val="single"/>
        </w:rPr>
        <w:t>Section 262(h)</w:t>
      </w:r>
      <w:r>
        <w:fldChar w:fldCharType="end"/>
      </w:r>
      <w:r>
        <w:rPr>
          <w:rFonts w:ascii="Times" w:eastAsia="Times" w:hAnsi="Times" w:cs="Times"/>
          <w:color w:val="000000"/>
          <w:sz w:val="20"/>
        </w:rPr>
        <w:t xml:space="preserve"> of the Delaware appraisal statute provides:</w:t>
      </w:r>
    </w:p>
    <w:p w14:paraId="43E26666" w14:textId="4280567B" w:rsidR="00303AAE" w:rsidRDefault="00E53B66">
      <w:pPr>
        <w:pStyle w:val="Normal1"/>
        <w:widowControl w:val="0"/>
        <w:spacing w:line="260" w:lineRule="atLeast"/>
        <w:ind w:left="400"/>
        <w:jc w:val="both"/>
      </w:pPr>
      <w:bookmarkStart w:id="281" w:name="Bookmark_para_147"/>
      <w:bookmarkStart w:id="282" w:name="Bookmark_LNHNREFclscc19"/>
      <w:bookmarkEnd w:id="281"/>
      <w:bookmarkEnd w:id="282"/>
      <w:r>
        <w:rPr>
          <w:rFonts w:ascii="Times" w:eastAsia="Times" w:hAnsi="Times" w:cs="Times"/>
          <w:color w:val="000000"/>
          <w:sz w:val="20"/>
        </w:rPr>
        <w:t xml:space="preserve">Unless the Court in its discretion determines otherwise for good cause shown, interest from the effective date of the merger through the date of payment of the judgment shall be compounded quarterly and shall accrue at 5% over the Federal Reserve discount rate (including any surcharge) as established from time to time during the period between the effective date of the merger and the date of payment of the judgment. </w:t>
      </w:r>
    </w:p>
    <w:p w14:paraId="5F7F346A" w14:textId="33EF15B7" w:rsidR="00303AAE" w:rsidRDefault="00E53B66">
      <w:pPr>
        <w:pStyle w:val="Normal1"/>
        <w:widowControl w:val="0"/>
        <w:spacing w:before="200" w:line="260" w:lineRule="atLeast"/>
        <w:jc w:val="both"/>
      </w:pPr>
      <w:bookmarkStart w:id="283" w:name="Bookmark_I590TCN62D6N6C0050000400"/>
      <w:bookmarkEnd w:id="283"/>
      <w:r>
        <w:rPr>
          <w:rFonts w:ascii="Times" w:eastAsia="Times" w:hAnsi="Times" w:cs="Times"/>
          <w:color w:val="000000"/>
          <w:sz w:val="20"/>
        </w:rPr>
        <w:t>Nevertheless, "[a]</w:t>
      </w:r>
      <w:proofErr w:type="spellStart"/>
      <w:r>
        <w:rPr>
          <w:rFonts w:ascii="Times" w:eastAsia="Times" w:hAnsi="Times" w:cs="Times"/>
          <w:color w:val="000000"/>
          <w:sz w:val="20"/>
        </w:rPr>
        <w:t>dopting</w:t>
      </w:r>
      <w:proofErr w:type="spellEnd"/>
      <w:r>
        <w:rPr>
          <w:rFonts w:ascii="Times" w:eastAsia="Times" w:hAnsi="Times" w:cs="Times"/>
          <w:color w:val="000000"/>
          <w:sz w:val="20"/>
        </w:rPr>
        <w:t xml:space="preserve"> a different rate may be justified where it is necessary to avoid an inequitable result, such as where there has been improper delay or a bad faith assertion of valuation claims." </w:t>
      </w:r>
    </w:p>
    <w:p w14:paraId="2E0AACC9" w14:textId="77777777" w:rsidR="00303AAE" w:rsidRDefault="00E53B66">
      <w:pPr>
        <w:pStyle w:val="Normal1"/>
        <w:widowControl w:val="0"/>
        <w:spacing w:before="200" w:line="260" w:lineRule="atLeast"/>
        <w:jc w:val="both"/>
      </w:pPr>
      <w:bookmarkStart w:id="284" w:name="Bookmark_para_148"/>
      <w:bookmarkEnd w:id="284"/>
      <w:r>
        <w:rPr>
          <w:rFonts w:ascii="Times" w:eastAsia="Times" w:hAnsi="Times" w:cs="Times"/>
          <w:color w:val="000000"/>
          <w:sz w:val="20"/>
        </w:rPr>
        <w:t>Here, Respondent argues that this Court should not apply the statutory rate of interest because: (1) awarding prejudgment interest to shareholders who acquired shares after the announcement of the acquisition would be an inequitable result; and (2) Petitioners improperly delayed the resolution of this action.</w:t>
      </w:r>
    </w:p>
    <w:p w14:paraId="6A937289" w14:textId="77777777" w:rsidR="00303AAE" w:rsidRDefault="00E53B66">
      <w:pPr>
        <w:pStyle w:val="Normal1"/>
        <w:widowControl w:val="0"/>
        <w:spacing w:before="240" w:line="260" w:lineRule="atLeast"/>
      </w:pPr>
      <w:r>
        <w:rPr>
          <w:rFonts w:ascii="Times" w:eastAsia="Times" w:hAnsi="Times" w:cs="Times"/>
          <w:b/>
          <w:color w:val="000000"/>
          <w:sz w:val="20"/>
        </w:rPr>
        <w:t>1. Petitioners' post-merger acquisition of shares</w:t>
      </w:r>
    </w:p>
    <w:p w14:paraId="359DD19B" w14:textId="77777777" w:rsidR="00303AAE" w:rsidRDefault="00E53B66">
      <w:pPr>
        <w:pStyle w:val="Normal1"/>
        <w:widowControl w:val="0"/>
        <w:spacing w:before="200" w:line="260" w:lineRule="atLeast"/>
        <w:jc w:val="both"/>
      </w:pPr>
      <w:bookmarkStart w:id="285" w:name="Bookmark_para_149"/>
      <w:bookmarkEnd w:id="285"/>
      <w:r>
        <w:rPr>
          <w:rFonts w:ascii="Times" w:eastAsia="Times" w:hAnsi="Times" w:cs="Times"/>
          <w:color w:val="000000"/>
          <w:sz w:val="20"/>
        </w:rPr>
        <w:t>3M Cogent emphasizes that Petitioners acquired shares after the Merger was announced. In such circumstances, Respondent contends, it would be inequitable to award interest at the legal rate because Delaware law disfavors the purchase of a lawsuit and statutory interest is not intended to benefit purchasers of after-acquired shares.</w:t>
      </w:r>
    </w:p>
    <w:p w14:paraId="5970AD9C" w14:textId="623E3BBB" w:rsidR="00303AAE" w:rsidRDefault="00E53B66">
      <w:pPr>
        <w:pStyle w:val="Normal1"/>
        <w:widowControl w:val="0"/>
        <w:spacing w:before="200" w:line="260" w:lineRule="atLeast"/>
        <w:jc w:val="both"/>
      </w:pPr>
      <w:bookmarkStart w:id="286" w:name="Bookmark_para_150"/>
      <w:bookmarkStart w:id="287" w:name="Bookmark_I590TCN62D6N6D0020000400"/>
      <w:bookmarkEnd w:id="286"/>
      <w:bookmarkEnd w:id="287"/>
      <w:r>
        <w:rPr>
          <w:rFonts w:ascii="Times" w:eastAsia="Times" w:hAnsi="Times" w:cs="Times"/>
          <w:color w:val="000000"/>
          <w:sz w:val="20"/>
        </w:rPr>
        <w:t xml:space="preserve">In </w:t>
      </w:r>
      <w:r>
        <w:rPr>
          <w:rFonts w:ascii="Times" w:eastAsia="Times" w:hAnsi="Times" w:cs="Times"/>
          <w:i/>
          <w:color w:val="000000"/>
          <w:sz w:val="20"/>
        </w:rPr>
        <w:t>Salomon Brothers Inc. v. Interstate Bakeries Corp.</w:t>
      </w:r>
      <w:r>
        <w:rPr>
          <w:rFonts w:ascii="Times" w:eastAsia="Times" w:hAnsi="Times" w:cs="Times"/>
          <w:color w:val="000000"/>
          <w:sz w:val="20"/>
        </w:rPr>
        <w:t xml:space="preserve">, this Court addressed whether one who purchases stock after notice of a transaction is entitled to seek appraisal pursuant to </w:t>
      </w:r>
      <w:hyperlink r:id="rId22" w:history="1">
        <w:r>
          <w:rPr>
            <w:rFonts w:ascii="Times" w:eastAsia="Times" w:hAnsi="Times" w:cs="Times"/>
            <w:color w:val="0077CC"/>
            <w:sz w:val="20"/>
            <w:u w:val="single"/>
          </w:rPr>
          <w:t xml:space="preserve">8 </w:t>
        </w:r>
      </w:hyperlink>
      <w:hyperlink r:id="rId23" w:history="1">
        <w:r>
          <w:rPr>
            <w:rFonts w:ascii="Times" w:eastAsia="Times" w:hAnsi="Times" w:cs="Times"/>
            <w:i/>
            <w:color w:val="0077CC"/>
            <w:sz w:val="20"/>
            <w:u w:val="single"/>
          </w:rPr>
          <w:t xml:space="preserve">Del. </w:t>
        </w:r>
        <w:r>
          <w:rPr>
            <w:rFonts w:ascii="Times" w:eastAsia="Times" w:hAnsi="Times" w:cs="Times"/>
            <w:i/>
            <w:color w:val="0077CC"/>
            <w:sz w:val="20"/>
            <w:u w:val="single"/>
          </w:rPr>
          <w:lastRenderedPageBreak/>
          <w:t>C.</w:t>
        </w:r>
      </w:hyperlink>
      <w:hyperlink r:id="rId24" w:history="1">
        <w:r>
          <w:rPr>
            <w:rFonts w:ascii="Times" w:eastAsia="Times" w:hAnsi="Times" w:cs="Times"/>
            <w:color w:val="0077CC"/>
            <w:sz w:val="20"/>
            <w:u w:val="single"/>
          </w:rPr>
          <w:t xml:space="preserve"> § 262</w:t>
        </w:r>
      </w:hyperlink>
      <w:r>
        <w:rPr>
          <w:rFonts w:ascii="Times" w:eastAsia="Times" w:hAnsi="Times" w:cs="Times"/>
          <w:color w:val="000000"/>
          <w:sz w:val="20"/>
        </w:rPr>
        <w:t xml:space="preserve">. </w:t>
      </w:r>
      <w:r>
        <w:rPr>
          <w:rFonts w:ascii="Times" w:eastAsia="Times" w:hAnsi="Times" w:cs="Times"/>
          <w:color w:val="000000"/>
          <w:sz w:val="18"/>
        </w:rPr>
        <w:t> </w:t>
      </w:r>
      <w:r>
        <w:rPr>
          <w:rFonts w:ascii="Times" w:eastAsia="Times" w:hAnsi="Times" w:cs="Times"/>
          <w:color w:val="000000"/>
          <w:sz w:val="20"/>
        </w:rPr>
        <w:t>The Court stated:</w:t>
      </w:r>
    </w:p>
    <w:p w14:paraId="52C125DF" w14:textId="7620DE8D" w:rsidR="00303AAE" w:rsidRDefault="00E53B66">
      <w:pPr>
        <w:pStyle w:val="Normal1"/>
        <w:widowControl w:val="0"/>
        <w:spacing w:before="240" w:line="260" w:lineRule="atLeast"/>
        <w:ind w:left="400"/>
        <w:jc w:val="both"/>
      </w:pPr>
      <w:bookmarkStart w:id="288" w:name="Bookmark_para_151"/>
      <w:bookmarkStart w:id="289" w:name="Bookmark_I590TCN628T43D0010000400"/>
      <w:bookmarkEnd w:id="288"/>
      <w:bookmarkEnd w:id="289"/>
      <w:r>
        <w:rPr>
          <w:rFonts w:ascii="Times" w:eastAsia="Times" w:hAnsi="Times" w:cs="Times"/>
          <w:color w:val="000000"/>
          <w:sz w:val="20"/>
        </w:rPr>
        <w:t xml:space="preserve">I find nothing in the purpose or language of </w:t>
      </w:r>
      <w:hyperlink r:id="rId25" w:history="1">
        <w:r>
          <w:rPr>
            <w:rFonts w:ascii="Times" w:eastAsia="Times" w:hAnsi="Times" w:cs="Times"/>
            <w:color w:val="0077CC"/>
            <w:sz w:val="20"/>
            <w:u w:val="single"/>
          </w:rPr>
          <w:t>§ 262</w:t>
        </w:r>
      </w:hyperlink>
      <w:r>
        <w:rPr>
          <w:rFonts w:ascii="Times" w:eastAsia="Times" w:hAnsi="Times" w:cs="Times"/>
          <w:color w:val="000000"/>
          <w:sz w:val="20"/>
        </w:rPr>
        <w:t xml:space="preserve"> that would defeat [petitioner's] entitlement to an appraisal and I find nothing inequitable about an investor purchasing stock in a company after a merger has been announced with the thought that, if the merger is consummated on the announced terms, the investor may seek appraisal. </w:t>
      </w:r>
    </w:p>
    <w:p w14:paraId="56D6B194" w14:textId="1F63628E" w:rsidR="00303AAE" w:rsidRDefault="00E53B66">
      <w:pPr>
        <w:pStyle w:val="Normal1"/>
        <w:widowControl w:val="0"/>
        <w:spacing w:before="200" w:line="260" w:lineRule="atLeast"/>
        <w:jc w:val="both"/>
      </w:pPr>
      <w:bookmarkStart w:id="290" w:name="Bookmark_I5B3G26W2N1RRC0020000400"/>
      <w:bookmarkEnd w:id="290"/>
      <w:r>
        <w:rPr>
          <w:rFonts w:ascii="Times" w:eastAsia="Times" w:hAnsi="Times" w:cs="Times"/>
          <w:color w:val="000000"/>
          <w:sz w:val="20"/>
        </w:rPr>
        <w:t xml:space="preserve">In other words, </w:t>
      </w:r>
      <w:bookmarkStart w:id="291" w:name="Bookmark_LNHNREFclscc20"/>
      <w:bookmarkEnd w:id="291"/>
      <w:r>
        <w:rPr>
          <w:rFonts w:ascii="Times" w:eastAsia="Times" w:hAnsi="Times" w:cs="Times"/>
          <w:color w:val="000000"/>
          <w:sz w:val="20"/>
        </w:rPr>
        <w:t xml:space="preserve">Delaware law does not disfavor the purchase of shares after the announcement of a merger. Indeed, after the trial in </w:t>
      </w:r>
      <w:r>
        <w:rPr>
          <w:rFonts w:ascii="Times" w:eastAsia="Times" w:hAnsi="Times" w:cs="Times"/>
          <w:i/>
          <w:color w:val="000000"/>
          <w:sz w:val="20"/>
        </w:rPr>
        <w:t>Salomon Brothers</w:t>
      </w:r>
      <w:r>
        <w:rPr>
          <w:rFonts w:ascii="Times" w:eastAsia="Times" w:hAnsi="Times" w:cs="Times"/>
          <w:color w:val="000000"/>
          <w:sz w:val="20"/>
        </w:rPr>
        <w:t xml:space="preserve">, the Court awarded an 11% rate of interest to the petitioner. </w:t>
      </w:r>
    </w:p>
    <w:p w14:paraId="0567653E" w14:textId="77777777" w:rsidR="00303AAE" w:rsidRDefault="00E53B66">
      <w:pPr>
        <w:pStyle w:val="Normal1"/>
        <w:widowControl w:val="0"/>
        <w:spacing w:before="200" w:line="260" w:lineRule="atLeast"/>
        <w:jc w:val="both"/>
      </w:pPr>
      <w:r>
        <w:rPr>
          <w:rFonts w:ascii="Times" w:eastAsia="Times" w:hAnsi="Times" w:cs="Times"/>
          <w:color w:val="000000"/>
          <w:sz w:val="20"/>
        </w:rPr>
        <w:t xml:space="preserve"> As 3M Cogent correctly notes, however, the Court in </w:t>
      </w:r>
      <w:r>
        <w:rPr>
          <w:rFonts w:ascii="Times" w:eastAsia="Times" w:hAnsi="Times" w:cs="Times"/>
          <w:i/>
          <w:color w:val="000000"/>
          <w:sz w:val="20"/>
        </w:rPr>
        <w:t>Salomon Brothers</w:t>
      </w:r>
      <w:r>
        <w:rPr>
          <w:rFonts w:ascii="Times" w:eastAsia="Times" w:hAnsi="Times" w:cs="Times"/>
          <w:color w:val="000000"/>
          <w:sz w:val="20"/>
        </w:rPr>
        <w:t xml:space="preserve"> did not address whether any reduction or elimination of prejudgment interest might be appropriate.</w:t>
      </w:r>
    </w:p>
    <w:p w14:paraId="073987A5" w14:textId="5BFE1011" w:rsidR="00303AAE" w:rsidRDefault="00E53B66" w:rsidP="00EA0CCD">
      <w:pPr>
        <w:pStyle w:val="Normal1"/>
        <w:widowControl w:val="0"/>
        <w:spacing w:before="200" w:line="260" w:lineRule="atLeast"/>
        <w:jc w:val="both"/>
      </w:pPr>
      <w:bookmarkStart w:id="292" w:name="Bookmark_para_152"/>
      <w:bookmarkStart w:id="293" w:name="Bookmark_I590TCN628T43D0050000400"/>
      <w:bookmarkStart w:id="294" w:name="Bookmark_I590TCN62D6N6F0020000400"/>
      <w:bookmarkStart w:id="295" w:name="Bookmark_I590TCN628T43F0010000400"/>
      <w:bookmarkEnd w:id="292"/>
      <w:bookmarkEnd w:id="293"/>
      <w:bookmarkEnd w:id="294"/>
      <w:bookmarkEnd w:id="295"/>
      <w:r>
        <w:rPr>
          <w:rFonts w:ascii="Times" w:eastAsia="Times" w:hAnsi="Times" w:cs="Times"/>
          <w:color w:val="000000"/>
          <w:sz w:val="20"/>
        </w:rPr>
        <w:t xml:space="preserve">In support of denying Petitioners an award of statutory interest, Respondent avers that statutory interest was not intended to compensate shareholders who acquired their shares after the merger was announced. In </w:t>
      </w:r>
      <w:r>
        <w:rPr>
          <w:rFonts w:ascii="Times" w:eastAsia="Times" w:hAnsi="Times" w:cs="Times"/>
          <w:i/>
          <w:color w:val="000000"/>
          <w:sz w:val="20"/>
        </w:rPr>
        <w:t>Cede &amp; Co. v. Technicolor, Inc.</w:t>
      </w:r>
      <w:r>
        <w:rPr>
          <w:rFonts w:ascii="Times" w:eastAsia="Times" w:hAnsi="Times" w:cs="Times"/>
          <w:color w:val="000000"/>
          <w:sz w:val="20"/>
        </w:rPr>
        <w:t xml:space="preserve">, for </w:t>
      </w:r>
      <w:proofErr w:type="gramStart"/>
      <w:r>
        <w:rPr>
          <w:rFonts w:ascii="Times" w:eastAsia="Times" w:hAnsi="Times" w:cs="Times"/>
          <w:color w:val="000000"/>
          <w:sz w:val="20"/>
        </w:rPr>
        <w:t xml:space="preserve">example, </w:t>
      </w:r>
      <w:r w:rsidR="002B4DA6">
        <w:rPr>
          <w:rFonts w:ascii="Times" w:eastAsia="Times" w:hAnsi="Times" w:cs="Times"/>
          <w:color w:val="000000"/>
          <w:sz w:val="18"/>
        </w:rPr>
        <w:t> </w:t>
      </w:r>
      <w:r>
        <w:rPr>
          <w:rFonts w:ascii="Times" w:eastAsia="Times" w:hAnsi="Times" w:cs="Times"/>
          <w:color w:val="000000"/>
          <w:sz w:val="20"/>
        </w:rPr>
        <w:t>the</w:t>
      </w:r>
      <w:proofErr w:type="gramEnd"/>
      <w:r>
        <w:rPr>
          <w:rFonts w:ascii="Times" w:eastAsia="Times" w:hAnsi="Times" w:cs="Times"/>
          <w:color w:val="000000"/>
          <w:sz w:val="20"/>
        </w:rPr>
        <w:t xml:space="preserve"> Delaware Supreme Court stated that "[</w:t>
      </w:r>
      <w:proofErr w:type="spellStart"/>
      <w:r>
        <w:rPr>
          <w:rFonts w:ascii="Times" w:eastAsia="Times" w:hAnsi="Times" w:cs="Times"/>
          <w:color w:val="000000"/>
          <w:sz w:val="20"/>
        </w:rPr>
        <w:t>t]he</w:t>
      </w:r>
      <w:proofErr w:type="spellEnd"/>
      <w:r>
        <w:rPr>
          <w:rFonts w:ascii="Times" w:eastAsia="Times" w:hAnsi="Times" w:cs="Times"/>
          <w:color w:val="000000"/>
          <w:sz w:val="20"/>
        </w:rPr>
        <w:t xml:space="preserve"> underlying assumption in an appraisal valuation is that the dissenting shareholders would be willing to maintain their investment position had the merger not occurred." In the same vein, Respondent relies on cases that have recognized that the appraisal right was intended to protect "stockholders—who by reason of the statute lost their common law right to prevent a merger—by providing for the appraisement of their stock and the payment to them of the full value thereof in money.</w:t>
      </w:r>
    </w:p>
    <w:p w14:paraId="652F21BB" w14:textId="0A97FC97" w:rsidR="00303AAE" w:rsidRDefault="00E53B66" w:rsidP="004D44C3">
      <w:pPr>
        <w:pStyle w:val="Normal1"/>
        <w:widowControl w:val="0"/>
        <w:spacing w:before="200" w:line="260" w:lineRule="atLeast"/>
        <w:jc w:val="both"/>
      </w:pPr>
      <w:bookmarkStart w:id="296" w:name="Bookmark_para_153"/>
      <w:bookmarkStart w:id="297" w:name="Bookmark_I590TCN628T43F0050000400"/>
      <w:bookmarkStart w:id="298" w:name="Bookmark_I590TCN628T43G0040000400"/>
      <w:bookmarkEnd w:id="296"/>
      <w:bookmarkEnd w:id="297"/>
      <w:bookmarkEnd w:id="298"/>
      <w:r>
        <w:rPr>
          <w:rFonts w:ascii="Times" w:eastAsia="Times" w:hAnsi="Times" w:cs="Times"/>
          <w:color w:val="000000"/>
          <w:sz w:val="20"/>
        </w:rPr>
        <w:t xml:space="preserve">I am mindful, however, that statutory interest also serves to avoid an undeserved windfall to the respondent in an appraisal action, who "would otherwise have had free use of money rightfully belonging to" the petitioners.  Even though a respondent may have been cash-rich, "the [respondent] derived a benefit from having the use of the [petitioners'] funds at no cost." </w:t>
      </w:r>
    </w:p>
    <w:p w14:paraId="5C2DDDAC" w14:textId="77777777" w:rsidR="00303AAE" w:rsidRDefault="00E53B66">
      <w:pPr>
        <w:pStyle w:val="Normal1"/>
        <w:widowControl w:val="0"/>
        <w:spacing w:before="200" w:line="260" w:lineRule="atLeast"/>
        <w:jc w:val="both"/>
      </w:pPr>
      <w:bookmarkStart w:id="299" w:name="Bookmark_para_154"/>
      <w:bookmarkStart w:id="300" w:name="Bookmark_I590TCN628T43H0010000400"/>
      <w:bookmarkEnd w:id="299"/>
      <w:bookmarkEnd w:id="300"/>
      <w:r>
        <w:rPr>
          <w:rFonts w:ascii="Times" w:eastAsia="Times" w:hAnsi="Times" w:cs="Times"/>
          <w:color w:val="000000"/>
          <w:sz w:val="20"/>
        </w:rPr>
        <w:t xml:space="preserve">In sum, </w:t>
      </w:r>
      <w:bookmarkStart w:id="301" w:name="Bookmark_LNHNREFclscc21"/>
      <w:bookmarkEnd w:id="301"/>
      <w:r>
        <w:rPr>
          <w:rFonts w:ascii="Times" w:eastAsia="Times" w:hAnsi="Times" w:cs="Times"/>
          <w:color w:val="000000"/>
          <w:sz w:val="20"/>
        </w:rPr>
        <w:t xml:space="preserve">the plain language of the appraisal statute calls for the payment of statutory interest unless the Court determines otherwise for good cause shown. Respondent, 3M Cogent, has not shown that it would be inequitable for Petitioners to receive the legal rate of interest for shares acquired after the merger. </w:t>
      </w:r>
      <w:r>
        <w:rPr>
          <w:rFonts w:ascii="Times" w:eastAsia="Times" w:hAnsi="Times" w:cs="Times"/>
          <w:vertAlign w:val="superscript"/>
        </w:rPr>
        <w:footnoteReference w:customMarkFollows="1" w:id="39"/>
        <w:t>205</w:t>
      </w:r>
    </w:p>
    <w:p w14:paraId="669DE80C" w14:textId="77777777" w:rsidR="00303AAE" w:rsidRDefault="00E53B66">
      <w:pPr>
        <w:pStyle w:val="Normal1"/>
        <w:widowControl w:val="0"/>
        <w:spacing w:before="240" w:line="260" w:lineRule="atLeast"/>
      </w:pPr>
      <w:r>
        <w:rPr>
          <w:rFonts w:ascii="Times" w:eastAsia="Times" w:hAnsi="Times" w:cs="Times"/>
          <w:b/>
          <w:color w:val="000000"/>
          <w:sz w:val="20"/>
        </w:rPr>
        <w:t>2. Petitioners' purported "delay"</w:t>
      </w:r>
    </w:p>
    <w:p w14:paraId="52DC0906" w14:textId="77777777" w:rsidR="00303AAE" w:rsidRDefault="00E53B66">
      <w:pPr>
        <w:pStyle w:val="Normal1"/>
        <w:widowControl w:val="0"/>
        <w:spacing w:before="200" w:line="260" w:lineRule="atLeast"/>
        <w:jc w:val="both"/>
      </w:pPr>
      <w:bookmarkStart w:id="304" w:name="Bookmark_para_155"/>
      <w:bookmarkEnd w:id="304"/>
      <w:r>
        <w:rPr>
          <w:rFonts w:ascii="Times" w:eastAsia="Times" w:hAnsi="Times" w:cs="Times"/>
          <w:color w:val="000000"/>
          <w:sz w:val="20"/>
        </w:rPr>
        <w:lastRenderedPageBreak/>
        <w:t>Respondent next argues that the Court should refuse to award any interest for the period from April 28, 2011 to February 2, 2012 because Petitioners unreasonably delayed in prosecuting their case. Specifically, Respondent complains that Petitioners failed to respond in a timely manner to certain discovery requests, as well as to an inquiry by Respondent as to whether Petitioners intended to proceed with this case.</w:t>
      </w:r>
    </w:p>
    <w:p w14:paraId="5E52FDE6" w14:textId="5AE9A783" w:rsidR="00303AAE" w:rsidRDefault="00E53B66">
      <w:pPr>
        <w:pStyle w:val="Normal1"/>
        <w:widowControl w:val="0"/>
        <w:spacing w:before="200" w:line="260" w:lineRule="atLeast"/>
        <w:jc w:val="both"/>
      </w:pPr>
      <w:bookmarkStart w:id="305" w:name="Bookmark_para_156"/>
      <w:bookmarkEnd w:id="305"/>
      <w:r>
        <w:rPr>
          <w:rFonts w:ascii="Times" w:eastAsia="Times" w:hAnsi="Times" w:cs="Times"/>
          <w:color w:val="000000"/>
          <w:sz w:val="20"/>
        </w:rPr>
        <w:t>Petitioners counter that Respondent cannot complain about Petitioners' purported delay because Respondent itself failed to move with alacrity. On November 11, 2011, Petitioners proposed a schedule that called for a trial in April 2012. Notably, Respondent counter-offered, seeking a much later, October 2012 trial date. In January 2012, after extensive back-and-forth, I entered a stipulated scheduling order setting the trial for September 5 through 7, 2012. As a result of Owsley's unforeseen unavailability for medical reasons, I later postponed the trial until late November 2012.</w:t>
      </w:r>
    </w:p>
    <w:p w14:paraId="1B51E330" w14:textId="6606B5AE" w:rsidR="00303AAE" w:rsidRDefault="00E53B66" w:rsidP="003F43D3">
      <w:pPr>
        <w:pStyle w:val="Normal1"/>
        <w:widowControl w:val="0"/>
        <w:spacing w:before="200" w:line="260" w:lineRule="atLeast"/>
        <w:jc w:val="both"/>
      </w:pPr>
      <w:bookmarkStart w:id="306" w:name="Bookmark_para_157"/>
      <w:bookmarkStart w:id="307" w:name="Bookmark_I590TCN628T43H0030000400"/>
      <w:bookmarkStart w:id="308" w:name="Bookmark_I590TCN628T43H0050000400"/>
      <w:bookmarkEnd w:id="306"/>
      <w:bookmarkEnd w:id="307"/>
      <w:bookmarkEnd w:id="308"/>
      <w:r>
        <w:rPr>
          <w:rFonts w:ascii="Times" w:eastAsia="Times" w:hAnsi="Times" w:cs="Times"/>
          <w:color w:val="000000"/>
          <w:sz w:val="20"/>
        </w:rPr>
        <w:t>For a case of this size and complexity, the trial was completed within a reasonable time period. Even with some excusable delay, the trial was conducted within 20 months of the initial petition. Accordingly, I find that Respondent has not shown any unreasonable or improper delay and, therefore, deny Respondent's request to limit the award of interest on that basis.</w:t>
      </w:r>
    </w:p>
    <w:p w14:paraId="2F857970" w14:textId="77777777" w:rsidR="00303AAE" w:rsidRDefault="00E53B66">
      <w:pPr>
        <w:pStyle w:val="Normal1"/>
        <w:widowControl w:val="0"/>
        <w:spacing w:before="240" w:line="260" w:lineRule="atLeast"/>
      </w:pPr>
      <w:r>
        <w:rPr>
          <w:rFonts w:ascii="Times" w:eastAsia="Times" w:hAnsi="Times" w:cs="Times"/>
          <w:b/>
          <w:color w:val="000000"/>
          <w:sz w:val="20"/>
        </w:rPr>
        <w:t>III. CONCLUSION</w:t>
      </w:r>
    </w:p>
    <w:p w14:paraId="2E907EBA" w14:textId="50CC321E" w:rsidR="00303AAE" w:rsidRDefault="00E53B66">
      <w:pPr>
        <w:pStyle w:val="Normal1"/>
        <w:widowControl w:val="0"/>
        <w:spacing w:before="200" w:line="260" w:lineRule="atLeast"/>
        <w:jc w:val="both"/>
      </w:pPr>
      <w:bookmarkStart w:id="309" w:name="Bookmark_para_158"/>
      <w:bookmarkEnd w:id="309"/>
      <w:r>
        <w:rPr>
          <w:rFonts w:ascii="Times" w:eastAsia="Times" w:hAnsi="Times" w:cs="Times"/>
          <w:color w:val="000000"/>
          <w:sz w:val="20"/>
        </w:rPr>
        <w:t xml:space="preserve">For the reasons discussed in this Memorandum Opinion, I find that the fair </w:t>
      </w:r>
      <w:bookmarkStart w:id="310" w:name="_GoBack"/>
      <w:bookmarkEnd w:id="310"/>
      <w:r>
        <w:rPr>
          <w:rFonts w:ascii="Times" w:eastAsia="Times" w:hAnsi="Times" w:cs="Times"/>
          <w:color w:val="000000"/>
          <w:sz w:val="20"/>
        </w:rPr>
        <w:t>value of Cogent as of December 1, 2010 was $963.4 million or $10.87 per share.</w:t>
      </w:r>
    </w:p>
    <w:p w14:paraId="785A7285" w14:textId="77777777" w:rsidR="00303AAE" w:rsidRDefault="00E53B66">
      <w:pPr>
        <w:pStyle w:val="Normal1"/>
        <w:widowControl w:val="0"/>
        <w:spacing w:before="200" w:line="260" w:lineRule="atLeast"/>
        <w:jc w:val="both"/>
        <w:sectPr w:rsidR="00303AAE">
          <w:type w:val="continuous"/>
          <w:pgSz w:w="12240" w:h="15840"/>
          <w:pgMar w:top="840" w:right="1000" w:bottom="840" w:left="1000" w:header="400" w:footer="400" w:gutter="0"/>
          <w:cols w:num="2" w:space="240"/>
        </w:sectPr>
      </w:pPr>
      <w:bookmarkStart w:id="311" w:name="Bookmark_para_159"/>
      <w:bookmarkEnd w:id="311"/>
      <w:r>
        <w:rPr>
          <w:rFonts w:ascii="Times" w:eastAsia="Times" w:hAnsi="Times" w:cs="Times"/>
          <w:color w:val="000000"/>
          <w:sz w:val="20"/>
        </w:rPr>
        <w:t xml:space="preserve">The parties should confer to verify that the Court accurately has calculated </w:t>
      </w:r>
      <w:proofErr w:type="spellStart"/>
      <w:r>
        <w:rPr>
          <w:rFonts w:ascii="Times" w:eastAsia="Times" w:hAnsi="Times" w:cs="Times"/>
          <w:color w:val="000000"/>
          <w:sz w:val="20"/>
        </w:rPr>
        <w:t>Cogent's</w:t>
      </w:r>
      <w:proofErr w:type="spellEnd"/>
      <w:r>
        <w:rPr>
          <w:rFonts w:ascii="Times" w:eastAsia="Times" w:hAnsi="Times" w:cs="Times"/>
          <w:color w:val="000000"/>
          <w:sz w:val="20"/>
        </w:rPr>
        <w:t xml:space="preserve"> value based on the rulings herein and, assuming that it has, present a final judgment using an amount of $10.87 per share of Cogent, plus interest from December 1, 2010 to the date of the judgment at the statutory rate, compounded quarterly. Petitioners shall submit, on notice, a proposed form of final judgment within ten (10) business days.</w:t>
      </w:r>
    </w:p>
    <w:p w14:paraId="40E84710" w14:textId="77777777" w:rsidR="00303AAE" w:rsidRDefault="00E53B66">
      <w:pPr>
        <w:pStyle w:val="Normal1"/>
        <w:widowControl w:val="0"/>
        <w:spacing w:line="240" w:lineRule="atLeast"/>
        <w:jc w:val="both"/>
      </w:pPr>
      <w:r>
        <w:rPr>
          <w:rFonts w:ascii="Times" w:eastAsia="Times" w:hAnsi="Times" w:cs="Times"/>
          <w:b/>
          <w:sz w:val="20"/>
        </w:rPr>
        <w:lastRenderedPageBreak/>
        <w:t>Table1 (</w:t>
      </w:r>
      <w:bookmarkStart w:id="312" w:name="Table1"/>
      <w:r>
        <w:rPr>
          <w:rFonts w:ascii="Times" w:eastAsia="Times" w:hAnsi="Times" w:cs="Times"/>
          <w:b/>
          <w:sz w:val="20"/>
        </w:rPr>
        <w:fldChar w:fldCharType="begin"/>
      </w:r>
      <w:r>
        <w:rPr>
          <w:rFonts w:ascii="Times" w:eastAsia="Times" w:hAnsi="Times" w:cs="Times"/>
          <w:b/>
          <w:sz w:val="20"/>
        </w:rPr>
        <w:instrText xml:space="preserve"> HYPERLINK  "" \l Table1_insert</w:instrText>
      </w:r>
      <w:r>
        <w:rPr>
          <w:rFonts w:ascii="Times" w:eastAsia="Times" w:hAnsi="Times" w:cs="Times"/>
          <w:b/>
          <w:sz w:val="20"/>
        </w:rPr>
        <w:fldChar w:fldCharType="separate"/>
      </w:r>
      <w:r>
        <w:rPr>
          <w:rFonts w:ascii="Times" w:eastAsia="Times" w:hAnsi="Times" w:cs="Times"/>
          <w:color w:val="0077CC"/>
          <w:sz w:val="20"/>
          <w:u w:val="single"/>
        </w:rPr>
        <w:t>Return to related document text</w:t>
      </w:r>
      <w:r>
        <w:rPr>
          <w:rFonts w:ascii="Times" w:eastAsia="Times" w:hAnsi="Times" w:cs="Times"/>
          <w:b/>
          <w:sz w:val="20"/>
        </w:rPr>
        <w:fldChar w:fldCharType="end"/>
      </w:r>
      <w:bookmarkEnd w:id="312"/>
      <w:r>
        <w:rPr>
          <w:rFonts w:ascii="Times" w:eastAsia="Times" w:hAnsi="Times" w:cs="Times"/>
          <w:b/>
          <w:sz w:val="20"/>
        </w:rPr>
        <w:t>)</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2520"/>
        <w:gridCol w:w="600"/>
        <w:gridCol w:w="600"/>
        <w:gridCol w:w="600"/>
        <w:gridCol w:w="600"/>
        <w:gridCol w:w="600"/>
      </w:tblGrid>
      <w:tr w:rsidR="00303AAE" w14:paraId="14B5988B" w14:textId="77777777">
        <w:trPr>
          <w:tblHeader/>
          <w:jc w:val="center"/>
        </w:trPr>
        <w:tc>
          <w:tcPr>
            <w:tcW w:w="2520" w:type="dxa"/>
            <w:tcBorders>
              <w:bottom w:val="nil"/>
              <w:right w:val="nil"/>
            </w:tcBorders>
            <w:tcMar>
              <w:top w:w="20" w:type="dxa"/>
              <w:bottom w:w="20" w:type="dxa"/>
            </w:tcMar>
          </w:tcPr>
          <w:p w14:paraId="29FAF646" w14:textId="77777777" w:rsidR="00303AAE" w:rsidRDefault="00E53B66" w:rsidP="00C91CE2">
            <w:pPr>
              <w:pStyle w:val="Normal1"/>
              <w:spacing w:line="220" w:lineRule="atLeast"/>
              <w:jc w:val="right"/>
            </w:pPr>
            <w:r>
              <w:rPr>
                <w:rFonts w:ascii="Times" w:eastAsia="Times" w:hAnsi="Times" w:cs="Times"/>
                <w:b/>
                <w:color w:val="000000"/>
                <w:sz w:val="18"/>
              </w:rPr>
              <w:t>4Q 2010 ($ millions)</w:t>
            </w:r>
          </w:p>
        </w:tc>
        <w:tc>
          <w:tcPr>
            <w:tcW w:w="600" w:type="dxa"/>
            <w:tcBorders>
              <w:bottom w:val="nil"/>
              <w:right w:val="nil"/>
            </w:tcBorders>
            <w:tcMar>
              <w:top w:w="20" w:type="dxa"/>
              <w:bottom w:w="20" w:type="dxa"/>
            </w:tcMar>
          </w:tcPr>
          <w:p w14:paraId="1BC69D85" w14:textId="77777777" w:rsidR="00303AAE" w:rsidRDefault="00E53B66">
            <w:pPr>
              <w:pStyle w:val="Normal1"/>
              <w:spacing w:line="220" w:lineRule="atLeast"/>
            </w:pPr>
            <w:r>
              <w:rPr>
                <w:rFonts w:ascii="Times" w:eastAsia="Times" w:hAnsi="Times" w:cs="Times"/>
                <w:b/>
                <w:color w:val="000000"/>
                <w:sz w:val="18"/>
              </w:rPr>
              <w:t>2011</w:t>
            </w:r>
          </w:p>
        </w:tc>
        <w:tc>
          <w:tcPr>
            <w:tcW w:w="600" w:type="dxa"/>
            <w:tcBorders>
              <w:bottom w:val="nil"/>
              <w:right w:val="nil"/>
            </w:tcBorders>
            <w:tcMar>
              <w:top w:w="20" w:type="dxa"/>
              <w:bottom w:w="20" w:type="dxa"/>
            </w:tcMar>
          </w:tcPr>
          <w:p w14:paraId="2D95B2BC" w14:textId="77777777" w:rsidR="00303AAE" w:rsidRDefault="00E53B66">
            <w:pPr>
              <w:pStyle w:val="Normal1"/>
              <w:spacing w:line="220" w:lineRule="atLeast"/>
            </w:pPr>
            <w:r>
              <w:rPr>
                <w:rFonts w:ascii="Times" w:eastAsia="Times" w:hAnsi="Times" w:cs="Times"/>
                <w:b/>
                <w:color w:val="000000"/>
                <w:sz w:val="18"/>
              </w:rPr>
              <w:t>2012</w:t>
            </w:r>
          </w:p>
        </w:tc>
        <w:tc>
          <w:tcPr>
            <w:tcW w:w="600" w:type="dxa"/>
            <w:tcBorders>
              <w:bottom w:val="nil"/>
              <w:right w:val="nil"/>
            </w:tcBorders>
            <w:tcMar>
              <w:top w:w="20" w:type="dxa"/>
              <w:bottom w:w="20" w:type="dxa"/>
            </w:tcMar>
          </w:tcPr>
          <w:p w14:paraId="62F6B1B5" w14:textId="77777777" w:rsidR="00303AAE" w:rsidRDefault="00E53B66">
            <w:pPr>
              <w:pStyle w:val="Normal1"/>
              <w:spacing w:line="220" w:lineRule="atLeast"/>
            </w:pPr>
            <w:r>
              <w:rPr>
                <w:rFonts w:ascii="Times" w:eastAsia="Times" w:hAnsi="Times" w:cs="Times"/>
                <w:b/>
                <w:color w:val="000000"/>
                <w:sz w:val="18"/>
              </w:rPr>
              <w:t>2013</w:t>
            </w:r>
          </w:p>
        </w:tc>
        <w:tc>
          <w:tcPr>
            <w:tcW w:w="600" w:type="dxa"/>
            <w:tcBorders>
              <w:bottom w:val="nil"/>
              <w:right w:val="nil"/>
            </w:tcBorders>
            <w:tcMar>
              <w:top w:w="20" w:type="dxa"/>
              <w:bottom w:w="20" w:type="dxa"/>
            </w:tcMar>
          </w:tcPr>
          <w:p w14:paraId="2D0C5DAC" w14:textId="77777777" w:rsidR="00303AAE" w:rsidRDefault="00E53B66">
            <w:pPr>
              <w:pStyle w:val="Normal1"/>
              <w:spacing w:line="220" w:lineRule="atLeast"/>
            </w:pPr>
            <w:r>
              <w:rPr>
                <w:rFonts w:ascii="Times" w:eastAsia="Times" w:hAnsi="Times" w:cs="Times"/>
                <w:b/>
                <w:color w:val="000000"/>
                <w:sz w:val="18"/>
              </w:rPr>
              <w:t>2014</w:t>
            </w:r>
          </w:p>
        </w:tc>
        <w:tc>
          <w:tcPr>
            <w:tcW w:w="600" w:type="dxa"/>
            <w:tcBorders>
              <w:bottom w:val="nil"/>
            </w:tcBorders>
            <w:tcMar>
              <w:top w:w="20" w:type="dxa"/>
              <w:bottom w:w="20" w:type="dxa"/>
            </w:tcMar>
          </w:tcPr>
          <w:p w14:paraId="4E725F0F" w14:textId="77777777" w:rsidR="00303AAE" w:rsidRDefault="00E53B66">
            <w:pPr>
              <w:pStyle w:val="Normal1"/>
              <w:spacing w:line="220" w:lineRule="atLeast"/>
            </w:pPr>
            <w:r>
              <w:rPr>
                <w:rFonts w:ascii="Times" w:eastAsia="Times" w:hAnsi="Times" w:cs="Times"/>
                <w:b/>
                <w:color w:val="000000"/>
                <w:sz w:val="18"/>
              </w:rPr>
              <w:t>2015</w:t>
            </w:r>
          </w:p>
        </w:tc>
      </w:tr>
      <w:tr w:rsidR="00303AAE" w14:paraId="6E010F52" w14:textId="77777777">
        <w:trPr>
          <w:jc w:val="center"/>
        </w:trPr>
        <w:tc>
          <w:tcPr>
            <w:tcW w:w="2520" w:type="dxa"/>
            <w:tcBorders>
              <w:right w:val="nil"/>
            </w:tcBorders>
            <w:tcMar>
              <w:top w:w="20" w:type="dxa"/>
              <w:bottom w:w="20" w:type="dxa"/>
            </w:tcMar>
          </w:tcPr>
          <w:p w14:paraId="15A9DB06" w14:textId="77777777" w:rsidR="00303AAE" w:rsidRDefault="00E53B66" w:rsidP="00C91CE2">
            <w:pPr>
              <w:pStyle w:val="Normal1"/>
              <w:spacing w:line="220" w:lineRule="atLeast"/>
              <w:jc w:val="right"/>
            </w:pPr>
            <w:r>
              <w:rPr>
                <w:rFonts w:ascii="Times" w:eastAsia="Times" w:hAnsi="Times" w:cs="Times"/>
                <w:color w:val="000000"/>
                <w:sz w:val="18"/>
              </w:rPr>
              <w:t xml:space="preserve">(93.3) </w:t>
            </w:r>
            <w:r>
              <w:rPr>
                <w:rFonts w:ascii="Times" w:eastAsia="Times" w:hAnsi="Times" w:cs="Times"/>
                <w:vertAlign w:val="superscript"/>
              </w:rPr>
              <w:footnoteReference w:customMarkFollows="1" w:id="40"/>
              <w:t>122</w:t>
            </w:r>
          </w:p>
        </w:tc>
        <w:tc>
          <w:tcPr>
            <w:tcW w:w="600" w:type="dxa"/>
            <w:tcBorders>
              <w:right w:val="nil"/>
            </w:tcBorders>
            <w:tcMar>
              <w:top w:w="20" w:type="dxa"/>
              <w:bottom w:w="20" w:type="dxa"/>
            </w:tcMar>
          </w:tcPr>
          <w:p w14:paraId="30443672" w14:textId="77777777" w:rsidR="00303AAE" w:rsidRDefault="00E53B66">
            <w:pPr>
              <w:pStyle w:val="Normal1"/>
              <w:spacing w:line="220" w:lineRule="atLeast"/>
            </w:pPr>
            <w:r>
              <w:rPr>
                <w:rFonts w:ascii="Times" w:eastAsia="Times" w:hAnsi="Times" w:cs="Times"/>
                <w:color w:val="000000"/>
                <w:sz w:val="18"/>
              </w:rPr>
              <w:t>31.5</w:t>
            </w:r>
          </w:p>
        </w:tc>
        <w:tc>
          <w:tcPr>
            <w:tcW w:w="600" w:type="dxa"/>
            <w:tcBorders>
              <w:right w:val="nil"/>
            </w:tcBorders>
            <w:tcMar>
              <w:top w:w="20" w:type="dxa"/>
              <w:bottom w:w="20" w:type="dxa"/>
            </w:tcMar>
          </w:tcPr>
          <w:p w14:paraId="43E96EE8" w14:textId="77777777" w:rsidR="00303AAE" w:rsidRDefault="00E53B66">
            <w:pPr>
              <w:pStyle w:val="Normal1"/>
              <w:spacing w:line="220" w:lineRule="atLeast"/>
            </w:pPr>
            <w:r>
              <w:rPr>
                <w:rFonts w:ascii="Times" w:eastAsia="Times" w:hAnsi="Times" w:cs="Times"/>
                <w:color w:val="000000"/>
                <w:sz w:val="18"/>
              </w:rPr>
              <w:t>34.7</w:t>
            </w:r>
          </w:p>
        </w:tc>
        <w:tc>
          <w:tcPr>
            <w:tcW w:w="600" w:type="dxa"/>
            <w:tcBorders>
              <w:right w:val="nil"/>
            </w:tcBorders>
            <w:tcMar>
              <w:top w:w="20" w:type="dxa"/>
              <w:bottom w:w="20" w:type="dxa"/>
            </w:tcMar>
          </w:tcPr>
          <w:p w14:paraId="6D509CA9" w14:textId="77777777" w:rsidR="00303AAE" w:rsidRDefault="00E53B66">
            <w:pPr>
              <w:pStyle w:val="Normal1"/>
              <w:spacing w:line="220" w:lineRule="atLeast"/>
            </w:pPr>
            <w:r>
              <w:rPr>
                <w:rFonts w:ascii="Times" w:eastAsia="Times" w:hAnsi="Times" w:cs="Times"/>
                <w:color w:val="000000"/>
                <w:sz w:val="18"/>
              </w:rPr>
              <w:t>37.6</w:t>
            </w:r>
          </w:p>
        </w:tc>
        <w:tc>
          <w:tcPr>
            <w:tcW w:w="600" w:type="dxa"/>
            <w:tcBorders>
              <w:right w:val="nil"/>
            </w:tcBorders>
            <w:tcMar>
              <w:top w:w="20" w:type="dxa"/>
              <w:bottom w:w="20" w:type="dxa"/>
            </w:tcMar>
          </w:tcPr>
          <w:p w14:paraId="4896EC31" w14:textId="77777777" w:rsidR="00303AAE" w:rsidRDefault="00E53B66">
            <w:pPr>
              <w:pStyle w:val="Normal1"/>
              <w:spacing w:line="220" w:lineRule="atLeast"/>
            </w:pPr>
            <w:r>
              <w:rPr>
                <w:rFonts w:ascii="Times" w:eastAsia="Times" w:hAnsi="Times" w:cs="Times"/>
                <w:color w:val="000000"/>
                <w:sz w:val="18"/>
              </w:rPr>
              <w:t>42.6</w:t>
            </w:r>
          </w:p>
        </w:tc>
        <w:tc>
          <w:tcPr>
            <w:tcW w:w="600" w:type="dxa"/>
            <w:tcMar>
              <w:top w:w="20" w:type="dxa"/>
              <w:bottom w:w="20" w:type="dxa"/>
            </w:tcMar>
          </w:tcPr>
          <w:p w14:paraId="60EFE3BF" w14:textId="77777777" w:rsidR="00303AAE" w:rsidRDefault="00E53B66">
            <w:pPr>
              <w:pStyle w:val="Normal1"/>
              <w:spacing w:line="220" w:lineRule="atLeast"/>
            </w:pPr>
            <w:r>
              <w:rPr>
                <w:rFonts w:ascii="Times" w:eastAsia="Times" w:hAnsi="Times" w:cs="Times"/>
                <w:color w:val="000000"/>
                <w:sz w:val="18"/>
              </w:rPr>
              <w:t>45.8</w:t>
            </w:r>
          </w:p>
        </w:tc>
      </w:tr>
    </w:tbl>
    <w:p w14:paraId="39B59D13" w14:textId="77777777" w:rsidR="00303AAE" w:rsidRDefault="00E53B66">
      <w:pPr>
        <w:pStyle w:val="Normal1"/>
        <w:widowControl w:val="0"/>
        <w:spacing w:before="120" w:line="240" w:lineRule="atLeast"/>
        <w:jc w:val="both"/>
      </w:pPr>
      <w:r>
        <w:rPr>
          <w:rFonts w:ascii="Times" w:eastAsia="Times" w:hAnsi="Times" w:cs="Times"/>
          <w:b/>
          <w:sz w:val="20"/>
        </w:rPr>
        <w:t>Table1 (</w:t>
      </w:r>
      <w:hyperlink w:anchor="Table1_insert" w:history="1">
        <w:r>
          <w:rPr>
            <w:rFonts w:ascii="Times" w:eastAsia="Times" w:hAnsi="Times" w:cs="Times"/>
            <w:color w:val="0077CC"/>
            <w:sz w:val="20"/>
            <w:u w:val="single"/>
          </w:rPr>
          <w:t>Return to related document text</w:t>
        </w:r>
      </w:hyperlink>
      <w:r>
        <w:rPr>
          <w:rFonts w:ascii="Times" w:eastAsia="Times" w:hAnsi="Times" w:cs="Times"/>
          <w:b/>
          <w:sz w:val="20"/>
        </w:rPr>
        <w:t>)</w:t>
      </w:r>
    </w:p>
    <w:p w14:paraId="0757A51E" w14:textId="77777777" w:rsidR="00303AAE" w:rsidRDefault="00303AAE">
      <w:pPr>
        <w:pStyle w:val="Normal1"/>
      </w:pPr>
    </w:p>
    <w:p w14:paraId="486620C0" w14:textId="36A5CABF" w:rsidR="00303AAE" w:rsidRDefault="009A051E">
      <w:pPr>
        <w:pStyle w:val="Normal1"/>
      </w:pPr>
      <w:r>
        <w:rPr>
          <w:noProof/>
        </w:rPr>
        <mc:AlternateContent>
          <mc:Choice Requires="wps">
            <w:drawing>
              <wp:anchor distT="0" distB="0" distL="114300" distR="114300" simplePos="0" relativeHeight="251659264" behindDoc="0" locked="0" layoutInCell="1" allowOverlap="1" wp14:anchorId="68BF3359" wp14:editId="7BA9A82D">
                <wp:simplePos x="0" y="0"/>
                <wp:positionH relativeFrom="column">
                  <wp:posOffset>0</wp:posOffset>
                </wp:positionH>
                <wp:positionV relativeFrom="paragraph">
                  <wp:posOffset>0</wp:posOffset>
                </wp:positionV>
                <wp:extent cx="6502400" cy="0"/>
                <wp:effectExtent l="12700" t="12700" r="25400" b="2540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06CAA"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"/>
            </w:pict>
          </mc:Fallback>
        </mc:AlternateContent>
      </w:r>
    </w:p>
    <w:p w14:paraId="11035014" w14:textId="77777777" w:rsidR="00303AAE" w:rsidRDefault="00E53B66">
      <w:pPr>
        <w:pStyle w:val="Normal1"/>
        <w:widowControl w:val="0"/>
        <w:spacing w:line="240" w:lineRule="atLeast"/>
        <w:jc w:val="both"/>
      </w:pPr>
      <w:r>
        <w:rPr>
          <w:rFonts w:ascii="Times" w:eastAsia="Times" w:hAnsi="Times" w:cs="Times"/>
          <w:b/>
          <w:sz w:val="20"/>
        </w:rPr>
        <w:t>Table2 (</w:t>
      </w:r>
      <w:bookmarkStart w:id="314" w:name="Table2"/>
      <w:r>
        <w:rPr>
          <w:rFonts w:ascii="Times" w:eastAsia="Times" w:hAnsi="Times" w:cs="Times"/>
          <w:b/>
          <w:sz w:val="20"/>
        </w:rPr>
        <w:fldChar w:fldCharType="begin"/>
      </w:r>
      <w:r>
        <w:rPr>
          <w:rFonts w:ascii="Times" w:eastAsia="Times" w:hAnsi="Times" w:cs="Times"/>
          <w:b/>
          <w:sz w:val="20"/>
        </w:rPr>
        <w:instrText xml:space="preserve"> HYPERLINK  "" \l Table2_insert</w:instrText>
      </w:r>
      <w:r>
        <w:rPr>
          <w:rFonts w:ascii="Times" w:eastAsia="Times" w:hAnsi="Times" w:cs="Times"/>
          <w:b/>
          <w:sz w:val="20"/>
        </w:rPr>
        <w:fldChar w:fldCharType="separate"/>
      </w:r>
      <w:r>
        <w:rPr>
          <w:rFonts w:ascii="Times" w:eastAsia="Times" w:hAnsi="Times" w:cs="Times"/>
          <w:color w:val="0077CC"/>
          <w:sz w:val="20"/>
          <w:u w:val="single"/>
        </w:rPr>
        <w:t>Return to related document text</w:t>
      </w:r>
      <w:r>
        <w:rPr>
          <w:rFonts w:ascii="Times" w:eastAsia="Times" w:hAnsi="Times" w:cs="Times"/>
          <w:b/>
          <w:sz w:val="20"/>
        </w:rPr>
        <w:fldChar w:fldCharType="end"/>
      </w:r>
      <w:bookmarkEnd w:id="314"/>
      <w:r>
        <w:rPr>
          <w:rFonts w:ascii="Times" w:eastAsia="Times" w:hAnsi="Times" w:cs="Times"/>
          <w:b/>
          <w:sz w:val="20"/>
        </w:rPr>
        <w:t>)</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840"/>
        <w:gridCol w:w="600"/>
        <w:gridCol w:w="600"/>
        <w:gridCol w:w="480"/>
        <w:gridCol w:w="960"/>
        <w:gridCol w:w="840"/>
      </w:tblGrid>
      <w:tr w:rsidR="00303AAE" w14:paraId="07F55E29" w14:textId="77777777">
        <w:trPr>
          <w:tblHeader/>
          <w:jc w:val="center"/>
        </w:trPr>
        <w:tc>
          <w:tcPr>
            <w:tcW w:w="840" w:type="dxa"/>
            <w:tcBorders>
              <w:bottom w:val="nil"/>
              <w:right w:val="nil"/>
            </w:tcBorders>
            <w:tcMar>
              <w:top w:w="20" w:type="dxa"/>
              <w:bottom w:w="20" w:type="dxa"/>
            </w:tcMar>
          </w:tcPr>
          <w:p w14:paraId="4723B913" w14:textId="77777777" w:rsidR="00303AAE" w:rsidRDefault="00303AAE">
            <w:pPr>
              <w:pStyle w:val="Normal1"/>
            </w:pPr>
          </w:p>
        </w:tc>
        <w:tc>
          <w:tcPr>
            <w:tcW w:w="3480" w:type="dxa"/>
            <w:gridSpan w:val="5"/>
            <w:tcBorders>
              <w:bottom w:val="nil"/>
            </w:tcBorders>
            <w:tcMar>
              <w:top w:w="20" w:type="dxa"/>
              <w:bottom w:w="20" w:type="dxa"/>
            </w:tcMar>
          </w:tcPr>
          <w:p w14:paraId="407FF561" w14:textId="77777777" w:rsidR="00303AAE" w:rsidRDefault="00E53B66">
            <w:pPr>
              <w:pStyle w:val="Normal1"/>
              <w:spacing w:line="220" w:lineRule="atLeast"/>
            </w:pPr>
            <w:r>
              <w:rPr>
                <w:rFonts w:ascii="Times" w:eastAsia="Times" w:hAnsi="Times" w:cs="Times"/>
                <w:b/>
                <w:color w:val="000000"/>
                <w:sz w:val="18"/>
              </w:rPr>
              <w:t>Risk-Free Rate + [ Beta x Equity Risk Premium] + Equity Size Premium = WACC</w:t>
            </w:r>
          </w:p>
        </w:tc>
      </w:tr>
      <w:tr w:rsidR="00303AAE" w14:paraId="5C5EE0DC" w14:textId="77777777">
        <w:trPr>
          <w:jc w:val="center"/>
        </w:trPr>
        <w:tc>
          <w:tcPr>
            <w:tcW w:w="840" w:type="dxa"/>
            <w:tcBorders>
              <w:bottom w:val="nil"/>
              <w:right w:val="nil"/>
            </w:tcBorders>
            <w:tcMar>
              <w:top w:w="20" w:type="dxa"/>
              <w:bottom w:w="20" w:type="dxa"/>
            </w:tcMar>
          </w:tcPr>
          <w:p w14:paraId="6B2A0F27" w14:textId="77777777" w:rsidR="00303AAE" w:rsidRDefault="00E53B66">
            <w:pPr>
              <w:pStyle w:val="Normal1"/>
              <w:spacing w:line="220" w:lineRule="atLeast"/>
            </w:pPr>
            <w:r>
              <w:rPr>
                <w:rFonts w:ascii="Times" w:eastAsia="Times" w:hAnsi="Times" w:cs="Times"/>
                <w:color w:val="000000"/>
                <w:sz w:val="18"/>
              </w:rPr>
              <w:t>Owsley</w:t>
            </w:r>
          </w:p>
        </w:tc>
        <w:tc>
          <w:tcPr>
            <w:tcW w:w="600" w:type="dxa"/>
            <w:tcBorders>
              <w:bottom w:val="nil"/>
              <w:right w:val="nil"/>
            </w:tcBorders>
            <w:tcMar>
              <w:top w:w="20" w:type="dxa"/>
              <w:bottom w:w="20" w:type="dxa"/>
            </w:tcMar>
          </w:tcPr>
          <w:p w14:paraId="47943737" w14:textId="77777777" w:rsidR="00303AAE" w:rsidRDefault="00E53B66">
            <w:pPr>
              <w:pStyle w:val="Normal1"/>
              <w:spacing w:line="220" w:lineRule="atLeast"/>
            </w:pPr>
            <w:r>
              <w:rPr>
                <w:rFonts w:ascii="Times" w:eastAsia="Times" w:hAnsi="Times" w:cs="Times"/>
                <w:color w:val="000000"/>
                <w:sz w:val="18"/>
              </w:rPr>
              <w:t>2.96</w:t>
            </w:r>
          </w:p>
        </w:tc>
        <w:tc>
          <w:tcPr>
            <w:tcW w:w="600" w:type="dxa"/>
            <w:tcBorders>
              <w:bottom w:val="nil"/>
              <w:right w:val="nil"/>
            </w:tcBorders>
            <w:tcMar>
              <w:top w:w="20" w:type="dxa"/>
              <w:bottom w:w="20" w:type="dxa"/>
            </w:tcMar>
          </w:tcPr>
          <w:p w14:paraId="1C171020" w14:textId="77777777" w:rsidR="00303AAE" w:rsidRDefault="00E53B66">
            <w:pPr>
              <w:pStyle w:val="Normal1"/>
              <w:spacing w:line="220" w:lineRule="atLeast"/>
            </w:pPr>
            <w:r>
              <w:rPr>
                <w:rFonts w:ascii="Times" w:eastAsia="Times" w:hAnsi="Times" w:cs="Times"/>
                <w:color w:val="000000"/>
                <w:sz w:val="18"/>
              </w:rPr>
              <w:t>1.52</w:t>
            </w:r>
          </w:p>
        </w:tc>
        <w:tc>
          <w:tcPr>
            <w:tcW w:w="480" w:type="dxa"/>
            <w:tcBorders>
              <w:bottom w:val="nil"/>
              <w:right w:val="nil"/>
            </w:tcBorders>
            <w:tcMar>
              <w:top w:w="20" w:type="dxa"/>
              <w:bottom w:w="20" w:type="dxa"/>
            </w:tcMar>
          </w:tcPr>
          <w:p w14:paraId="3BD2589E" w14:textId="77777777" w:rsidR="00303AAE" w:rsidRDefault="00E53B66">
            <w:pPr>
              <w:pStyle w:val="Normal1"/>
              <w:spacing w:line="220" w:lineRule="atLeast"/>
            </w:pPr>
            <w:r>
              <w:rPr>
                <w:rFonts w:ascii="Times" w:eastAsia="Times" w:hAnsi="Times" w:cs="Times"/>
                <w:color w:val="000000"/>
                <w:sz w:val="18"/>
              </w:rPr>
              <w:t>5.0</w:t>
            </w:r>
          </w:p>
        </w:tc>
        <w:tc>
          <w:tcPr>
            <w:tcW w:w="960" w:type="dxa"/>
            <w:tcBorders>
              <w:bottom w:val="nil"/>
              <w:right w:val="nil"/>
            </w:tcBorders>
            <w:tcMar>
              <w:top w:w="20" w:type="dxa"/>
              <w:bottom w:w="20" w:type="dxa"/>
            </w:tcMar>
          </w:tcPr>
          <w:p w14:paraId="0F9E79B2" w14:textId="77777777" w:rsidR="00303AAE" w:rsidRDefault="00E53B66">
            <w:pPr>
              <w:pStyle w:val="Normal1"/>
              <w:spacing w:line="220" w:lineRule="atLeast"/>
            </w:pPr>
            <w:r>
              <w:rPr>
                <w:rFonts w:ascii="Times" w:eastAsia="Times" w:hAnsi="Times" w:cs="Times"/>
                <w:color w:val="000000"/>
                <w:sz w:val="18"/>
              </w:rPr>
              <w:t>2.00</w:t>
            </w:r>
          </w:p>
        </w:tc>
        <w:tc>
          <w:tcPr>
            <w:tcW w:w="840" w:type="dxa"/>
            <w:tcBorders>
              <w:bottom w:val="nil"/>
            </w:tcBorders>
            <w:tcMar>
              <w:top w:w="20" w:type="dxa"/>
              <w:bottom w:w="20" w:type="dxa"/>
            </w:tcMar>
          </w:tcPr>
          <w:p w14:paraId="4DAF6267" w14:textId="77777777" w:rsidR="00303AAE" w:rsidRDefault="00E53B66">
            <w:pPr>
              <w:pStyle w:val="Normal1"/>
              <w:spacing w:line="220" w:lineRule="atLeast"/>
            </w:pPr>
            <w:r>
              <w:rPr>
                <w:rFonts w:ascii="Times" w:eastAsia="Times" w:hAnsi="Times" w:cs="Times"/>
                <w:color w:val="000000"/>
                <w:sz w:val="18"/>
              </w:rPr>
              <w:t>12.55%</w:t>
            </w:r>
          </w:p>
        </w:tc>
      </w:tr>
      <w:tr w:rsidR="00303AAE" w14:paraId="06E49249" w14:textId="77777777">
        <w:trPr>
          <w:jc w:val="center"/>
        </w:trPr>
        <w:tc>
          <w:tcPr>
            <w:tcW w:w="840" w:type="dxa"/>
            <w:tcBorders>
              <w:right w:val="nil"/>
            </w:tcBorders>
            <w:tcMar>
              <w:top w:w="20" w:type="dxa"/>
              <w:bottom w:w="20" w:type="dxa"/>
            </w:tcMar>
          </w:tcPr>
          <w:p w14:paraId="3EE530CA" w14:textId="77777777" w:rsidR="00303AAE" w:rsidRDefault="00E53B66">
            <w:pPr>
              <w:pStyle w:val="Normal1"/>
              <w:spacing w:line="220" w:lineRule="atLeast"/>
            </w:pPr>
            <w:r>
              <w:rPr>
                <w:rFonts w:ascii="Times" w:eastAsia="Times" w:hAnsi="Times" w:cs="Times"/>
                <w:color w:val="000000"/>
                <w:sz w:val="18"/>
              </w:rPr>
              <w:t>Bailey</w:t>
            </w:r>
          </w:p>
        </w:tc>
        <w:tc>
          <w:tcPr>
            <w:tcW w:w="600" w:type="dxa"/>
            <w:tcBorders>
              <w:right w:val="nil"/>
            </w:tcBorders>
            <w:tcMar>
              <w:top w:w="20" w:type="dxa"/>
              <w:bottom w:w="20" w:type="dxa"/>
            </w:tcMar>
          </w:tcPr>
          <w:p w14:paraId="798D7931" w14:textId="77777777" w:rsidR="00303AAE" w:rsidRDefault="00E53B66">
            <w:pPr>
              <w:pStyle w:val="Normal1"/>
              <w:spacing w:line="220" w:lineRule="atLeast"/>
            </w:pPr>
            <w:r>
              <w:rPr>
                <w:rFonts w:ascii="Times" w:eastAsia="Times" w:hAnsi="Times" w:cs="Times"/>
                <w:color w:val="000000"/>
                <w:sz w:val="18"/>
              </w:rPr>
              <w:t>3.8</w:t>
            </w:r>
          </w:p>
        </w:tc>
        <w:tc>
          <w:tcPr>
            <w:tcW w:w="600" w:type="dxa"/>
            <w:tcBorders>
              <w:right w:val="nil"/>
            </w:tcBorders>
            <w:tcMar>
              <w:top w:w="20" w:type="dxa"/>
              <w:bottom w:w="20" w:type="dxa"/>
            </w:tcMar>
          </w:tcPr>
          <w:p w14:paraId="436F3567" w14:textId="77777777" w:rsidR="00303AAE" w:rsidRDefault="00E53B66">
            <w:pPr>
              <w:pStyle w:val="Normal1"/>
              <w:spacing w:line="220" w:lineRule="atLeast"/>
            </w:pPr>
            <w:r>
              <w:rPr>
                <w:rFonts w:ascii="Times" w:eastAsia="Times" w:hAnsi="Times" w:cs="Times"/>
                <w:color w:val="000000"/>
                <w:sz w:val="18"/>
              </w:rPr>
              <w:t>0.87</w:t>
            </w:r>
          </w:p>
        </w:tc>
        <w:tc>
          <w:tcPr>
            <w:tcW w:w="480" w:type="dxa"/>
            <w:tcBorders>
              <w:right w:val="nil"/>
            </w:tcBorders>
            <w:tcMar>
              <w:top w:w="20" w:type="dxa"/>
              <w:bottom w:w="20" w:type="dxa"/>
            </w:tcMar>
          </w:tcPr>
          <w:p w14:paraId="1C6079C6" w14:textId="77777777" w:rsidR="00303AAE" w:rsidRDefault="00E53B66">
            <w:pPr>
              <w:pStyle w:val="Normal1"/>
              <w:spacing w:line="220" w:lineRule="atLeast"/>
            </w:pPr>
            <w:r>
              <w:rPr>
                <w:rFonts w:ascii="Times" w:eastAsia="Times" w:hAnsi="Times" w:cs="Times"/>
                <w:color w:val="000000"/>
                <w:sz w:val="18"/>
              </w:rPr>
              <w:t>5.2</w:t>
            </w:r>
          </w:p>
        </w:tc>
        <w:tc>
          <w:tcPr>
            <w:tcW w:w="960" w:type="dxa"/>
            <w:tcBorders>
              <w:right w:val="nil"/>
            </w:tcBorders>
            <w:tcMar>
              <w:top w:w="20" w:type="dxa"/>
              <w:bottom w:w="20" w:type="dxa"/>
            </w:tcMar>
          </w:tcPr>
          <w:p w14:paraId="3C2C741A" w14:textId="77777777" w:rsidR="00303AAE" w:rsidRDefault="00E53B66">
            <w:pPr>
              <w:pStyle w:val="Normal1"/>
              <w:spacing w:line="220" w:lineRule="atLeast"/>
            </w:pPr>
            <w:r>
              <w:rPr>
                <w:rFonts w:ascii="Times" w:eastAsia="Times" w:hAnsi="Times" w:cs="Times"/>
                <w:color w:val="000000"/>
                <w:sz w:val="18"/>
              </w:rPr>
              <w:t>1.73</w:t>
            </w:r>
          </w:p>
        </w:tc>
        <w:tc>
          <w:tcPr>
            <w:tcW w:w="840" w:type="dxa"/>
            <w:tcMar>
              <w:top w:w="20" w:type="dxa"/>
              <w:bottom w:w="20" w:type="dxa"/>
            </w:tcMar>
          </w:tcPr>
          <w:p w14:paraId="106ED4C0" w14:textId="77777777" w:rsidR="00303AAE" w:rsidRDefault="00E53B66">
            <w:pPr>
              <w:pStyle w:val="Normal1"/>
              <w:spacing w:line="220" w:lineRule="atLeast"/>
            </w:pPr>
            <w:r>
              <w:rPr>
                <w:rFonts w:ascii="Times" w:eastAsia="Times" w:hAnsi="Times" w:cs="Times"/>
                <w:color w:val="000000"/>
                <w:sz w:val="18"/>
              </w:rPr>
              <w:t>10.04%</w:t>
            </w:r>
          </w:p>
        </w:tc>
      </w:tr>
    </w:tbl>
    <w:p w14:paraId="09CCA768" w14:textId="77777777" w:rsidR="00303AAE" w:rsidRDefault="00E53B66">
      <w:pPr>
        <w:pStyle w:val="Normal1"/>
        <w:widowControl w:val="0"/>
        <w:spacing w:before="120" w:line="240" w:lineRule="atLeast"/>
        <w:jc w:val="both"/>
      </w:pPr>
      <w:r>
        <w:rPr>
          <w:rFonts w:ascii="Times" w:eastAsia="Times" w:hAnsi="Times" w:cs="Times"/>
          <w:b/>
          <w:sz w:val="20"/>
        </w:rPr>
        <w:t>Table2 (</w:t>
      </w:r>
      <w:hyperlink w:anchor="Table2_insert" w:history="1">
        <w:r>
          <w:rPr>
            <w:rFonts w:ascii="Times" w:eastAsia="Times" w:hAnsi="Times" w:cs="Times"/>
            <w:color w:val="0077CC"/>
            <w:sz w:val="20"/>
            <w:u w:val="single"/>
          </w:rPr>
          <w:t>Return to related document text</w:t>
        </w:r>
      </w:hyperlink>
      <w:r>
        <w:rPr>
          <w:rFonts w:ascii="Times" w:eastAsia="Times" w:hAnsi="Times" w:cs="Times"/>
          <w:b/>
          <w:sz w:val="20"/>
        </w:rPr>
        <w:t>)</w:t>
      </w:r>
    </w:p>
    <w:p w14:paraId="0B3EECB1" w14:textId="77777777" w:rsidR="00303AAE" w:rsidRDefault="00303AAE">
      <w:pPr>
        <w:pStyle w:val="Normal1"/>
      </w:pPr>
    </w:p>
    <w:p w14:paraId="080B06B7" w14:textId="29111B43" w:rsidR="00303AAE" w:rsidRDefault="009A051E">
      <w:pPr>
        <w:pStyle w:val="Normal1"/>
      </w:pPr>
      <w:r>
        <w:rPr>
          <w:noProof/>
        </w:rPr>
        <mc:AlternateContent>
          <mc:Choice Requires="wps">
            <w:drawing>
              <wp:anchor distT="0" distB="0" distL="114300" distR="114300" simplePos="0" relativeHeight="251660288" behindDoc="0" locked="0" layoutInCell="1" allowOverlap="1" wp14:anchorId="0A21D9DE" wp14:editId="78EFF82F">
                <wp:simplePos x="0" y="0"/>
                <wp:positionH relativeFrom="column">
                  <wp:posOffset>0</wp:posOffset>
                </wp:positionH>
                <wp:positionV relativeFrom="paragraph">
                  <wp:posOffset>0</wp:posOffset>
                </wp:positionV>
                <wp:extent cx="6502400" cy="0"/>
                <wp:effectExtent l="12700" t="12700" r="25400" b="2540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347C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"/>
            </w:pict>
          </mc:Fallback>
        </mc:AlternateContent>
      </w:r>
    </w:p>
    <w:p w14:paraId="2A0D47BD" w14:textId="77777777" w:rsidR="00303AAE" w:rsidRDefault="00E53B66">
      <w:pPr>
        <w:pStyle w:val="Normal1"/>
        <w:widowControl w:val="0"/>
        <w:spacing w:line="240" w:lineRule="atLeast"/>
        <w:jc w:val="both"/>
      </w:pPr>
      <w:r>
        <w:rPr>
          <w:rFonts w:ascii="Times" w:eastAsia="Times" w:hAnsi="Times" w:cs="Times"/>
          <w:b/>
          <w:sz w:val="20"/>
        </w:rPr>
        <w:t>Table3 (</w:t>
      </w:r>
      <w:bookmarkStart w:id="315" w:name="Table3"/>
      <w:r>
        <w:rPr>
          <w:rFonts w:ascii="Times" w:eastAsia="Times" w:hAnsi="Times" w:cs="Times"/>
          <w:b/>
          <w:sz w:val="20"/>
        </w:rPr>
        <w:fldChar w:fldCharType="begin"/>
      </w:r>
      <w:r>
        <w:rPr>
          <w:rFonts w:ascii="Times" w:eastAsia="Times" w:hAnsi="Times" w:cs="Times"/>
          <w:b/>
          <w:sz w:val="20"/>
        </w:rPr>
        <w:instrText xml:space="preserve"> HYPERLINK  "" \l Table3_insert</w:instrText>
      </w:r>
      <w:r>
        <w:rPr>
          <w:rFonts w:ascii="Times" w:eastAsia="Times" w:hAnsi="Times" w:cs="Times"/>
          <w:b/>
          <w:sz w:val="20"/>
        </w:rPr>
        <w:fldChar w:fldCharType="separate"/>
      </w:r>
      <w:r>
        <w:rPr>
          <w:rFonts w:ascii="Times" w:eastAsia="Times" w:hAnsi="Times" w:cs="Times"/>
          <w:color w:val="0077CC"/>
          <w:sz w:val="20"/>
          <w:u w:val="single"/>
        </w:rPr>
        <w:t>Return to related document text</w:t>
      </w:r>
      <w:r>
        <w:rPr>
          <w:rFonts w:ascii="Times" w:eastAsia="Times" w:hAnsi="Times" w:cs="Times"/>
          <w:b/>
          <w:sz w:val="20"/>
        </w:rPr>
        <w:fldChar w:fldCharType="end"/>
      </w:r>
      <w:bookmarkEnd w:id="315"/>
      <w:r>
        <w:rPr>
          <w:rFonts w:ascii="Times" w:eastAsia="Times" w:hAnsi="Times" w:cs="Times"/>
          <w:b/>
          <w:sz w:val="20"/>
        </w:rPr>
        <w:t>)</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2520"/>
        <w:gridCol w:w="600"/>
        <w:gridCol w:w="600"/>
        <w:gridCol w:w="600"/>
        <w:gridCol w:w="600"/>
        <w:gridCol w:w="600"/>
      </w:tblGrid>
      <w:tr w:rsidR="00303AAE" w14:paraId="49811CE3" w14:textId="77777777">
        <w:trPr>
          <w:tblHeader/>
          <w:jc w:val="center"/>
        </w:trPr>
        <w:tc>
          <w:tcPr>
            <w:tcW w:w="2520" w:type="dxa"/>
            <w:tcBorders>
              <w:bottom w:val="nil"/>
              <w:right w:val="nil"/>
            </w:tcBorders>
            <w:tcMar>
              <w:top w:w="20" w:type="dxa"/>
              <w:bottom w:w="20" w:type="dxa"/>
            </w:tcMar>
          </w:tcPr>
          <w:p w14:paraId="5A85EC69" w14:textId="77777777" w:rsidR="00303AAE" w:rsidRDefault="00E53B66" w:rsidP="00C91CE2">
            <w:pPr>
              <w:pStyle w:val="Normal1"/>
              <w:spacing w:line="220" w:lineRule="atLeast"/>
              <w:jc w:val="right"/>
            </w:pPr>
            <w:r>
              <w:rPr>
                <w:rFonts w:ascii="Times" w:eastAsia="Times" w:hAnsi="Times" w:cs="Times"/>
                <w:b/>
                <w:color w:val="000000"/>
                <w:sz w:val="18"/>
              </w:rPr>
              <w:t>4Q 2010 ($ millions)</w:t>
            </w:r>
          </w:p>
        </w:tc>
        <w:tc>
          <w:tcPr>
            <w:tcW w:w="600" w:type="dxa"/>
            <w:tcBorders>
              <w:bottom w:val="nil"/>
              <w:right w:val="nil"/>
            </w:tcBorders>
            <w:tcMar>
              <w:top w:w="20" w:type="dxa"/>
              <w:bottom w:w="20" w:type="dxa"/>
            </w:tcMar>
          </w:tcPr>
          <w:p w14:paraId="5ECB4E4F" w14:textId="77777777" w:rsidR="00303AAE" w:rsidRDefault="00E53B66">
            <w:pPr>
              <w:pStyle w:val="Normal1"/>
              <w:spacing w:line="220" w:lineRule="atLeast"/>
            </w:pPr>
            <w:r>
              <w:rPr>
                <w:rFonts w:ascii="Times" w:eastAsia="Times" w:hAnsi="Times" w:cs="Times"/>
                <w:b/>
                <w:color w:val="000000"/>
                <w:sz w:val="18"/>
              </w:rPr>
              <w:t>2011</w:t>
            </w:r>
          </w:p>
        </w:tc>
        <w:tc>
          <w:tcPr>
            <w:tcW w:w="600" w:type="dxa"/>
            <w:tcBorders>
              <w:bottom w:val="nil"/>
              <w:right w:val="nil"/>
            </w:tcBorders>
            <w:tcMar>
              <w:top w:w="20" w:type="dxa"/>
              <w:bottom w:w="20" w:type="dxa"/>
            </w:tcMar>
          </w:tcPr>
          <w:p w14:paraId="3888288E" w14:textId="77777777" w:rsidR="00303AAE" w:rsidRDefault="00E53B66">
            <w:pPr>
              <w:pStyle w:val="Normal1"/>
              <w:spacing w:line="220" w:lineRule="atLeast"/>
            </w:pPr>
            <w:r>
              <w:rPr>
                <w:rFonts w:ascii="Times" w:eastAsia="Times" w:hAnsi="Times" w:cs="Times"/>
                <w:b/>
                <w:color w:val="000000"/>
                <w:sz w:val="18"/>
              </w:rPr>
              <w:t>2012</w:t>
            </w:r>
          </w:p>
        </w:tc>
        <w:tc>
          <w:tcPr>
            <w:tcW w:w="600" w:type="dxa"/>
            <w:tcBorders>
              <w:bottom w:val="nil"/>
              <w:right w:val="nil"/>
            </w:tcBorders>
            <w:tcMar>
              <w:top w:w="20" w:type="dxa"/>
              <w:bottom w:w="20" w:type="dxa"/>
            </w:tcMar>
          </w:tcPr>
          <w:p w14:paraId="5A88B317" w14:textId="77777777" w:rsidR="00303AAE" w:rsidRDefault="00E53B66">
            <w:pPr>
              <w:pStyle w:val="Normal1"/>
              <w:spacing w:line="220" w:lineRule="atLeast"/>
            </w:pPr>
            <w:r>
              <w:rPr>
                <w:rFonts w:ascii="Times" w:eastAsia="Times" w:hAnsi="Times" w:cs="Times"/>
                <w:b/>
                <w:color w:val="000000"/>
                <w:sz w:val="18"/>
              </w:rPr>
              <w:t>2013</w:t>
            </w:r>
          </w:p>
        </w:tc>
        <w:tc>
          <w:tcPr>
            <w:tcW w:w="600" w:type="dxa"/>
            <w:tcBorders>
              <w:bottom w:val="nil"/>
              <w:right w:val="nil"/>
            </w:tcBorders>
            <w:tcMar>
              <w:top w:w="20" w:type="dxa"/>
              <w:bottom w:w="20" w:type="dxa"/>
            </w:tcMar>
          </w:tcPr>
          <w:p w14:paraId="494B5B96" w14:textId="77777777" w:rsidR="00303AAE" w:rsidRDefault="00E53B66">
            <w:pPr>
              <w:pStyle w:val="Normal1"/>
              <w:spacing w:line="220" w:lineRule="atLeast"/>
            </w:pPr>
            <w:r>
              <w:rPr>
                <w:rFonts w:ascii="Times" w:eastAsia="Times" w:hAnsi="Times" w:cs="Times"/>
                <w:b/>
                <w:color w:val="000000"/>
                <w:sz w:val="18"/>
              </w:rPr>
              <w:t>2014</w:t>
            </w:r>
          </w:p>
        </w:tc>
        <w:tc>
          <w:tcPr>
            <w:tcW w:w="600" w:type="dxa"/>
            <w:tcBorders>
              <w:bottom w:val="nil"/>
            </w:tcBorders>
            <w:tcMar>
              <w:top w:w="20" w:type="dxa"/>
              <w:bottom w:w="20" w:type="dxa"/>
            </w:tcMar>
          </w:tcPr>
          <w:p w14:paraId="6B056859" w14:textId="77777777" w:rsidR="00303AAE" w:rsidRDefault="00E53B66">
            <w:pPr>
              <w:pStyle w:val="Normal1"/>
              <w:spacing w:line="220" w:lineRule="atLeast"/>
            </w:pPr>
            <w:r>
              <w:rPr>
                <w:rFonts w:ascii="Times" w:eastAsia="Times" w:hAnsi="Times" w:cs="Times"/>
                <w:b/>
                <w:color w:val="000000"/>
                <w:sz w:val="18"/>
              </w:rPr>
              <w:t>2015</w:t>
            </w:r>
          </w:p>
        </w:tc>
      </w:tr>
      <w:tr w:rsidR="00303AAE" w14:paraId="7732B95C" w14:textId="77777777">
        <w:trPr>
          <w:jc w:val="center"/>
        </w:trPr>
        <w:tc>
          <w:tcPr>
            <w:tcW w:w="2520" w:type="dxa"/>
            <w:tcBorders>
              <w:right w:val="nil"/>
            </w:tcBorders>
            <w:tcMar>
              <w:top w:w="20" w:type="dxa"/>
              <w:bottom w:w="20" w:type="dxa"/>
            </w:tcMar>
          </w:tcPr>
          <w:p w14:paraId="793E025C" w14:textId="77777777" w:rsidR="00303AAE" w:rsidRDefault="00E53B66" w:rsidP="009C0C44">
            <w:pPr>
              <w:pStyle w:val="Normal1"/>
              <w:spacing w:line="220" w:lineRule="atLeast"/>
              <w:jc w:val="right"/>
            </w:pPr>
            <w:r>
              <w:rPr>
                <w:rFonts w:ascii="Times" w:eastAsia="Times" w:hAnsi="Times" w:cs="Times"/>
                <w:color w:val="000000"/>
                <w:sz w:val="18"/>
              </w:rPr>
              <w:t>(92.4)</w:t>
            </w:r>
          </w:p>
        </w:tc>
        <w:tc>
          <w:tcPr>
            <w:tcW w:w="600" w:type="dxa"/>
            <w:tcBorders>
              <w:right w:val="nil"/>
            </w:tcBorders>
            <w:tcMar>
              <w:top w:w="20" w:type="dxa"/>
              <w:bottom w:w="20" w:type="dxa"/>
            </w:tcMar>
          </w:tcPr>
          <w:p w14:paraId="5AED71B7" w14:textId="77777777" w:rsidR="00303AAE" w:rsidRDefault="00E53B66">
            <w:pPr>
              <w:pStyle w:val="Normal1"/>
              <w:spacing w:line="220" w:lineRule="atLeast"/>
            </w:pPr>
            <w:r>
              <w:rPr>
                <w:rFonts w:ascii="Times" w:eastAsia="Times" w:hAnsi="Times" w:cs="Times"/>
                <w:color w:val="000000"/>
                <w:sz w:val="18"/>
              </w:rPr>
              <w:t>27.8</w:t>
            </w:r>
          </w:p>
        </w:tc>
        <w:tc>
          <w:tcPr>
            <w:tcW w:w="600" w:type="dxa"/>
            <w:tcBorders>
              <w:right w:val="nil"/>
            </w:tcBorders>
            <w:tcMar>
              <w:top w:w="20" w:type="dxa"/>
              <w:bottom w:w="20" w:type="dxa"/>
            </w:tcMar>
          </w:tcPr>
          <w:p w14:paraId="623061B4" w14:textId="77777777" w:rsidR="00303AAE" w:rsidRDefault="00E53B66">
            <w:pPr>
              <w:pStyle w:val="Normal1"/>
              <w:spacing w:line="220" w:lineRule="atLeast"/>
            </w:pPr>
            <w:r>
              <w:rPr>
                <w:rFonts w:ascii="Times" w:eastAsia="Times" w:hAnsi="Times" w:cs="Times"/>
                <w:color w:val="000000"/>
                <w:sz w:val="18"/>
              </w:rPr>
              <w:t>27.4</w:t>
            </w:r>
          </w:p>
        </w:tc>
        <w:tc>
          <w:tcPr>
            <w:tcW w:w="600" w:type="dxa"/>
            <w:tcBorders>
              <w:right w:val="nil"/>
            </w:tcBorders>
            <w:tcMar>
              <w:top w:w="20" w:type="dxa"/>
              <w:bottom w:w="20" w:type="dxa"/>
            </w:tcMar>
          </w:tcPr>
          <w:p w14:paraId="752129A1" w14:textId="77777777" w:rsidR="00303AAE" w:rsidRDefault="00E53B66">
            <w:pPr>
              <w:pStyle w:val="Normal1"/>
              <w:spacing w:line="220" w:lineRule="atLeast"/>
            </w:pPr>
            <w:r>
              <w:rPr>
                <w:rFonts w:ascii="Times" w:eastAsia="Times" w:hAnsi="Times" w:cs="Times"/>
                <w:color w:val="000000"/>
                <w:sz w:val="18"/>
              </w:rPr>
              <w:t>26.5</w:t>
            </w:r>
          </w:p>
        </w:tc>
        <w:tc>
          <w:tcPr>
            <w:tcW w:w="600" w:type="dxa"/>
            <w:tcBorders>
              <w:right w:val="nil"/>
            </w:tcBorders>
            <w:tcMar>
              <w:top w:w="20" w:type="dxa"/>
              <w:bottom w:w="20" w:type="dxa"/>
            </w:tcMar>
          </w:tcPr>
          <w:p w14:paraId="1446ED44" w14:textId="77777777" w:rsidR="00303AAE" w:rsidRDefault="00E53B66">
            <w:pPr>
              <w:pStyle w:val="Normal1"/>
              <w:spacing w:line="220" w:lineRule="atLeast"/>
            </w:pPr>
            <w:r>
              <w:rPr>
                <w:rFonts w:ascii="Times" w:eastAsia="Times" w:hAnsi="Times" w:cs="Times"/>
                <w:color w:val="000000"/>
                <w:sz w:val="18"/>
              </w:rPr>
              <w:t>26.9</w:t>
            </w:r>
          </w:p>
        </w:tc>
        <w:tc>
          <w:tcPr>
            <w:tcW w:w="600" w:type="dxa"/>
            <w:tcMar>
              <w:top w:w="20" w:type="dxa"/>
              <w:bottom w:w="20" w:type="dxa"/>
            </w:tcMar>
          </w:tcPr>
          <w:p w14:paraId="00091336" w14:textId="77777777" w:rsidR="00303AAE" w:rsidRDefault="00E53B66">
            <w:pPr>
              <w:pStyle w:val="Normal1"/>
              <w:spacing w:line="220" w:lineRule="atLeast"/>
            </w:pPr>
            <w:r>
              <w:rPr>
                <w:rFonts w:ascii="Times" w:eastAsia="Times" w:hAnsi="Times" w:cs="Times"/>
                <w:color w:val="000000"/>
                <w:sz w:val="18"/>
              </w:rPr>
              <w:t>25.8</w:t>
            </w:r>
          </w:p>
        </w:tc>
      </w:tr>
    </w:tbl>
    <w:p w14:paraId="6FFDE7D8" w14:textId="77777777" w:rsidR="00303AAE" w:rsidRDefault="00E53B66">
      <w:pPr>
        <w:pStyle w:val="Normal1"/>
        <w:widowControl w:val="0"/>
        <w:spacing w:before="120" w:line="240" w:lineRule="atLeast"/>
        <w:jc w:val="both"/>
      </w:pPr>
      <w:r>
        <w:rPr>
          <w:rFonts w:ascii="Times" w:eastAsia="Times" w:hAnsi="Times" w:cs="Times"/>
          <w:b/>
          <w:sz w:val="20"/>
        </w:rPr>
        <w:t>Table3 (</w:t>
      </w:r>
      <w:hyperlink w:anchor="Table3_insert" w:history="1">
        <w:r>
          <w:rPr>
            <w:rFonts w:ascii="Times" w:eastAsia="Times" w:hAnsi="Times" w:cs="Times"/>
            <w:color w:val="0077CC"/>
            <w:sz w:val="20"/>
            <w:u w:val="single"/>
          </w:rPr>
          <w:t>Return to related document text</w:t>
        </w:r>
      </w:hyperlink>
      <w:r>
        <w:rPr>
          <w:rFonts w:ascii="Times" w:eastAsia="Times" w:hAnsi="Times" w:cs="Times"/>
          <w:b/>
          <w:sz w:val="20"/>
        </w:rPr>
        <w:t>)</w:t>
      </w:r>
    </w:p>
    <w:p w14:paraId="7AB446D2" w14:textId="77777777" w:rsidR="00303AAE" w:rsidRDefault="00303AAE">
      <w:pPr>
        <w:pStyle w:val="Normal1"/>
      </w:pPr>
    </w:p>
    <w:p w14:paraId="710DE225" w14:textId="3F0A7F4B" w:rsidR="00303AAE" w:rsidRDefault="009A051E">
      <w:pPr>
        <w:pStyle w:val="Normal1"/>
      </w:pPr>
      <w:r>
        <w:rPr>
          <w:noProof/>
        </w:rPr>
        <mc:AlternateContent>
          <mc:Choice Requires="wps">
            <w:drawing>
              <wp:anchor distT="0" distB="0" distL="114300" distR="114300" simplePos="0" relativeHeight="251661312" behindDoc="0" locked="0" layoutInCell="1" allowOverlap="1" wp14:anchorId="4FAFC8C7" wp14:editId="21867A31">
                <wp:simplePos x="0" y="0"/>
                <wp:positionH relativeFrom="column">
                  <wp:posOffset>0</wp:posOffset>
                </wp:positionH>
                <wp:positionV relativeFrom="paragraph">
                  <wp:posOffset>0</wp:posOffset>
                </wp:positionV>
                <wp:extent cx="6502400" cy="0"/>
                <wp:effectExtent l="12700" t="12700" r="25400" b="2540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751BB"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S4UhM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"/>
            </w:pict>
          </mc:Fallback>
        </mc:AlternateContent>
      </w:r>
    </w:p>
    <w:p w14:paraId="3CA98906" w14:textId="77777777" w:rsidR="00303AAE" w:rsidRDefault="00E53B66">
      <w:pPr>
        <w:pStyle w:val="Normal1"/>
        <w:widowControl w:val="0"/>
        <w:spacing w:line="240" w:lineRule="atLeast"/>
        <w:jc w:val="both"/>
      </w:pPr>
      <w:r>
        <w:rPr>
          <w:rFonts w:ascii="Times" w:eastAsia="Times" w:hAnsi="Times" w:cs="Times"/>
          <w:b/>
          <w:sz w:val="20"/>
        </w:rPr>
        <w:t>Table4 (</w:t>
      </w:r>
      <w:bookmarkStart w:id="316" w:name="Table4"/>
      <w:r>
        <w:rPr>
          <w:rFonts w:ascii="Times" w:eastAsia="Times" w:hAnsi="Times" w:cs="Times"/>
          <w:b/>
          <w:sz w:val="20"/>
        </w:rPr>
        <w:fldChar w:fldCharType="begin"/>
      </w:r>
      <w:r>
        <w:rPr>
          <w:rFonts w:ascii="Times" w:eastAsia="Times" w:hAnsi="Times" w:cs="Times"/>
          <w:b/>
          <w:sz w:val="20"/>
        </w:rPr>
        <w:instrText xml:space="preserve"> HYPERLINK  "" \l Table4_insert</w:instrText>
      </w:r>
      <w:r>
        <w:rPr>
          <w:rFonts w:ascii="Times" w:eastAsia="Times" w:hAnsi="Times" w:cs="Times"/>
          <w:b/>
          <w:sz w:val="20"/>
        </w:rPr>
        <w:fldChar w:fldCharType="separate"/>
      </w:r>
      <w:r>
        <w:rPr>
          <w:rFonts w:ascii="Times" w:eastAsia="Times" w:hAnsi="Times" w:cs="Times"/>
          <w:color w:val="0077CC"/>
          <w:sz w:val="20"/>
          <w:u w:val="single"/>
        </w:rPr>
        <w:t>Return to related document text</w:t>
      </w:r>
      <w:r>
        <w:rPr>
          <w:rFonts w:ascii="Times" w:eastAsia="Times" w:hAnsi="Times" w:cs="Times"/>
          <w:b/>
          <w:sz w:val="20"/>
        </w:rPr>
        <w:fldChar w:fldCharType="end"/>
      </w:r>
      <w:bookmarkEnd w:id="316"/>
      <w:r>
        <w:rPr>
          <w:rFonts w:ascii="Times" w:eastAsia="Times" w:hAnsi="Times" w:cs="Times"/>
          <w:b/>
          <w:sz w:val="20"/>
        </w:rPr>
        <w:t>)</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2160"/>
        <w:gridCol w:w="600"/>
        <w:gridCol w:w="600"/>
        <w:gridCol w:w="600"/>
        <w:gridCol w:w="600"/>
        <w:gridCol w:w="600"/>
      </w:tblGrid>
      <w:tr w:rsidR="00303AAE" w14:paraId="6A75B6AC" w14:textId="77777777">
        <w:trPr>
          <w:tblHeader/>
          <w:jc w:val="center"/>
        </w:trPr>
        <w:tc>
          <w:tcPr>
            <w:tcW w:w="2160" w:type="dxa"/>
            <w:tcBorders>
              <w:bottom w:val="nil"/>
              <w:right w:val="nil"/>
            </w:tcBorders>
            <w:tcMar>
              <w:top w:w="20" w:type="dxa"/>
              <w:bottom w:w="20" w:type="dxa"/>
            </w:tcMar>
          </w:tcPr>
          <w:p w14:paraId="4EFA6E17" w14:textId="77777777" w:rsidR="00303AAE" w:rsidRDefault="00E53B66" w:rsidP="00C91CE2">
            <w:pPr>
              <w:pStyle w:val="Normal1"/>
              <w:spacing w:line="220" w:lineRule="atLeast"/>
              <w:jc w:val="right"/>
            </w:pPr>
            <w:r>
              <w:rPr>
                <w:rFonts w:ascii="Times" w:eastAsia="Times" w:hAnsi="Times" w:cs="Times"/>
                <w:b/>
                <w:color w:val="000000"/>
                <w:sz w:val="18"/>
              </w:rPr>
              <w:t>2016 ($ millions)</w:t>
            </w:r>
          </w:p>
        </w:tc>
        <w:tc>
          <w:tcPr>
            <w:tcW w:w="600" w:type="dxa"/>
            <w:tcBorders>
              <w:bottom w:val="nil"/>
              <w:right w:val="nil"/>
            </w:tcBorders>
            <w:tcMar>
              <w:top w:w="20" w:type="dxa"/>
              <w:bottom w:w="20" w:type="dxa"/>
            </w:tcMar>
          </w:tcPr>
          <w:p w14:paraId="785E4A0F" w14:textId="77777777" w:rsidR="00303AAE" w:rsidRDefault="00E53B66">
            <w:pPr>
              <w:pStyle w:val="Normal1"/>
              <w:spacing w:line="220" w:lineRule="atLeast"/>
            </w:pPr>
            <w:r>
              <w:rPr>
                <w:rFonts w:ascii="Times" w:eastAsia="Times" w:hAnsi="Times" w:cs="Times"/>
                <w:b/>
                <w:color w:val="000000"/>
                <w:sz w:val="18"/>
              </w:rPr>
              <w:t>2017</w:t>
            </w:r>
          </w:p>
        </w:tc>
        <w:tc>
          <w:tcPr>
            <w:tcW w:w="600" w:type="dxa"/>
            <w:tcBorders>
              <w:bottom w:val="nil"/>
              <w:right w:val="nil"/>
            </w:tcBorders>
            <w:tcMar>
              <w:top w:w="20" w:type="dxa"/>
              <w:bottom w:w="20" w:type="dxa"/>
            </w:tcMar>
          </w:tcPr>
          <w:p w14:paraId="544C1C41" w14:textId="77777777" w:rsidR="00303AAE" w:rsidRDefault="00E53B66">
            <w:pPr>
              <w:pStyle w:val="Normal1"/>
              <w:spacing w:line="220" w:lineRule="atLeast"/>
            </w:pPr>
            <w:r>
              <w:rPr>
                <w:rFonts w:ascii="Times" w:eastAsia="Times" w:hAnsi="Times" w:cs="Times"/>
                <w:b/>
                <w:color w:val="000000"/>
                <w:sz w:val="18"/>
              </w:rPr>
              <w:t>2018</w:t>
            </w:r>
          </w:p>
        </w:tc>
        <w:tc>
          <w:tcPr>
            <w:tcW w:w="600" w:type="dxa"/>
            <w:tcBorders>
              <w:bottom w:val="nil"/>
              <w:right w:val="nil"/>
            </w:tcBorders>
            <w:tcMar>
              <w:top w:w="20" w:type="dxa"/>
              <w:bottom w:w="20" w:type="dxa"/>
            </w:tcMar>
          </w:tcPr>
          <w:p w14:paraId="06E4DEBB" w14:textId="77777777" w:rsidR="00303AAE" w:rsidRDefault="00E53B66">
            <w:pPr>
              <w:pStyle w:val="Normal1"/>
              <w:spacing w:line="220" w:lineRule="atLeast"/>
            </w:pPr>
            <w:r>
              <w:rPr>
                <w:rFonts w:ascii="Times" w:eastAsia="Times" w:hAnsi="Times" w:cs="Times"/>
                <w:b/>
                <w:color w:val="000000"/>
                <w:sz w:val="18"/>
              </w:rPr>
              <w:t>2019</w:t>
            </w:r>
          </w:p>
        </w:tc>
        <w:tc>
          <w:tcPr>
            <w:tcW w:w="600" w:type="dxa"/>
            <w:tcBorders>
              <w:bottom w:val="nil"/>
              <w:right w:val="nil"/>
            </w:tcBorders>
            <w:tcMar>
              <w:top w:w="20" w:type="dxa"/>
              <w:bottom w:w="20" w:type="dxa"/>
            </w:tcMar>
          </w:tcPr>
          <w:p w14:paraId="15415BBE" w14:textId="77777777" w:rsidR="00303AAE" w:rsidRDefault="00E53B66">
            <w:pPr>
              <w:pStyle w:val="Normal1"/>
              <w:spacing w:line="220" w:lineRule="atLeast"/>
            </w:pPr>
            <w:r>
              <w:rPr>
                <w:rFonts w:ascii="Times" w:eastAsia="Times" w:hAnsi="Times" w:cs="Times"/>
                <w:b/>
                <w:color w:val="000000"/>
                <w:sz w:val="18"/>
              </w:rPr>
              <w:t>2020</w:t>
            </w:r>
          </w:p>
        </w:tc>
        <w:tc>
          <w:tcPr>
            <w:tcW w:w="600" w:type="dxa"/>
            <w:tcBorders>
              <w:bottom w:val="nil"/>
            </w:tcBorders>
            <w:tcMar>
              <w:top w:w="20" w:type="dxa"/>
              <w:bottom w:w="20" w:type="dxa"/>
            </w:tcMar>
          </w:tcPr>
          <w:p w14:paraId="07693728" w14:textId="77777777" w:rsidR="00303AAE" w:rsidRDefault="00E53B66">
            <w:pPr>
              <w:pStyle w:val="Normal1"/>
              <w:spacing w:line="220" w:lineRule="atLeast"/>
            </w:pPr>
            <w:r>
              <w:rPr>
                <w:rFonts w:ascii="Times" w:eastAsia="Times" w:hAnsi="Times" w:cs="Times"/>
                <w:b/>
                <w:color w:val="000000"/>
                <w:sz w:val="18"/>
              </w:rPr>
              <w:t>2021</w:t>
            </w:r>
          </w:p>
        </w:tc>
      </w:tr>
      <w:tr w:rsidR="00303AAE" w14:paraId="0F2D6FEE" w14:textId="77777777">
        <w:trPr>
          <w:jc w:val="center"/>
        </w:trPr>
        <w:tc>
          <w:tcPr>
            <w:tcW w:w="2160" w:type="dxa"/>
            <w:tcBorders>
              <w:right w:val="nil"/>
            </w:tcBorders>
            <w:tcMar>
              <w:top w:w="20" w:type="dxa"/>
              <w:bottom w:w="20" w:type="dxa"/>
            </w:tcMar>
          </w:tcPr>
          <w:p w14:paraId="40EDC6B7" w14:textId="77777777" w:rsidR="00303AAE" w:rsidRDefault="00E53B66" w:rsidP="00C91CE2">
            <w:pPr>
              <w:pStyle w:val="Normal1"/>
              <w:spacing w:line="220" w:lineRule="atLeast"/>
              <w:jc w:val="right"/>
            </w:pPr>
            <w:r>
              <w:rPr>
                <w:rFonts w:ascii="Times" w:eastAsia="Times" w:hAnsi="Times" w:cs="Times"/>
                <w:color w:val="000000"/>
                <w:sz w:val="18"/>
              </w:rPr>
              <w:t>49.2</w:t>
            </w:r>
          </w:p>
        </w:tc>
        <w:tc>
          <w:tcPr>
            <w:tcW w:w="600" w:type="dxa"/>
            <w:tcBorders>
              <w:right w:val="nil"/>
            </w:tcBorders>
            <w:tcMar>
              <w:top w:w="20" w:type="dxa"/>
              <w:bottom w:w="20" w:type="dxa"/>
            </w:tcMar>
          </w:tcPr>
          <w:p w14:paraId="7CED3956" w14:textId="77777777" w:rsidR="00303AAE" w:rsidRDefault="00E53B66">
            <w:pPr>
              <w:pStyle w:val="Normal1"/>
              <w:spacing w:line="220" w:lineRule="atLeast"/>
            </w:pPr>
            <w:r>
              <w:rPr>
                <w:rFonts w:ascii="Times" w:eastAsia="Times" w:hAnsi="Times" w:cs="Times"/>
                <w:color w:val="000000"/>
                <w:sz w:val="18"/>
              </w:rPr>
              <w:t>52.5</w:t>
            </w:r>
          </w:p>
        </w:tc>
        <w:tc>
          <w:tcPr>
            <w:tcW w:w="600" w:type="dxa"/>
            <w:tcBorders>
              <w:right w:val="nil"/>
            </w:tcBorders>
            <w:tcMar>
              <w:top w:w="20" w:type="dxa"/>
              <w:bottom w:w="20" w:type="dxa"/>
            </w:tcMar>
          </w:tcPr>
          <w:p w14:paraId="33BD96CC" w14:textId="77777777" w:rsidR="00303AAE" w:rsidRDefault="00E53B66">
            <w:pPr>
              <w:pStyle w:val="Normal1"/>
              <w:spacing w:line="220" w:lineRule="atLeast"/>
            </w:pPr>
            <w:r>
              <w:rPr>
                <w:rFonts w:ascii="Times" w:eastAsia="Times" w:hAnsi="Times" w:cs="Times"/>
                <w:color w:val="000000"/>
                <w:sz w:val="18"/>
              </w:rPr>
              <w:t>55.7</w:t>
            </w:r>
          </w:p>
        </w:tc>
        <w:tc>
          <w:tcPr>
            <w:tcW w:w="600" w:type="dxa"/>
            <w:tcBorders>
              <w:right w:val="nil"/>
            </w:tcBorders>
            <w:tcMar>
              <w:top w:w="20" w:type="dxa"/>
              <w:bottom w:w="20" w:type="dxa"/>
            </w:tcMar>
          </w:tcPr>
          <w:p w14:paraId="0B4EE202" w14:textId="77777777" w:rsidR="00303AAE" w:rsidRDefault="00E53B66">
            <w:pPr>
              <w:pStyle w:val="Normal1"/>
              <w:spacing w:line="220" w:lineRule="atLeast"/>
            </w:pPr>
            <w:r>
              <w:rPr>
                <w:rFonts w:ascii="Times" w:eastAsia="Times" w:hAnsi="Times" w:cs="Times"/>
                <w:color w:val="000000"/>
                <w:sz w:val="18"/>
              </w:rPr>
              <w:t>58.8</w:t>
            </w:r>
          </w:p>
        </w:tc>
        <w:tc>
          <w:tcPr>
            <w:tcW w:w="600" w:type="dxa"/>
            <w:tcBorders>
              <w:right w:val="nil"/>
            </w:tcBorders>
            <w:tcMar>
              <w:top w:w="20" w:type="dxa"/>
              <w:bottom w:w="20" w:type="dxa"/>
            </w:tcMar>
          </w:tcPr>
          <w:p w14:paraId="6C412EA8" w14:textId="77777777" w:rsidR="00303AAE" w:rsidRDefault="00E53B66">
            <w:pPr>
              <w:pStyle w:val="Normal1"/>
              <w:spacing w:line="220" w:lineRule="atLeast"/>
            </w:pPr>
            <w:r>
              <w:rPr>
                <w:rFonts w:ascii="Times" w:eastAsia="Times" w:hAnsi="Times" w:cs="Times"/>
                <w:color w:val="000000"/>
                <w:sz w:val="18"/>
              </w:rPr>
              <w:t>61.6</w:t>
            </w:r>
          </w:p>
        </w:tc>
        <w:tc>
          <w:tcPr>
            <w:tcW w:w="600" w:type="dxa"/>
            <w:tcMar>
              <w:top w:w="20" w:type="dxa"/>
              <w:bottom w:w="20" w:type="dxa"/>
            </w:tcMar>
          </w:tcPr>
          <w:p w14:paraId="1BA7CB42" w14:textId="77777777" w:rsidR="00303AAE" w:rsidRDefault="00E53B66">
            <w:pPr>
              <w:pStyle w:val="Normal1"/>
              <w:spacing w:line="220" w:lineRule="atLeast"/>
            </w:pPr>
            <w:r>
              <w:rPr>
                <w:rFonts w:ascii="Times" w:eastAsia="Times" w:hAnsi="Times" w:cs="Times"/>
                <w:color w:val="000000"/>
                <w:sz w:val="18"/>
              </w:rPr>
              <w:t>64.4</w:t>
            </w:r>
          </w:p>
        </w:tc>
      </w:tr>
    </w:tbl>
    <w:p w14:paraId="5D2BC5D7" w14:textId="77777777" w:rsidR="00303AAE" w:rsidRDefault="00E53B66">
      <w:pPr>
        <w:pStyle w:val="Normal1"/>
        <w:widowControl w:val="0"/>
        <w:spacing w:before="120" w:line="240" w:lineRule="atLeast"/>
        <w:jc w:val="both"/>
      </w:pPr>
      <w:r>
        <w:rPr>
          <w:rFonts w:ascii="Times" w:eastAsia="Times" w:hAnsi="Times" w:cs="Times"/>
          <w:b/>
          <w:sz w:val="20"/>
        </w:rPr>
        <w:t>Table4 (</w:t>
      </w:r>
      <w:hyperlink w:anchor="Table4_insert" w:history="1">
        <w:r>
          <w:rPr>
            <w:rFonts w:ascii="Times" w:eastAsia="Times" w:hAnsi="Times" w:cs="Times"/>
            <w:color w:val="0077CC"/>
            <w:sz w:val="20"/>
            <w:u w:val="single"/>
          </w:rPr>
          <w:t>Return to related document text</w:t>
        </w:r>
      </w:hyperlink>
      <w:r>
        <w:rPr>
          <w:rFonts w:ascii="Times" w:eastAsia="Times" w:hAnsi="Times" w:cs="Times"/>
          <w:b/>
          <w:sz w:val="20"/>
        </w:rPr>
        <w:t>)</w:t>
      </w:r>
    </w:p>
    <w:p w14:paraId="7351B4C6" w14:textId="77777777" w:rsidR="00303AAE" w:rsidRDefault="00303AAE">
      <w:pPr>
        <w:pStyle w:val="Normal1"/>
      </w:pPr>
    </w:p>
    <w:p w14:paraId="209110CF" w14:textId="3DD068D5" w:rsidR="00303AAE" w:rsidRDefault="009A051E">
      <w:pPr>
        <w:pStyle w:val="Normal1"/>
      </w:pPr>
      <w:r>
        <w:rPr>
          <w:noProof/>
        </w:rPr>
        <mc:AlternateContent>
          <mc:Choice Requires="wps">
            <w:drawing>
              <wp:anchor distT="0" distB="0" distL="114300" distR="114300" simplePos="0" relativeHeight="251662336" behindDoc="0" locked="0" layoutInCell="1" allowOverlap="1" wp14:anchorId="25B65DCD" wp14:editId="6513A5E7">
                <wp:simplePos x="0" y="0"/>
                <wp:positionH relativeFrom="column">
                  <wp:posOffset>0</wp:posOffset>
                </wp:positionH>
                <wp:positionV relativeFrom="paragraph">
                  <wp:posOffset>0</wp:posOffset>
                </wp:positionV>
                <wp:extent cx="6502400" cy="0"/>
                <wp:effectExtent l="12700" t="12700" r="25400" b="2540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E613D"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uyP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"/>
            </w:pict>
          </mc:Fallback>
        </mc:AlternateContent>
      </w:r>
    </w:p>
    <w:p w14:paraId="783E98DB" w14:textId="77777777" w:rsidR="00303AAE" w:rsidRDefault="00E53B66">
      <w:pPr>
        <w:pStyle w:val="Normal1"/>
        <w:widowControl w:val="0"/>
        <w:spacing w:line="240" w:lineRule="atLeast"/>
        <w:jc w:val="both"/>
      </w:pPr>
      <w:r>
        <w:rPr>
          <w:rFonts w:ascii="Times" w:eastAsia="Times" w:hAnsi="Times" w:cs="Times"/>
          <w:b/>
          <w:sz w:val="20"/>
        </w:rPr>
        <w:t>Table5 (</w:t>
      </w:r>
      <w:bookmarkStart w:id="317" w:name="Table5"/>
      <w:r>
        <w:rPr>
          <w:rFonts w:ascii="Times" w:eastAsia="Times" w:hAnsi="Times" w:cs="Times"/>
          <w:b/>
          <w:sz w:val="20"/>
        </w:rPr>
        <w:fldChar w:fldCharType="begin"/>
      </w:r>
      <w:r>
        <w:rPr>
          <w:rFonts w:ascii="Times" w:eastAsia="Times" w:hAnsi="Times" w:cs="Times"/>
          <w:b/>
          <w:sz w:val="20"/>
        </w:rPr>
        <w:instrText xml:space="preserve"> HYPERLINK  "" \l Table5_insert</w:instrText>
      </w:r>
      <w:r>
        <w:rPr>
          <w:rFonts w:ascii="Times" w:eastAsia="Times" w:hAnsi="Times" w:cs="Times"/>
          <w:b/>
          <w:sz w:val="20"/>
        </w:rPr>
        <w:fldChar w:fldCharType="separate"/>
      </w:r>
      <w:r>
        <w:rPr>
          <w:rFonts w:ascii="Times" w:eastAsia="Times" w:hAnsi="Times" w:cs="Times"/>
          <w:color w:val="0077CC"/>
          <w:sz w:val="20"/>
          <w:u w:val="single"/>
        </w:rPr>
        <w:t>Return to related document text</w:t>
      </w:r>
      <w:r>
        <w:rPr>
          <w:rFonts w:ascii="Times" w:eastAsia="Times" w:hAnsi="Times" w:cs="Times"/>
          <w:b/>
          <w:sz w:val="20"/>
        </w:rPr>
        <w:fldChar w:fldCharType="end"/>
      </w:r>
      <w:bookmarkEnd w:id="317"/>
      <w:r>
        <w:rPr>
          <w:rFonts w:ascii="Times" w:eastAsia="Times" w:hAnsi="Times" w:cs="Times"/>
          <w:b/>
          <w:sz w:val="20"/>
        </w:rPr>
        <w:t>)</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2160"/>
        <w:gridCol w:w="600"/>
        <w:gridCol w:w="600"/>
        <w:gridCol w:w="600"/>
        <w:gridCol w:w="600"/>
      </w:tblGrid>
      <w:tr w:rsidR="00303AAE" w14:paraId="7D9FC13D" w14:textId="77777777">
        <w:trPr>
          <w:tblHeader/>
          <w:jc w:val="center"/>
        </w:trPr>
        <w:tc>
          <w:tcPr>
            <w:tcW w:w="2160" w:type="dxa"/>
            <w:tcBorders>
              <w:bottom w:val="nil"/>
              <w:right w:val="nil"/>
            </w:tcBorders>
            <w:tcMar>
              <w:top w:w="20" w:type="dxa"/>
              <w:bottom w:w="20" w:type="dxa"/>
            </w:tcMar>
          </w:tcPr>
          <w:p w14:paraId="147B0A97" w14:textId="77777777" w:rsidR="00303AAE" w:rsidRDefault="00E53B66" w:rsidP="00C91CE2">
            <w:pPr>
              <w:pStyle w:val="Normal1"/>
              <w:spacing w:line="220" w:lineRule="atLeast"/>
              <w:jc w:val="right"/>
            </w:pPr>
            <w:r>
              <w:rPr>
                <w:rFonts w:ascii="Times" w:eastAsia="Times" w:hAnsi="Times" w:cs="Times"/>
                <w:b/>
                <w:color w:val="000000"/>
                <w:sz w:val="18"/>
              </w:rPr>
              <w:t>2016 ($ millions)</w:t>
            </w:r>
          </w:p>
        </w:tc>
        <w:tc>
          <w:tcPr>
            <w:tcW w:w="600" w:type="dxa"/>
            <w:tcBorders>
              <w:bottom w:val="nil"/>
              <w:right w:val="nil"/>
            </w:tcBorders>
            <w:tcMar>
              <w:top w:w="20" w:type="dxa"/>
              <w:bottom w:w="20" w:type="dxa"/>
            </w:tcMar>
          </w:tcPr>
          <w:p w14:paraId="4F51EE3D" w14:textId="77777777" w:rsidR="00303AAE" w:rsidRDefault="00E53B66">
            <w:pPr>
              <w:pStyle w:val="Normal1"/>
              <w:spacing w:line="220" w:lineRule="atLeast"/>
            </w:pPr>
            <w:r>
              <w:rPr>
                <w:rFonts w:ascii="Times" w:eastAsia="Times" w:hAnsi="Times" w:cs="Times"/>
                <w:b/>
                <w:color w:val="000000"/>
                <w:sz w:val="18"/>
              </w:rPr>
              <w:t>2017</w:t>
            </w:r>
          </w:p>
        </w:tc>
        <w:tc>
          <w:tcPr>
            <w:tcW w:w="600" w:type="dxa"/>
            <w:tcBorders>
              <w:bottom w:val="nil"/>
              <w:right w:val="nil"/>
            </w:tcBorders>
            <w:tcMar>
              <w:top w:w="20" w:type="dxa"/>
              <w:bottom w:w="20" w:type="dxa"/>
            </w:tcMar>
          </w:tcPr>
          <w:p w14:paraId="152D7A85" w14:textId="77777777" w:rsidR="00303AAE" w:rsidRDefault="00E53B66">
            <w:pPr>
              <w:pStyle w:val="Normal1"/>
              <w:spacing w:line="220" w:lineRule="atLeast"/>
            </w:pPr>
            <w:r>
              <w:rPr>
                <w:rFonts w:ascii="Times" w:eastAsia="Times" w:hAnsi="Times" w:cs="Times"/>
                <w:b/>
                <w:color w:val="000000"/>
                <w:sz w:val="18"/>
              </w:rPr>
              <w:t>2018</w:t>
            </w:r>
          </w:p>
        </w:tc>
        <w:tc>
          <w:tcPr>
            <w:tcW w:w="600" w:type="dxa"/>
            <w:tcBorders>
              <w:bottom w:val="nil"/>
              <w:right w:val="nil"/>
            </w:tcBorders>
            <w:tcMar>
              <w:top w:w="20" w:type="dxa"/>
              <w:bottom w:w="20" w:type="dxa"/>
            </w:tcMar>
          </w:tcPr>
          <w:p w14:paraId="0CC20A6D" w14:textId="77777777" w:rsidR="00303AAE" w:rsidRDefault="00E53B66">
            <w:pPr>
              <w:pStyle w:val="Normal1"/>
              <w:spacing w:line="220" w:lineRule="atLeast"/>
            </w:pPr>
            <w:r>
              <w:rPr>
                <w:rFonts w:ascii="Times" w:eastAsia="Times" w:hAnsi="Times" w:cs="Times"/>
                <w:b/>
                <w:color w:val="000000"/>
                <w:sz w:val="18"/>
              </w:rPr>
              <w:t>2019</w:t>
            </w:r>
          </w:p>
        </w:tc>
        <w:tc>
          <w:tcPr>
            <w:tcW w:w="600" w:type="dxa"/>
            <w:tcBorders>
              <w:bottom w:val="nil"/>
            </w:tcBorders>
            <w:tcMar>
              <w:top w:w="20" w:type="dxa"/>
              <w:bottom w:w="20" w:type="dxa"/>
            </w:tcMar>
          </w:tcPr>
          <w:p w14:paraId="0B169D5D" w14:textId="77777777" w:rsidR="00303AAE" w:rsidRDefault="00E53B66">
            <w:pPr>
              <w:pStyle w:val="Normal1"/>
              <w:spacing w:line="220" w:lineRule="atLeast"/>
            </w:pPr>
            <w:r>
              <w:rPr>
                <w:rFonts w:ascii="Times" w:eastAsia="Times" w:hAnsi="Times" w:cs="Times"/>
                <w:b/>
                <w:color w:val="000000"/>
                <w:sz w:val="18"/>
              </w:rPr>
              <w:t>2020</w:t>
            </w:r>
          </w:p>
        </w:tc>
      </w:tr>
      <w:tr w:rsidR="00303AAE" w14:paraId="3E70750D" w14:textId="77777777">
        <w:trPr>
          <w:jc w:val="center"/>
        </w:trPr>
        <w:tc>
          <w:tcPr>
            <w:tcW w:w="2160" w:type="dxa"/>
            <w:tcBorders>
              <w:right w:val="nil"/>
            </w:tcBorders>
            <w:tcMar>
              <w:top w:w="20" w:type="dxa"/>
              <w:bottom w:w="20" w:type="dxa"/>
            </w:tcMar>
          </w:tcPr>
          <w:p w14:paraId="74C533CC" w14:textId="77777777" w:rsidR="00303AAE" w:rsidRDefault="00E53B66" w:rsidP="00C91CE2">
            <w:pPr>
              <w:pStyle w:val="Normal1"/>
              <w:spacing w:line="220" w:lineRule="atLeast"/>
              <w:jc w:val="right"/>
            </w:pPr>
            <w:r>
              <w:rPr>
                <w:rFonts w:ascii="Times" w:eastAsia="Times" w:hAnsi="Times" w:cs="Times"/>
                <w:color w:val="000000"/>
                <w:sz w:val="18"/>
              </w:rPr>
              <w:t>24.7</w:t>
            </w:r>
          </w:p>
        </w:tc>
        <w:tc>
          <w:tcPr>
            <w:tcW w:w="600" w:type="dxa"/>
            <w:tcBorders>
              <w:right w:val="nil"/>
            </w:tcBorders>
            <w:tcMar>
              <w:top w:w="20" w:type="dxa"/>
              <w:bottom w:w="20" w:type="dxa"/>
            </w:tcMar>
          </w:tcPr>
          <w:p w14:paraId="4C611604" w14:textId="77777777" w:rsidR="00303AAE" w:rsidRDefault="00E53B66">
            <w:pPr>
              <w:pStyle w:val="Normal1"/>
              <w:spacing w:line="220" w:lineRule="atLeast"/>
            </w:pPr>
            <w:r>
              <w:rPr>
                <w:rFonts w:ascii="Times" w:eastAsia="Times" w:hAnsi="Times" w:cs="Times"/>
                <w:color w:val="000000"/>
                <w:sz w:val="18"/>
              </w:rPr>
              <w:t>23.6</w:t>
            </w:r>
          </w:p>
        </w:tc>
        <w:tc>
          <w:tcPr>
            <w:tcW w:w="600" w:type="dxa"/>
            <w:tcBorders>
              <w:right w:val="nil"/>
            </w:tcBorders>
            <w:tcMar>
              <w:top w:w="20" w:type="dxa"/>
              <w:bottom w:w="20" w:type="dxa"/>
            </w:tcMar>
          </w:tcPr>
          <w:p w14:paraId="43966980" w14:textId="77777777" w:rsidR="00303AAE" w:rsidRDefault="00E53B66">
            <w:pPr>
              <w:pStyle w:val="Normal1"/>
              <w:spacing w:line="220" w:lineRule="atLeast"/>
            </w:pPr>
            <w:r>
              <w:rPr>
                <w:rFonts w:ascii="Times" w:eastAsia="Times" w:hAnsi="Times" w:cs="Times"/>
                <w:color w:val="000000"/>
                <w:sz w:val="18"/>
              </w:rPr>
              <w:t>22.4</w:t>
            </w:r>
          </w:p>
        </w:tc>
        <w:tc>
          <w:tcPr>
            <w:tcW w:w="600" w:type="dxa"/>
            <w:tcBorders>
              <w:right w:val="nil"/>
            </w:tcBorders>
            <w:tcMar>
              <w:top w:w="20" w:type="dxa"/>
              <w:bottom w:w="20" w:type="dxa"/>
            </w:tcMar>
          </w:tcPr>
          <w:p w14:paraId="7C5A295D" w14:textId="77777777" w:rsidR="00303AAE" w:rsidRDefault="00E53B66">
            <w:pPr>
              <w:pStyle w:val="Normal1"/>
              <w:spacing w:line="220" w:lineRule="atLeast"/>
            </w:pPr>
            <w:r>
              <w:rPr>
                <w:rFonts w:ascii="Times" w:eastAsia="Times" w:hAnsi="Times" w:cs="Times"/>
                <w:color w:val="000000"/>
                <w:sz w:val="18"/>
              </w:rPr>
              <w:t>21.1</w:t>
            </w:r>
          </w:p>
        </w:tc>
        <w:tc>
          <w:tcPr>
            <w:tcW w:w="600" w:type="dxa"/>
            <w:tcMar>
              <w:top w:w="20" w:type="dxa"/>
              <w:bottom w:w="20" w:type="dxa"/>
            </w:tcMar>
          </w:tcPr>
          <w:p w14:paraId="29F1DB22" w14:textId="77777777" w:rsidR="00303AAE" w:rsidRDefault="00E53B66">
            <w:pPr>
              <w:pStyle w:val="Normal1"/>
              <w:spacing w:line="220" w:lineRule="atLeast"/>
            </w:pPr>
            <w:r>
              <w:rPr>
                <w:rFonts w:ascii="Times" w:eastAsia="Times" w:hAnsi="Times" w:cs="Times"/>
                <w:color w:val="000000"/>
                <w:sz w:val="18"/>
              </w:rPr>
              <w:t>19.7</w:t>
            </w:r>
          </w:p>
        </w:tc>
      </w:tr>
    </w:tbl>
    <w:p w14:paraId="7B475B6C" w14:textId="77777777" w:rsidR="00303AAE" w:rsidRDefault="00E53B66">
      <w:pPr>
        <w:pStyle w:val="Normal1"/>
        <w:widowControl w:val="0"/>
        <w:spacing w:before="120" w:line="240" w:lineRule="atLeast"/>
        <w:jc w:val="both"/>
      </w:pPr>
      <w:r>
        <w:rPr>
          <w:rFonts w:ascii="Times" w:eastAsia="Times" w:hAnsi="Times" w:cs="Times"/>
          <w:b/>
          <w:sz w:val="20"/>
        </w:rPr>
        <w:t>Table5 (</w:t>
      </w:r>
      <w:hyperlink w:anchor="Table5_insert" w:history="1">
        <w:r>
          <w:rPr>
            <w:rFonts w:ascii="Times" w:eastAsia="Times" w:hAnsi="Times" w:cs="Times"/>
            <w:color w:val="0077CC"/>
            <w:sz w:val="20"/>
            <w:u w:val="single"/>
          </w:rPr>
          <w:t>Return to related document text</w:t>
        </w:r>
      </w:hyperlink>
      <w:r>
        <w:rPr>
          <w:rFonts w:ascii="Times" w:eastAsia="Times" w:hAnsi="Times" w:cs="Times"/>
          <w:b/>
          <w:sz w:val="20"/>
        </w:rPr>
        <w:t>)</w:t>
      </w:r>
    </w:p>
    <w:p w14:paraId="7B8B270E" w14:textId="77777777" w:rsidR="00303AAE" w:rsidRDefault="00303AAE">
      <w:pPr>
        <w:pStyle w:val="Normal1"/>
      </w:pPr>
    </w:p>
    <w:p w14:paraId="246648C9" w14:textId="02CEB4A9" w:rsidR="00303AAE" w:rsidRDefault="009A051E">
      <w:pPr>
        <w:pStyle w:val="Normal1"/>
      </w:pPr>
      <w:r>
        <w:rPr>
          <w:noProof/>
        </w:rPr>
        <mc:AlternateContent>
          <mc:Choice Requires="wps">
            <w:drawing>
              <wp:anchor distT="0" distB="0" distL="114300" distR="114300" simplePos="0" relativeHeight="251663360" behindDoc="0" locked="0" layoutInCell="1" allowOverlap="1" wp14:anchorId="60393D57" wp14:editId="2CEC5D94">
                <wp:simplePos x="0" y="0"/>
                <wp:positionH relativeFrom="column">
                  <wp:posOffset>0</wp:posOffset>
                </wp:positionH>
                <wp:positionV relativeFrom="paragraph">
                  <wp:posOffset>0</wp:posOffset>
                </wp:positionV>
                <wp:extent cx="6502400" cy="0"/>
                <wp:effectExtent l="12700" t="12700" r="25400" b="2540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95237"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esYRICAAAq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"/>
            </w:pict>
          </mc:Fallback>
        </mc:AlternateContent>
      </w:r>
    </w:p>
    <w:p w14:paraId="030314E0" w14:textId="77777777" w:rsidR="00303AAE" w:rsidRDefault="00E53B66">
      <w:pPr>
        <w:pStyle w:val="Normal1"/>
        <w:widowControl w:val="0"/>
        <w:spacing w:line="240" w:lineRule="atLeast"/>
        <w:jc w:val="both"/>
      </w:pPr>
      <w:r>
        <w:rPr>
          <w:rFonts w:ascii="Times" w:eastAsia="Times" w:hAnsi="Times" w:cs="Times"/>
          <w:b/>
          <w:sz w:val="20"/>
        </w:rPr>
        <w:t>Table6 (</w:t>
      </w:r>
      <w:bookmarkStart w:id="318" w:name="Table6"/>
      <w:r>
        <w:rPr>
          <w:rFonts w:ascii="Times" w:eastAsia="Times" w:hAnsi="Times" w:cs="Times"/>
          <w:b/>
          <w:sz w:val="20"/>
        </w:rPr>
        <w:fldChar w:fldCharType="begin"/>
      </w:r>
      <w:r>
        <w:rPr>
          <w:rFonts w:ascii="Times" w:eastAsia="Times" w:hAnsi="Times" w:cs="Times"/>
          <w:b/>
          <w:sz w:val="20"/>
        </w:rPr>
        <w:instrText xml:space="preserve"> HYPERLINK  "" \l Table6_insert</w:instrText>
      </w:r>
      <w:r>
        <w:rPr>
          <w:rFonts w:ascii="Times" w:eastAsia="Times" w:hAnsi="Times" w:cs="Times"/>
          <w:b/>
          <w:sz w:val="20"/>
        </w:rPr>
        <w:fldChar w:fldCharType="separate"/>
      </w:r>
      <w:r>
        <w:rPr>
          <w:rFonts w:ascii="Times" w:eastAsia="Times" w:hAnsi="Times" w:cs="Times"/>
          <w:color w:val="0077CC"/>
          <w:sz w:val="20"/>
          <w:u w:val="single"/>
        </w:rPr>
        <w:t>Return to related document text</w:t>
      </w:r>
      <w:r>
        <w:rPr>
          <w:rFonts w:ascii="Times" w:eastAsia="Times" w:hAnsi="Times" w:cs="Times"/>
          <w:b/>
          <w:sz w:val="20"/>
        </w:rPr>
        <w:fldChar w:fldCharType="end"/>
      </w:r>
      <w:bookmarkEnd w:id="318"/>
      <w:r>
        <w:rPr>
          <w:rFonts w:ascii="Times" w:eastAsia="Times" w:hAnsi="Times" w:cs="Times"/>
          <w:b/>
          <w:sz w:val="20"/>
        </w:rPr>
        <w:t>)</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3240"/>
        <w:gridCol w:w="1560"/>
      </w:tblGrid>
      <w:tr w:rsidR="00303AAE" w14:paraId="2C8AB675" w14:textId="77777777">
        <w:trPr>
          <w:tblHeader/>
          <w:jc w:val="center"/>
        </w:trPr>
        <w:tc>
          <w:tcPr>
            <w:tcW w:w="3240" w:type="dxa"/>
            <w:tcBorders>
              <w:bottom w:val="nil"/>
              <w:right w:val="nil"/>
            </w:tcBorders>
            <w:tcMar>
              <w:top w:w="20" w:type="dxa"/>
              <w:bottom w:w="20" w:type="dxa"/>
            </w:tcMar>
          </w:tcPr>
          <w:p w14:paraId="28447E4A" w14:textId="77777777" w:rsidR="00303AAE" w:rsidRDefault="00303AAE">
            <w:pPr>
              <w:pStyle w:val="Normal1"/>
            </w:pPr>
          </w:p>
        </w:tc>
        <w:tc>
          <w:tcPr>
            <w:tcW w:w="1560" w:type="dxa"/>
            <w:tcBorders>
              <w:bottom w:val="nil"/>
            </w:tcBorders>
            <w:tcMar>
              <w:top w:w="20" w:type="dxa"/>
              <w:bottom w:w="20" w:type="dxa"/>
            </w:tcMar>
          </w:tcPr>
          <w:p w14:paraId="66AD971A" w14:textId="77777777" w:rsidR="00303AAE" w:rsidRDefault="00E53B66">
            <w:pPr>
              <w:pStyle w:val="Normal1"/>
              <w:spacing w:line="220" w:lineRule="atLeast"/>
              <w:jc w:val="right"/>
            </w:pPr>
            <w:r>
              <w:rPr>
                <w:rFonts w:ascii="Times" w:eastAsia="Times" w:hAnsi="Times" w:cs="Times"/>
                <w:b/>
                <w:color w:val="000000"/>
                <w:sz w:val="18"/>
              </w:rPr>
              <w:t>($ millions)</w:t>
            </w:r>
          </w:p>
        </w:tc>
      </w:tr>
      <w:tr w:rsidR="00303AAE" w14:paraId="6BAC1344" w14:textId="77777777">
        <w:trPr>
          <w:jc w:val="center"/>
        </w:trPr>
        <w:tc>
          <w:tcPr>
            <w:tcW w:w="3240" w:type="dxa"/>
            <w:tcBorders>
              <w:bottom w:val="nil"/>
              <w:right w:val="nil"/>
            </w:tcBorders>
            <w:tcMar>
              <w:top w:w="20" w:type="dxa"/>
              <w:bottom w:w="20" w:type="dxa"/>
            </w:tcMar>
          </w:tcPr>
          <w:p w14:paraId="60868390" w14:textId="77777777" w:rsidR="00303AAE" w:rsidRDefault="00E53B66">
            <w:pPr>
              <w:pStyle w:val="Normal1"/>
              <w:spacing w:line="220" w:lineRule="atLeast"/>
            </w:pPr>
            <w:r>
              <w:rPr>
                <w:rFonts w:ascii="Times" w:eastAsia="Times" w:hAnsi="Times" w:cs="Times"/>
                <w:color w:val="000000"/>
                <w:sz w:val="18"/>
              </w:rPr>
              <w:t>PV of 2010-2015 Cash Flows</w:t>
            </w:r>
          </w:p>
        </w:tc>
        <w:tc>
          <w:tcPr>
            <w:tcW w:w="1560" w:type="dxa"/>
            <w:tcBorders>
              <w:bottom w:val="nil"/>
            </w:tcBorders>
            <w:tcMar>
              <w:top w:w="20" w:type="dxa"/>
              <w:bottom w:w="20" w:type="dxa"/>
            </w:tcMar>
          </w:tcPr>
          <w:p w14:paraId="23721C15" w14:textId="77777777" w:rsidR="00303AAE" w:rsidRDefault="00E53B66">
            <w:pPr>
              <w:pStyle w:val="Normal1"/>
              <w:spacing w:line="220" w:lineRule="atLeast"/>
              <w:jc w:val="right"/>
            </w:pPr>
            <w:r>
              <w:rPr>
                <w:rFonts w:ascii="Times" w:eastAsia="Times" w:hAnsi="Times" w:cs="Times"/>
                <w:color w:val="000000"/>
                <w:sz w:val="18"/>
              </w:rPr>
              <w:t>42.0</w:t>
            </w:r>
          </w:p>
        </w:tc>
      </w:tr>
      <w:tr w:rsidR="00303AAE" w14:paraId="3D218352" w14:textId="77777777">
        <w:trPr>
          <w:jc w:val="center"/>
        </w:trPr>
        <w:tc>
          <w:tcPr>
            <w:tcW w:w="3240" w:type="dxa"/>
            <w:tcBorders>
              <w:bottom w:val="nil"/>
              <w:right w:val="nil"/>
            </w:tcBorders>
            <w:tcMar>
              <w:top w:w="20" w:type="dxa"/>
              <w:bottom w:w="20" w:type="dxa"/>
            </w:tcMar>
          </w:tcPr>
          <w:p w14:paraId="436BF60A" w14:textId="77777777" w:rsidR="00303AAE" w:rsidRDefault="00E53B66">
            <w:pPr>
              <w:pStyle w:val="Normal1"/>
              <w:spacing w:line="220" w:lineRule="atLeast"/>
            </w:pPr>
            <w:r>
              <w:rPr>
                <w:rFonts w:ascii="Times" w:eastAsia="Times" w:hAnsi="Times" w:cs="Times"/>
                <w:color w:val="000000"/>
                <w:sz w:val="18"/>
              </w:rPr>
              <w:t>PV of 2016-2020 Cash Flows</w:t>
            </w:r>
          </w:p>
        </w:tc>
        <w:tc>
          <w:tcPr>
            <w:tcW w:w="1560" w:type="dxa"/>
            <w:tcBorders>
              <w:bottom w:val="nil"/>
            </w:tcBorders>
            <w:tcMar>
              <w:top w:w="20" w:type="dxa"/>
              <w:bottom w:w="20" w:type="dxa"/>
            </w:tcMar>
          </w:tcPr>
          <w:p w14:paraId="1FCAAB7C" w14:textId="77777777" w:rsidR="00303AAE" w:rsidRDefault="00E53B66">
            <w:pPr>
              <w:pStyle w:val="Normal1"/>
              <w:spacing w:line="220" w:lineRule="atLeast"/>
              <w:jc w:val="right"/>
            </w:pPr>
            <w:r>
              <w:rPr>
                <w:rFonts w:ascii="Times" w:eastAsia="Times" w:hAnsi="Times" w:cs="Times"/>
                <w:color w:val="000000"/>
                <w:sz w:val="18"/>
              </w:rPr>
              <w:t>111.5</w:t>
            </w:r>
          </w:p>
        </w:tc>
      </w:tr>
      <w:tr w:rsidR="00303AAE" w14:paraId="03BF2C73" w14:textId="77777777">
        <w:trPr>
          <w:jc w:val="center"/>
        </w:trPr>
        <w:tc>
          <w:tcPr>
            <w:tcW w:w="3240" w:type="dxa"/>
            <w:tcBorders>
              <w:bottom w:val="nil"/>
              <w:right w:val="nil"/>
            </w:tcBorders>
            <w:tcMar>
              <w:top w:w="20" w:type="dxa"/>
              <w:bottom w:w="20" w:type="dxa"/>
            </w:tcMar>
          </w:tcPr>
          <w:p w14:paraId="49B7C15F" w14:textId="77777777" w:rsidR="00303AAE" w:rsidRDefault="00E53B66">
            <w:pPr>
              <w:pStyle w:val="Normal1"/>
              <w:spacing w:line="220" w:lineRule="atLeast"/>
            </w:pPr>
            <w:r>
              <w:rPr>
                <w:rFonts w:ascii="Times" w:eastAsia="Times" w:hAnsi="Times" w:cs="Times"/>
                <w:color w:val="000000"/>
                <w:sz w:val="18"/>
              </w:rPr>
              <w:t>PV of Terminal Value</w:t>
            </w:r>
          </w:p>
        </w:tc>
        <w:tc>
          <w:tcPr>
            <w:tcW w:w="1560" w:type="dxa"/>
            <w:tcBorders>
              <w:bottom w:val="nil"/>
            </w:tcBorders>
            <w:tcMar>
              <w:top w:w="20" w:type="dxa"/>
              <w:bottom w:w="20" w:type="dxa"/>
            </w:tcMar>
          </w:tcPr>
          <w:p w14:paraId="29823886" w14:textId="77777777" w:rsidR="00303AAE" w:rsidRDefault="00E53B66">
            <w:pPr>
              <w:pStyle w:val="Normal1"/>
              <w:spacing w:line="220" w:lineRule="atLeast"/>
              <w:jc w:val="right"/>
            </w:pPr>
            <w:r>
              <w:rPr>
                <w:rFonts w:ascii="Times" w:eastAsia="Times" w:hAnsi="Times" w:cs="Times"/>
                <w:color w:val="000000"/>
                <w:sz w:val="18"/>
              </w:rPr>
              <w:t>276.7</w:t>
            </w:r>
          </w:p>
        </w:tc>
      </w:tr>
      <w:tr w:rsidR="00303AAE" w14:paraId="37E37DA3" w14:textId="77777777">
        <w:trPr>
          <w:jc w:val="center"/>
        </w:trPr>
        <w:tc>
          <w:tcPr>
            <w:tcW w:w="3240" w:type="dxa"/>
            <w:tcBorders>
              <w:bottom w:val="nil"/>
              <w:right w:val="nil"/>
            </w:tcBorders>
            <w:tcMar>
              <w:top w:w="20" w:type="dxa"/>
              <w:bottom w:w="20" w:type="dxa"/>
            </w:tcMar>
          </w:tcPr>
          <w:p w14:paraId="5818DAFE" w14:textId="77777777" w:rsidR="00303AAE" w:rsidRDefault="00E53B66">
            <w:pPr>
              <w:pStyle w:val="Normal1"/>
              <w:spacing w:line="220" w:lineRule="atLeast"/>
            </w:pPr>
            <w:r>
              <w:rPr>
                <w:rFonts w:ascii="Times" w:eastAsia="Times" w:hAnsi="Times" w:cs="Times"/>
                <w:color w:val="000000"/>
                <w:sz w:val="18"/>
              </w:rPr>
              <w:t>Enterprise Value</w:t>
            </w:r>
          </w:p>
        </w:tc>
        <w:tc>
          <w:tcPr>
            <w:tcW w:w="1560" w:type="dxa"/>
            <w:tcBorders>
              <w:bottom w:val="nil"/>
            </w:tcBorders>
            <w:tcMar>
              <w:top w:w="20" w:type="dxa"/>
              <w:bottom w:w="20" w:type="dxa"/>
            </w:tcMar>
          </w:tcPr>
          <w:p w14:paraId="4C962A59" w14:textId="77777777" w:rsidR="00303AAE" w:rsidRDefault="00E53B66">
            <w:pPr>
              <w:pStyle w:val="Normal1"/>
              <w:spacing w:line="220" w:lineRule="atLeast"/>
              <w:jc w:val="right"/>
            </w:pPr>
            <w:r>
              <w:rPr>
                <w:rFonts w:ascii="Times" w:eastAsia="Times" w:hAnsi="Times" w:cs="Times"/>
                <w:color w:val="000000"/>
                <w:sz w:val="18"/>
              </w:rPr>
              <w:t>430.2</w:t>
            </w:r>
          </w:p>
        </w:tc>
      </w:tr>
      <w:tr w:rsidR="00303AAE" w14:paraId="41B0C57C" w14:textId="77777777">
        <w:trPr>
          <w:jc w:val="center"/>
        </w:trPr>
        <w:tc>
          <w:tcPr>
            <w:tcW w:w="3240" w:type="dxa"/>
            <w:tcBorders>
              <w:bottom w:val="nil"/>
              <w:right w:val="nil"/>
            </w:tcBorders>
            <w:tcMar>
              <w:top w:w="20" w:type="dxa"/>
              <w:bottom w:w="20" w:type="dxa"/>
            </w:tcMar>
          </w:tcPr>
          <w:p w14:paraId="2D579FDF" w14:textId="77777777" w:rsidR="00303AAE" w:rsidRDefault="00E53B66">
            <w:pPr>
              <w:pStyle w:val="Normal1"/>
              <w:spacing w:line="220" w:lineRule="atLeast"/>
            </w:pPr>
            <w:r>
              <w:rPr>
                <w:rFonts w:ascii="Times" w:eastAsia="Times" w:hAnsi="Times" w:cs="Times"/>
                <w:color w:val="000000"/>
                <w:sz w:val="18"/>
              </w:rPr>
              <w:t>Less: Net Debt</w:t>
            </w:r>
          </w:p>
        </w:tc>
        <w:tc>
          <w:tcPr>
            <w:tcW w:w="1560" w:type="dxa"/>
            <w:tcBorders>
              <w:bottom w:val="nil"/>
            </w:tcBorders>
            <w:tcMar>
              <w:top w:w="20" w:type="dxa"/>
              <w:bottom w:w="20" w:type="dxa"/>
            </w:tcMar>
          </w:tcPr>
          <w:p w14:paraId="159CF6B2" w14:textId="77777777" w:rsidR="00303AAE" w:rsidRDefault="00E53B66">
            <w:pPr>
              <w:pStyle w:val="Normal1"/>
              <w:spacing w:line="220" w:lineRule="atLeast"/>
              <w:jc w:val="right"/>
            </w:pPr>
            <w:r>
              <w:rPr>
                <w:rFonts w:ascii="Times" w:eastAsia="Times" w:hAnsi="Times" w:cs="Times"/>
                <w:color w:val="000000"/>
                <w:sz w:val="18"/>
              </w:rPr>
              <w:t>(533.2)</w:t>
            </w:r>
          </w:p>
        </w:tc>
      </w:tr>
      <w:tr w:rsidR="00303AAE" w14:paraId="5E0FC62C" w14:textId="77777777">
        <w:trPr>
          <w:jc w:val="center"/>
        </w:trPr>
        <w:tc>
          <w:tcPr>
            <w:tcW w:w="3240" w:type="dxa"/>
            <w:tcBorders>
              <w:right w:val="nil"/>
            </w:tcBorders>
            <w:tcMar>
              <w:top w:w="20" w:type="dxa"/>
              <w:bottom w:w="20" w:type="dxa"/>
            </w:tcMar>
          </w:tcPr>
          <w:p w14:paraId="3594F014" w14:textId="77777777" w:rsidR="00303AAE" w:rsidRDefault="00E53B66">
            <w:pPr>
              <w:pStyle w:val="Normal1"/>
              <w:spacing w:line="220" w:lineRule="atLeast"/>
            </w:pPr>
            <w:r>
              <w:rPr>
                <w:rFonts w:ascii="Times" w:eastAsia="Times" w:hAnsi="Times" w:cs="Times"/>
                <w:b/>
                <w:color w:val="000000"/>
                <w:sz w:val="18"/>
              </w:rPr>
              <w:t>Equity Value</w:t>
            </w:r>
          </w:p>
        </w:tc>
        <w:tc>
          <w:tcPr>
            <w:tcW w:w="1560" w:type="dxa"/>
            <w:tcMar>
              <w:top w:w="20" w:type="dxa"/>
              <w:bottom w:w="20" w:type="dxa"/>
            </w:tcMar>
          </w:tcPr>
          <w:p w14:paraId="2DCAF46D" w14:textId="77777777" w:rsidR="00303AAE" w:rsidRDefault="00E53B66">
            <w:pPr>
              <w:pStyle w:val="Normal1"/>
              <w:spacing w:line="220" w:lineRule="atLeast"/>
              <w:jc w:val="right"/>
            </w:pPr>
            <w:r>
              <w:rPr>
                <w:rFonts w:ascii="Times" w:eastAsia="Times" w:hAnsi="Times" w:cs="Times"/>
                <w:b/>
                <w:color w:val="000000"/>
                <w:sz w:val="18"/>
              </w:rPr>
              <w:t>963.4</w:t>
            </w:r>
          </w:p>
        </w:tc>
      </w:tr>
    </w:tbl>
    <w:p w14:paraId="1E327841" w14:textId="77777777" w:rsidR="00303AAE" w:rsidRDefault="00E53B66">
      <w:pPr>
        <w:pStyle w:val="Normal1"/>
        <w:widowControl w:val="0"/>
        <w:spacing w:before="120" w:line="240" w:lineRule="atLeast"/>
        <w:jc w:val="both"/>
      </w:pPr>
      <w:r>
        <w:rPr>
          <w:rFonts w:ascii="Times" w:eastAsia="Times" w:hAnsi="Times" w:cs="Times"/>
          <w:b/>
          <w:sz w:val="20"/>
        </w:rPr>
        <w:t>Table6 (</w:t>
      </w:r>
      <w:hyperlink w:anchor="Table6_insert" w:history="1">
        <w:r>
          <w:rPr>
            <w:rFonts w:ascii="Times" w:eastAsia="Times" w:hAnsi="Times" w:cs="Times"/>
            <w:color w:val="0077CC"/>
            <w:sz w:val="20"/>
            <w:u w:val="single"/>
          </w:rPr>
          <w:t>Return to related document text</w:t>
        </w:r>
      </w:hyperlink>
      <w:r>
        <w:rPr>
          <w:rFonts w:ascii="Times" w:eastAsia="Times" w:hAnsi="Times" w:cs="Times"/>
          <w:b/>
          <w:sz w:val="20"/>
        </w:rPr>
        <w:t>)</w:t>
      </w:r>
    </w:p>
    <w:p w14:paraId="113C092B" w14:textId="77777777" w:rsidR="00303AAE" w:rsidRDefault="00303AAE">
      <w:pPr>
        <w:pStyle w:val="Normal1"/>
      </w:pPr>
    </w:p>
    <w:p w14:paraId="473868E6" w14:textId="6513D240" w:rsidR="00303AAE" w:rsidRDefault="00E53B66">
      <w:pPr>
        <w:pStyle w:val="Normal1"/>
        <w:ind w:left="200"/>
      </w:pPr>
      <w:r>
        <w:br/>
      </w:r>
      <w:r w:rsidR="009A051E">
        <w:rPr>
          <w:noProof/>
        </w:rPr>
        <mc:AlternateContent>
          <mc:Choice Requires="wps">
            <w:drawing>
              <wp:anchor distT="0" distB="0" distL="114300" distR="114300" simplePos="0" relativeHeight="251665408" behindDoc="0" locked="0" layoutInCell="1" allowOverlap="1" wp14:anchorId="0EF31178" wp14:editId="1CF1032F">
                <wp:simplePos x="0" y="0"/>
                <wp:positionH relativeFrom="column">
                  <wp:posOffset>0</wp:posOffset>
                </wp:positionH>
                <wp:positionV relativeFrom="paragraph">
                  <wp:posOffset>127000</wp:posOffset>
                </wp:positionV>
                <wp:extent cx="6502400" cy="0"/>
                <wp:effectExtent l="12700" t="12700" r="25400" b="2540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72C87" id="Line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" strokeweight="1pt"/>
            </w:pict>
          </mc:Fallback>
        </mc:AlternateContent>
      </w:r>
      <w:r>
        <w:rPr>
          <w:rFonts w:ascii="sans-serif" w:eastAsia="sans-serif" w:hAnsi="sans-serif" w:cs="sans-serif"/>
          <w:b/>
          <w:color w:val="808080"/>
          <w:sz w:val="16"/>
        </w:rPr>
        <w:t>End of Document</w:t>
      </w:r>
    </w:p>
    <w:sectPr w:rsidR="00303AAE">
      <w:pgSz w:w="12240" w:h="15840"/>
      <w:pgMar w:top="840" w:right="1000" w:bottom="840" w:left="1000" w:header="400" w:footer="40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1534D" w14:textId="77777777" w:rsidR="00424D63" w:rsidRDefault="00424D63">
      <w:r>
        <w:separator/>
      </w:r>
    </w:p>
  </w:endnote>
  <w:endnote w:type="continuationSeparator" w:id="0">
    <w:p w14:paraId="2D6A87E7" w14:textId="77777777" w:rsidR="00424D63" w:rsidRDefault="0042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38A61" w14:textId="77777777" w:rsidR="00B83DCC" w:rsidRDefault="00B83DCC" w:rsidP="00ED16B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125375" w14:textId="77777777" w:rsidR="00E53B66" w:rsidRDefault="00E53B66" w:rsidP="00B83DCC">
    <w:pPr>
      <w:pStyle w:val="Normal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71D1" w14:textId="77777777" w:rsidR="00B83DCC" w:rsidRDefault="00B83DCC" w:rsidP="00ED16B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78EF">
      <w:rPr>
        <w:rStyle w:val="PageNumber"/>
        <w:noProof/>
      </w:rPr>
      <w:t>16</w:t>
    </w:r>
    <w:r>
      <w:rPr>
        <w:rStyle w:val="PageNumber"/>
      </w:rPr>
      <w:fldChar w:fldCharType="end"/>
    </w:r>
  </w:p>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53B66" w14:paraId="6C6D2CCA" w14:textId="77777777">
      <w:trPr>
        <w:jc w:val="center"/>
      </w:trPr>
      <w:tc>
        <w:tcPr>
          <w:tcW w:w="2600" w:type="dxa"/>
          <w:tcMar>
            <w:top w:w="200" w:type="dxa"/>
          </w:tcMar>
          <w:vAlign w:val="center"/>
        </w:tcPr>
        <w:p w14:paraId="711D695B" w14:textId="77777777" w:rsidR="00E53B66" w:rsidRDefault="00E53B66" w:rsidP="00B83DCC">
          <w:pPr>
            <w:pStyle w:val="Normal1"/>
            <w:ind w:right="360"/>
          </w:pPr>
        </w:p>
      </w:tc>
      <w:tc>
        <w:tcPr>
          <w:tcW w:w="4880" w:type="dxa"/>
          <w:tcMar>
            <w:top w:w="200" w:type="dxa"/>
          </w:tcMar>
          <w:vAlign w:val="center"/>
        </w:tcPr>
        <w:p w14:paraId="105FAB44" w14:textId="77777777" w:rsidR="00E53B66" w:rsidRDefault="00E53B66">
          <w:pPr>
            <w:pStyle w:val="Normal1"/>
            <w:jc w:val="center"/>
          </w:pPr>
        </w:p>
      </w:tc>
      <w:tc>
        <w:tcPr>
          <w:tcW w:w="2600" w:type="dxa"/>
          <w:tcMar>
            <w:top w:w="200" w:type="dxa"/>
          </w:tcMar>
          <w:vAlign w:val="center"/>
        </w:tcPr>
        <w:p w14:paraId="413A1610" w14:textId="77777777" w:rsidR="00E53B66" w:rsidRDefault="00E53B66">
          <w:pPr>
            <w:pStyle w:val="Normal1"/>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AF4E7" w14:textId="77777777" w:rsidR="00E53B66" w:rsidRDefault="00E53B66">
    <w:pPr>
      <w:pStyle w:val="Normal1"/>
      <w:spacing w:before="20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E3E4E" w14:textId="77777777" w:rsidR="00424D63" w:rsidRDefault="00424D63">
      <w:r>
        <w:separator/>
      </w:r>
    </w:p>
  </w:footnote>
  <w:footnote w:type="continuationSeparator" w:id="0">
    <w:p w14:paraId="7156F53A" w14:textId="77777777" w:rsidR="00424D63" w:rsidRDefault="00424D63">
      <w:r>
        <w:continuationSeparator/>
      </w:r>
    </w:p>
  </w:footnote>
  <w:footnote w:id="1">
    <w:p w14:paraId="49BA91B6"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5 </w:t>
      </w:r>
      <w:bookmarkStart w:id="8" w:name="Bookmark_fnpara_5"/>
      <w:bookmarkEnd w:id="8"/>
      <w:r>
        <w:rPr>
          <w:rFonts w:ascii="Times" w:eastAsia="Times" w:hAnsi="Times" w:cs="Times"/>
          <w:i/>
          <w:color w:val="000000"/>
          <w:sz w:val="18"/>
        </w:rPr>
        <w:t>Id.</w:t>
      </w:r>
    </w:p>
  </w:footnote>
  <w:footnote w:id="2">
    <w:p w14:paraId="3D57BFA2"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7 </w:t>
      </w:r>
      <w:bookmarkStart w:id="10" w:name="Bookmark_fnpara_7"/>
      <w:bookmarkEnd w:id="10"/>
      <w:r>
        <w:rPr>
          <w:rFonts w:ascii="Times" w:eastAsia="Times" w:hAnsi="Times" w:cs="Times"/>
          <w:color w:val="000000"/>
          <w:sz w:val="18"/>
        </w:rPr>
        <w:t xml:space="preserve">Bolger Dep. 53-66; JX 157 at 17. In </w:t>
      </w:r>
      <w:proofErr w:type="spellStart"/>
      <w:r>
        <w:rPr>
          <w:rFonts w:ascii="Times" w:eastAsia="Times" w:hAnsi="Times" w:cs="Times"/>
          <w:color w:val="000000"/>
          <w:sz w:val="18"/>
        </w:rPr>
        <w:t>Cogent's</w:t>
      </w:r>
      <w:proofErr w:type="spellEnd"/>
      <w:r>
        <w:rPr>
          <w:rFonts w:ascii="Times" w:eastAsia="Times" w:hAnsi="Times" w:cs="Times"/>
          <w:color w:val="000000"/>
          <w:sz w:val="18"/>
        </w:rPr>
        <w:t xml:space="preserve"> proxy statement, NEC was "Company D," Danaher was "Company G," and Roper was "Company E."</w:t>
      </w:r>
    </w:p>
  </w:footnote>
  <w:footnote w:id="3">
    <w:p w14:paraId="229DC2E3" w14:textId="77777777" w:rsidR="00E53B66" w:rsidRDefault="00E53B66">
      <w:pPr>
        <w:pStyle w:val="Normal1"/>
        <w:widowControl w:val="0"/>
        <w:spacing w:before="240" w:line="240" w:lineRule="atLeast"/>
        <w:jc w:val="both"/>
      </w:pPr>
      <w:r>
        <w:rPr>
          <w:rFonts w:ascii="Times" w:eastAsia="Times" w:hAnsi="Times" w:cs="Times"/>
          <w:color w:val="000000"/>
          <w:sz w:val="18"/>
          <w:vertAlign w:val="superscript"/>
        </w:rPr>
        <w:t>36 </w:t>
      </w:r>
      <w:bookmarkStart w:id="35" w:name="Bookmark_fnpara_36"/>
      <w:bookmarkEnd w:id="35"/>
      <w:r>
        <w:rPr>
          <w:rFonts w:ascii="Times" w:eastAsia="Times" w:hAnsi="Times" w:cs="Times"/>
          <w:i/>
          <w:color w:val="000000"/>
          <w:sz w:val="18"/>
        </w:rPr>
        <w:t xml:space="preserve">See </w:t>
      </w:r>
      <w:bookmarkStart w:id="36" w:name="Bookmark_I590TCN62D6N600030000400"/>
      <w:bookmarkEnd w:id="36"/>
      <w:r>
        <w:rPr>
          <w:rFonts w:ascii="Times" w:eastAsia="Times" w:hAnsi="Times" w:cs="Times"/>
          <w:i/>
          <w:color w:val="000000"/>
          <w:sz w:val="18"/>
        </w:rPr>
        <w:fldChar w:fldCharType="begin"/>
      </w:r>
      <w:r>
        <w:rPr>
          <w:rFonts w:ascii="Times" w:eastAsia="Times" w:hAnsi="Times" w:cs="Times"/>
          <w:i/>
          <w:color w:val="000000"/>
          <w:sz w:val="18"/>
        </w:rPr>
        <w:instrText xml:space="preserve"> HYPERLINK  https://advance.lexis.com/api/document?collection=cases&amp;id=urn:contentItem:4FB2-2S10-0039-40WW-00000-00&amp;context=</w:instrText>
      </w:r>
      <w:r>
        <w:rPr>
          <w:rFonts w:ascii="Times" w:eastAsia="Times" w:hAnsi="Times" w:cs="Times"/>
          <w:i/>
          <w:color w:val="000000"/>
          <w:sz w:val="18"/>
        </w:rPr>
        <w:fldChar w:fldCharType="separate"/>
      </w:r>
      <w:proofErr w:type="spellStart"/>
      <w:r>
        <w:rPr>
          <w:rFonts w:ascii="Times" w:eastAsia="Times" w:hAnsi="Times" w:cs="Times"/>
          <w:i/>
          <w:color w:val="0077CC"/>
          <w:sz w:val="18"/>
          <w:u w:val="single"/>
        </w:rPr>
        <w:t>Dobler</w:t>
      </w:r>
      <w:proofErr w:type="spellEnd"/>
      <w:r>
        <w:rPr>
          <w:rFonts w:ascii="Times" w:eastAsia="Times" w:hAnsi="Times" w:cs="Times"/>
          <w:i/>
          <w:color w:val="0077CC"/>
          <w:sz w:val="18"/>
          <w:u w:val="single"/>
        </w:rPr>
        <w:t xml:space="preserve"> v. Montgomery Cellular </w:t>
      </w:r>
      <w:proofErr w:type="spellStart"/>
      <w:r>
        <w:rPr>
          <w:rFonts w:ascii="Times" w:eastAsia="Times" w:hAnsi="Times" w:cs="Times"/>
          <w:i/>
          <w:color w:val="0077CC"/>
          <w:sz w:val="18"/>
          <w:u w:val="single"/>
        </w:rPr>
        <w:t>Hldg</w:t>
      </w:r>
      <w:proofErr w:type="spellEnd"/>
      <w:r>
        <w:rPr>
          <w:rFonts w:ascii="Times" w:eastAsia="Times" w:hAnsi="Times" w:cs="Times"/>
          <w:i/>
          <w:color w:val="0077CC"/>
          <w:sz w:val="18"/>
          <w:u w:val="single"/>
        </w:rPr>
        <w:t>. Co.</w:t>
      </w:r>
      <w:r>
        <w:rPr>
          <w:rFonts w:ascii="Times" w:eastAsia="Times" w:hAnsi="Times" w:cs="Times"/>
          <w:i/>
          <w:color w:val="000000"/>
          <w:sz w:val="18"/>
        </w:rPr>
        <w:fldChar w:fldCharType="end"/>
      </w:r>
      <w:hyperlink r:id="rId1" w:history="1">
        <w:r>
          <w:rPr>
            <w:rFonts w:ascii="Times" w:eastAsia="Times" w:hAnsi="Times" w:cs="Times"/>
            <w:color w:val="0077CC"/>
            <w:sz w:val="18"/>
            <w:u w:val="single"/>
          </w:rPr>
          <w:t>, 2004 Del. Ch. LEXIS 139, 2004 WL 2271592, at *8 (Oct. 4, 2004)</w:t>
        </w:r>
      </w:hyperlink>
      <w:r>
        <w:rPr>
          <w:rFonts w:ascii="Times" w:eastAsia="Times" w:hAnsi="Times" w:cs="Times"/>
          <w:color w:val="000000"/>
          <w:sz w:val="18"/>
        </w:rPr>
        <w:t xml:space="preserve">; </w:t>
      </w:r>
      <w:r>
        <w:rPr>
          <w:rFonts w:ascii="Times" w:eastAsia="Times" w:hAnsi="Times" w:cs="Times"/>
          <w:i/>
          <w:color w:val="000000"/>
          <w:sz w:val="18"/>
        </w:rPr>
        <w:t xml:space="preserve">see also </w:t>
      </w:r>
      <w:bookmarkStart w:id="37" w:name="Bookmark_I590TCN62D6N600050000400"/>
      <w:bookmarkEnd w:id="37"/>
      <w:r>
        <w:rPr>
          <w:rFonts w:ascii="Times" w:eastAsia="Times" w:hAnsi="Times" w:cs="Times"/>
          <w:i/>
          <w:color w:val="000000"/>
          <w:sz w:val="18"/>
        </w:rPr>
        <w:fldChar w:fldCharType="begin"/>
      </w:r>
      <w:r>
        <w:rPr>
          <w:rFonts w:ascii="Times" w:eastAsia="Times" w:hAnsi="Times" w:cs="Times"/>
          <w:i/>
          <w:color w:val="000000"/>
          <w:sz w:val="18"/>
        </w:rPr>
        <w:instrText xml:space="preserve"> HYPERLINK  https://advance.lexis.com/api/document?collection=cases&amp;id=urn:contentItem:4BR4-3060-0039-41TY-00000-00&amp;context=</w:instrText>
      </w:r>
      <w:r>
        <w:rPr>
          <w:rFonts w:ascii="Times" w:eastAsia="Times" w:hAnsi="Times" w:cs="Times"/>
          <w:i/>
          <w:color w:val="000000"/>
          <w:sz w:val="18"/>
        </w:rPr>
        <w:fldChar w:fldCharType="separate"/>
      </w:r>
      <w:r>
        <w:rPr>
          <w:rFonts w:ascii="Times" w:eastAsia="Times" w:hAnsi="Times" w:cs="Times"/>
          <w:i/>
          <w:color w:val="0077CC"/>
          <w:sz w:val="18"/>
          <w:u w:val="single"/>
        </w:rPr>
        <w:t xml:space="preserve">Cede &amp; Co. v. JRC </w:t>
      </w:r>
      <w:proofErr w:type="spellStart"/>
      <w:r>
        <w:rPr>
          <w:rFonts w:ascii="Times" w:eastAsia="Times" w:hAnsi="Times" w:cs="Times"/>
          <w:i/>
          <w:color w:val="0077CC"/>
          <w:sz w:val="18"/>
          <w:u w:val="single"/>
        </w:rPr>
        <w:t>Acq</w:t>
      </w:r>
      <w:proofErr w:type="spellEnd"/>
      <w:r>
        <w:rPr>
          <w:rFonts w:ascii="Times" w:eastAsia="Times" w:hAnsi="Times" w:cs="Times"/>
          <w:i/>
          <w:color w:val="0077CC"/>
          <w:sz w:val="18"/>
          <w:u w:val="single"/>
        </w:rPr>
        <w:t>. Corp.</w:t>
      </w:r>
      <w:r>
        <w:rPr>
          <w:rFonts w:ascii="Times" w:eastAsia="Times" w:hAnsi="Times" w:cs="Times"/>
          <w:i/>
          <w:color w:val="000000"/>
          <w:sz w:val="18"/>
        </w:rPr>
        <w:fldChar w:fldCharType="end"/>
      </w:r>
      <w:hyperlink r:id="rId2" w:history="1">
        <w:r>
          <w:rPr>
            <w:rFonts w:ascii="Times" w:eastAsia="Times" w:hAnsi="Times" w:cs="Times"/>
            <w:color w:val="0077CC"/>
            <w:sz w:val="18"/>
            <w:u w:val="single"/>
          </w:rPr>
          <w:t>, 2004 Del. Ch. LEXIS 12, 2004 WL 286963, at *2 (Del. Ch. Feb. 10, 2004)</w:t>
        </w:r>
      </w:hyperlink>
      <w:r>
        <w:rPr>
          <w:rFonts w:ascii="Times" w:eastAsia="Times" w:hAnsi="Times" w:cs="Times"/>
          <w:color w:val="000000"/>
          <w:sz w:val="18"/>
        </w:rPr>
        <w:t xml:space="preserve"> (utilizing the DCF approach); </w:t>
      </w:r>
      <w:bookmarkStart w:id="38" w:name="Bookmark_I590TCN62HM6T50020000400"/>
      <w:bookmarkEnd w:id="38"/>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https://advance.lexis.com/api/document?collection=cases&amp;id=urn:contentItem:4864-KNN0-0039-4527-00000-00&amp;context=</w:instrText>
      </w:r>
      <w:r>
        <w:rPr>
          <w:rFonts w:ascii="Times" w:eastAsia="Times" w:hAnsi="Times" w:cs="Times"/>
          <w:color w:val="000000"/>
          <w:sz w:val="18"/>
        </w:rPr>
        <w:fldChar w:fldCharType="separate"/>
      </w:r>
      <w:r>
        <w:rPr>
          <w:rFonts w:ascii="Times" w:eastAsia="Times" w:hAnsi="Times" w:cs="Times"/>
          <w:i/>
          <w:color w:val="0077CC"/>
          <w:sz w:val="18"/>
          <w:u w:val="single"/>
        </w:rPr>
        <w:t xml:space="preserve">Gentile v. </w:t>
      </w:r>
      <w:proofErr w:type="spellStart"/>
      <w:r>
        <w:rPr>
          <w:rFonts w:ascii="Times" w:eastAsia="Times" w:hAnsi="Times" w:cs="Times"/>
          <w:i/>
          <w:color w:val="0077CC"/>
          <w:sz w:val="18"/>
          <w:u w:val="single"/>
        </w:rPr>
        <w:t>Singlepoint</w:t>
      </w:r>
      <w:proofErr w:type="spellEnd"/>
      <w:r>
        <w:rPr>
          <w:rFonts w:ascii="Times" w:eastAsia="Times" w:hAnsi="Times" w:cs="Times"/>
          <w:i/>
          <w:color w:val="0077CC"/>
          <w:sz w:val="18"/>
          <w:u w:val="single"/>
        </w:rPr>
        <w:t xml:space="preserve"> Fin., Inc.</w:t>
      </w:r>
      <w:r>
        <w:rPr>
          <w:rFonts w:ascii="Times" w:eastAsia="Times" w:hAnsi="Times" w:cs="Times"/>
          <w:color w:val="000000"/>
          <w:sz w:val="18"/>
        </w:rPr>
        <w:fldChar w:fldCharType="end"/>
      </w:r>
      <w:hyperlink r:id="rId3" w:history="1">
        <w:r>
          <w:rPr>
            <w:rFonts w:ascii="Times" w:eastAsia="Times" w:hAnsi="Times" w:cs="Times"/>
            <w:color w:val="0077CC"/>
            <w:sz w:val="18"/>
            <w:u w:val="single"/>
          </w:rPr>
          <w:t>, 2003 Del. Ch. LEXIS 21, 2003 WL 1240504, at *6 (Del. Ch. Mar. 5, 2003)</w:t>
        </w:r>
      </w:hyperlink>
      <w:r>
        <w:rPr>
          <w:rFonts w:ascii="Times" w:eastAsia="Times" w:hAnsi="Times" w:cs="Times"/>
          <w:color w:val="000000"/>
          <w:sz w:val="18"/>
        </w:rPr>
        <w:t xml:space="preserve"> (utilizing the comparable transactions approach);  [*13] </w:t>
      </w:r>
      <w:bookmarkStart w:id="39" w:name="Bookmark_I590TCN62HM6T50040000400"/>
      <w:bookmarkEnd w:id="39"/>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https://advance.lexis.com/api/document?collection=cases&amp;id=urn:contentItem:3XNS-65V0-0039-43FY-00000-00&amp;context=</w:instrText>
      </w:r>
      <w:r>
        <w:rPr>
          <w:rFonts w:ascii="Times" w:eastAsia="Times" w:hAnsi="Times" w:cs="Times"/>
          <w:color w:val="000000"/>
          <w:sz w:val="18"/>
        </w:rPr>
        <w:fldChar w:fldCharType="separate"/>
      </w:r>
      <w:proofErr w:type="spellStart"/>
      <w:r>
        <w:rPr>
          <w:rFonts w:ascii="Times" w:eastAsia="Times" w:hAnsi="Times" w:cs="Times"/>
          <w:i/>
          <w:color w:val="0077CC"/>
          <w:sz w:val="18"/>
          <w:u w:val="single"/>
        </w:rPr>
        <w:t>Borruso</w:t>
      </w:r>
      <w:proofErr w:type="spellEnd"/>
      <w:r>
        <w:rPr>
          <w:rFonts w:ascii="Times" w:eastAsia="Times" w:hAnsi="Times" w:cs="Times"/>
          <w:i/>
          <w:color w:val="0077CC"/>
          <w:sz w:val="18"/>
          <w:u w:val="single"/>
        </w:rPr>
        <w:t xml:space="preserve"> v. </w:t>
      </w:r>
      <w:proofErr w:type="spellStart"/>
      <w:r>
        <w:rPr>
          <w:rFonts w:ascii="Times" w:eastAsia="Times" w:hAnsi="Times" w:cs="Times"/>
          <w:i/>
          <w:color w:val="0077CC"/>
          <w:sz w:val="18"/>
          <w:u w:val="single"/>
        </w:rPr>
        <w:t>Commc'ns</w:t>
      </w:r>
      <w:proofErr w:type="spellEnd"/>
      <w:r>
        <w:rPr>
          <w:rFonts w:ascii="Times" w:eastAsia="Times" w:hAnsi="Times" w:cs="Times"/>
          <w:i/>
          <w:color w:val="0077CC"/>
          <w:sz w:val="18"/>
          <w:u w:val="single"/>
        </w:rPr>
        <w:t xml:space="preserve"> </w:t>
      </w:r>
      <w:proofErr w:type="spellStart"/>
      <w:r>
        <w:rPr>
          <w:rFonts w:ascii="Times" w:eastAsia="Times" w:hAnsi="Times" w:cs="Times"/>
          <w:i/>
          <w:color w:val="0077CC"/>
          <w:sz w:val="18"/>
          <w:u w:val="single"/>
        </w:rPr>
        <w:t>Telesystems</w:t>
      </w:r>
      <w:proofErr w:type="spellEnd"/>
      <w:r>
        <w:rPr>
          <w:rFonts w:ascii="Times" w:eastAsia="Times" w:hAnsi="Times" w:cs="Times"/>
          <w:i/>
          <w:color w:val="0077CC"/>
          <w:sz w:val="18"/>
          <w:u w:val="single"/>
        </w:rPr>
        <w:t xml:space="preserve"> Int'l</w:t>
      </w:r>
      <w:r>
        <w:rPr>
          <w:rFonts w:ascii="Times" w:eastAsia="Times" w:hAnsi="Times" w:cs="Times"/>
          <w:color w:val="000000"/>
          <w:sz w:val="18"/>
        </w:rPr>
        <w:fldChar w:fldCharType="end"/>
      </w:r>
      <w:hyperlink r:id="rId4" w:history="1">
        <w:r>
          <w:rPr>
            <w:rFonts w:ascii="Times" w:eastAsia="Times" w:hAnsi="Times" w:cs="Times"/>
            <w:color w:val="0077CC"/>
            <w:sz w:val="18"/>
            <w:u w:val="single"/>
          </w:rPr>
          <w:t>, 753 A.2d 451, 455 (Del. Ch. 1999)</w:t>
        </w:r>
      </w:hyperlink>
      <w:r>
        <w:rPr>
          <w:rFonts w:ascii="Times" w:eastAsia="Times" w:hAnsi="Times" w:cs="Times"/>
          <w:color w:val="000000"/>
          <w:sz w:val="18"/>
        </w:rPr>
        <w:t xml:space="preserve"> (utilizing the comparable company approach).</w:t>
      </w:r>
    </w:p>
  </w:footnote>
  <w:footnote w:id="4">
    <w:p w14:paraId="6D2D756C" w14:textId="77777777" w:rsidR="00E53B66" w:rsidRDefault="00E53B66">
      <w:pPr>
        <w:pStyle w:val="Normal1"/>
        <w:widowControl w:val="0"/>
        <w:spacing w:before="240" w:line="240" w:lineRule="atLeast"/>
        <w:jc w:val="both"/>
      </w:pPr>
      <w:r>
        <w:rPr>
          <w:rFonts w:ascii="Times" w:eastAsia="Times" w:hAnsi="Times" w:cs="Times"/>
          <w:color w:val="000000"/>
          <w:sz w:val="18"/>
          <w:vertAlign w:val="superscript"/>
        </w:rPr>
        <w:t>53 </w:t>
      </w:r>
      <w:bookmarkStart w:id="75" w:name="Bookmark_fnpara_53"/>
      <w:bookmarkEnd w:id="75"/>
      <w:r>
        <w:rPr>
          <w:rFonts w:ascii="Times" w:eastAsia="Times" w:hAnsi="Times" w:cs="Times"/>
          <w:i/>
          <w:color w:val="000000"/>
          <w:sz w:val="18"/>
        </w:rPr>
        <w:t xml:space="preserve">See, e.g., </w:t>
      </w:r>
      <w:bookmarkStart w:id="76" w:name="Bookmark_I590TCN628T4330020000400"/>
      <w:bookmarkEnd w:id="76"/>
      <w:r>
        <w:rPr>
          <w:rFonts w:ascii="Times" w:eastAsia="Times" w:hAnsi="Times" w:cs="Times"/>
          <w:i/>
          <w:color w:val="000000"/>
          <w:sz w:val="18"/>
        </w:rPr>
        <w:fldChar w:fldCharType="begin"/>
      </w:r>
      <w:r>
        <w:rPr>
          <w:rFonts w:ascii="Times" w:eastAsia="Times" w:hAnsi="Times" w:cs="Times"/>
          <w:i/>
          <w:color w:val="000000"/>
          <w:sz w:val="18"/>
        </w:rPr>
        <w:instrText xml:space="preserve"> HYPERLINK  https://advance.lexis.com/api/document?collection=cases&amp;id=urn:contentItem:4KTP-8WM0-TVSY-W23Y-00000-00&amp;context=</w:instrText>
      </w:r>
      <w:r>
        <w:rPr>
          <w:rFonts w:ascii="Times" w:eastAsia="Times" w:hAnsi="Times" w:cs="Times"/>
          <w:i/>
          <w:color w:val="000000"/>
          <w:sz w:val="18"/>
        </w:rPr>
        <w:fldChar w:fldCharType="separate"/>
      </w:r>
      <w:r>
        <w:rPr>
          <w:rFonts w:ascii="Times" w:eastAsia="Times" w:hAnsi="Times" w:cs="Times"/>
          <w:i/>
          <w:color w:val="0077CC"/>
          <w:sz w:val="18"/>
          <w:u w:val="single"/>
        </w:rPr>
        <w:t xml:space="preserve">In re PNB </w:t>
      </w:r>
      <w:proofErr w:type="spellStart"/>
      <w:r>
        <w:rPr>
          <w:rFonts w:ascii="Times" w:eastAsia="Times" w:hAnsi="Times" w:cs="Times"/>
          <w:i/>
          <w:color w:val="0077CC"/>
          <w:sz w:val="18"/>
          <w:u w:val="single"/>
        </w:rPr>
        <w:t>Hldg</w:t>
      </w:r>
      <w:proofErr w:type="spellEnd"/>
      <w:r>
        <w:rPr>
          <w:rFonts w:ascii="Times" w:eastAsia="Times" w:hAnsi="Times" w:cs="Times"/>
          <w:i/>
          <w:color w:val="0077CC"/>
          <w:sz w:val="18"/>
          <w:u w:val="single"/>
        </w:rPr>
        <w:t xml:space="preserve">. Co. </w:t>
      </w:r>
      <w:proofErr w:type="spellStart"/>
      <w:r>
        <w:rPr>
          <w:rFonts w:ascii="Times" w:eastAsia="Times" w:hAnsi="Times" w:cs="Times"/>
          <w:i/>
          <w:color w:val="0077CC"/>
          <w:sz w:val="18"/>
          <w:u w:val="single"/>
        </w:rPr>
        <w:t>S'holders</w:t>
      </w:r>
      <w:proofErr w:type="spellEnd"/>
      <w:r>
        <w:rPr>
          <w:rFonts w:ascii="Times" w:eastAsia="Times" w:hAnsi="Times" w:cs="Times"/>
          <w:i/>
          <w:color w:val="0077CC"/>
          <w:sz w:val="18"/>
          <w:u w:val="single"/>
        </w:rPr>
        <w:t xml:space="preserve"> </w:t>
      </w:r>
      <w:proofErr w:type="spellStart"/>
      <w:r>
        <w:rPr>
          <w:rFonts w:ascii="Times" w:eastAsia="Times" w:hAnsi="Times" w:cs="Times"/>
          <w:i/>
          <w:color w:val="0077CC"/>
          <w:sz w:val="18"/>
          <w:u w:val="single"/>
        </w:rPr>
        <w:t>Litig</w:t>
      </w:r>
      <w:proofErr w:type="spellEnd"/>
      <w:r>
        <w:rPr>
          <w:rFonts w:ascii="Times" w:eastAsia="Times" w:hAnsi="Times" w:cs="Times"/>
          <w:i/>
          <w:color w:val="0077CC"/>
          <w:sz w:val="18"/>
          <w:u w:val="single"/>
        </w:rPr>
        <w:t>.</w:t>
      </w:r>
      <w:r>
        <w:rPr>
          <w:rFonts w:ascii="Times" w:eastAsia="Times" w:hAnsi="Times" w:cs="Times"/>
          <w:i/>
          <w:color w:val="000000"/>
          <w:sz w:val="18"/>
        </w:rPr>
        <w:fldChar w:fldCharType="end"/>
      </w:r>
      <w:hyperlink r:id="rId5" w:history="1">
        <w:r>
          <w:rPr>
            <w:rFonts w:ascii="Times" w:eastAsia="Times" w:hAnsi="Times" w:cs="Times"/>
            <w:color w:val="0077CC"/>
            <w:sz w:val="18"/>
            <w:u w:val="single"/>
          </w:rPr>
          <w:t>, 2006 Del. Ch. LEXIS 158, 2006 WL 2403999, at *25 n.125 (Del. Ch. Aug. 18, 2006)</w:t>
        </w:r>
      </w:hyperlink>
      <w:r>
        <w:rPr>
          <w:rFonts w:ascii="Times" w:eastAsia="Times" w:hAnsi="Times" w:cs="Times"/>
          <w:color w:val="000000"/>
          <w:sz w:val="18"/>
        </w:rPr>
        <w:t xml:space="preserve">  [*22] (rejecting comparable companies analysis where the "comparable publicly-traded companies all were significantly larger than [the subject company], with one having total assets of $587 million as compared to [the subject company's] assets of $216 million"); </w:t>
      </w:r>
      <w:bookmarkStart w:id="77" w:name="Bookmark_I590TCN628T4330040000400"/>
      <w:bookmarkEnd w:id="77"/>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https://advance.lexis.com/api/document?collection=cases&amp;id=urn:contentItem:3S0J-46G0-0039-448P-00000-00&amp;context=</w:instrText>
      </w:r>
      <w:r>
        <w:rPr>
          <w:rFonts w:ascii="Times" w:eastAsia="Times" w:hAnsi="Times" w:cs="Times"/>
          <w:color w:val="000000"/>
          <w:sz w:val="18"/>
        </w:rPr>
        <w:fldChar w:fldCharType="separate"/>
      </w:r>
      <w:r>
        <w:rPr>
          <w:rFonts w:ascii="Times" w:eastAsia="Times" w:hAnsi="Times" w:cs="Times"/>
          <w:i/>
          <w:color w:val="0077CC"/>
          <w:sz w:val="18"/>
          <w:u w:val="single"/>
        </w:rPr>
        <w:t>Gilbert v. MPM Enters., Inc.</w:t>
      </w:r>
      <w:r>
        <w:rPr>
          <w:rFonts w:ascii="Times" w:eastAsia="Times" w:hAnsi="Times" w:cs="Times"/>
          <w:color w:val="000000"/>
          <w:sz w:val="18"/>
        </w:rPr>
        <w:fldChar w:fldCharType="end"/>
      </w:r>
      <w:hyperlink r:id="rId6" w:history="1">
        <w:r>
          <w:rPr>
            <w:rFonts w:ascii="Times" w:eastAsia="Times" w:hAnsi="Times" w:cs="Times"/>
            <w:color w:val="0077CC"/>
            <w:sz w:val="18"/>
            <w:u w:val="single"/>
          </w:rPr>
          <w:t>, 709 A.2d 663, 672 (Del. Ch. 1997)</w:t>
        </w:r>
      </w:hyperlink>
      <w:r>
        <w:rPr>
          <w:rFonts w:ascii="Times" w:eastAsia="Times" w:hAnsi="Times" w:cs="Times"/>
          <w:color w:val="000000"/>
          <w:sz w:val="18"/>
        </w:rPr>
        <w:t xml:space="preserve"> (stating that comparable companies whose "median asset value . . . was nearly three times that of [the appraised company]" had "unreasonably skewed the results of this analysis"), </w:t>
      </w:r>
      <w:r>
        <w:rPr>
          <w:rFonts w:ascii="Times" w:eastAsia="Times" w:hAnsi="Times" w:cs="Times"/>
          <w:i/>
          <w:color w:val="000000"/>
          <w:sz w:val="18"/>
        </w:rPr>
        <w:t>aff'd</w:t>
      </w:r>
      <w:r>
        <w:rPr>
          <w:rFonts w:ascii="Times" w:eastAsia="Times" w:hAnsi="Times" w:cs="Times"/>
          <w:color w:val="000000"/>
          <w:sz w:val="18"/>
        </w:rPr>
        <w:t xml:space="preserve">, </w:t>
      </w:r>
      <w:bookmarkStart w:id="78" w:name="Bookmark_I590TCN62HM6T70010000400"/>
      <w:bookmarkEnd w:id="78"/>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https://advance.lexis.com/api/document?collection=cases&amp;id=urn:contentItem:3WVH-BJ50-0039-40VX-00000-00&amp;context=</w:instrText>
      </w:r>
      <w:r>
        <w:rPr>
          <w:rFonts w:ascii="Times" w:eastAsia="Times" w:hAnsi="Times" w:cs="Times"/>
          <w:color w:val="000000"/>
          <w:sz w:val="18"/>
        </w:rPr>
        <w:fldChar w:fldCharType="separate"/>
      </w:r>
      <w:r>
        <w:rPr>
          <w:rFonts w:ascii="Times" w:eastAsia="Times" w:hAnsi="Times" w:cs="Times"/>
          <w:color w:val="0077CC"/>
          <w:sz w:val="18"/>
          <w:u w:val="single"/>
        </w:rPr>
        <w:t>731 A.2d 790 (Del. 1999)</w:t>
      </w:r>
      <w:r>
        <w:rPr>
          <w:rFonts w:ascii="Times" w:eastAsia="Times" w:hAnsi="Times" w:cs="Times"/>
          <w:color w:val="000000"/>
          <w:sz w:val="18"/>
        </w:rPr>
        <w:fldChar w:fldCharType="end"/>
      </w:r>
      <w:r>
        <w:rPr>
          <w:rFonts w:ascii="Times" w:eastAsia="Times" w:hAnsi="Times" w:cs="Times"/>
          <w:color w:val="000000"/>
          <w:sz w:val="18"/>
        </w:rPr>
        <w:t xml:space="preserve">; </w:t>
      </w:r>
      <w:bookmarkStart w:id="79" w:name="Bookmark_I590TCN62HM6T70030000400"/>
      <w:bookmarkEnd w:id="79"/>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https://advance.lexis.com/api/document?collection=cases&amp;id=urn:contentItem:3RRT-8WM0-003C-K3PF-00000-00&amp;context=</w:instrText>
      </w:r>
      <w:r>
        <w:rPr>
          <w:rFonts w:ascii="Times" w:eastAsia="Times" w:hAnsi="Times" w:cs="Times"/>
          <w:color w:val="000000"/>
          <w:sz w:val="18"/>
        </w:rPr>
        <w:fldChar w:fldCharType="separate"/>
      </w:r>
      <w:r>
        <w:rPr>
          <w:rFonts w:ascii="Times" w:eastAsia="Times" w:hAnsi="Times" w:cs="Times"/>
          <w:i/>
          <w:color w:val="0077CC"/>
          <w:sz w:val="18"/>
          <w:u w:val="single"/>
        </w:rPr>
        <w:t>Rosenblatt v. Getty Oil Co</w:t>
      </w:r>
      <w:r>
        <w:rPr>
          <w:rFonts w:ascii="Times" w:eastAsia="Times" w:hAnsi="Times" w:cs="Times"/>
          <w:color w:val="000000"/>
          <w:sz w:val="18"/>
        </w:rPr>
        <w:fldChar w:fldCharType="end"/>
      </w:r>
      <w:hyperlink r:id="rId7" w:history="1">
        <w:r>
          <w:rPr>
            <w:rFonts w:ascii="Times" w:eastAsia="Times" w:hAnsi="Times" w:cs="Times"/>
            <w:color w:val="0077CC"/>
            <w:sz w:val="18"/>
            <w:u w:val="single"/>
          </w:rPr>
          <w:t>, 1983 Del. Ch. LEXIS 570, 1983 WL 8936, at *26 (Del. Ch. Sept. 19, 1983)</w:t>
        </w:r>
      </w:hyperlink>
      <w:r>
        <w:rPr>
          <w:rFonts w:ascii="Times" w:eastAsia="Times" w:hAnsi="Times" w:cs="Times"/>
          <w:color w:val="000000"/>
          <w:sz w:val="18"/>
        </w:rPr>
        <w:t xml:space="preserve"> (rejecting analysis that used "smaller oil and gas producing companies as opposed to a major integrated company such as [the appraised company]"), </w:t>
      </w:r>
      <w:r>
        <w:rPr>
          <w:rFonts w:ascii="Times" w:eastAsia="Times" w:hAnsi="Times" w:cs="Times"/>
          <w:i/>
          <w:color w:val="000000"/>
          <w:sz w:val="18"/>
        </w:rPr>
        <w:t>aff'd</w:t>
      </w:r>
      <w:r>
        <w:rPr>
          <w:rFonts w:ascii="Times" w:eastAsia="Times" w:hAnsi="Times" w:cs="Times"/>
          <w:color w:val="000000"/>
          <w:sz w:val="18"/>
        </w:rPr>
        <w:t xml:space="preserve">, </w:t>
      </w:r>
      <w:bookmarkStart w:id="80" w:name="Bookmark_I590TCN62HM6T70050000400"/>
      <w:bookmarkEnd w:id="80"/>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https://advance.lexis.com/api/document?collection=cases&amp;id=urn:contentItem:3RRT-7KY0-003C-K17J-00000-00&amp;context=</w:instrText>
      </w:r>
      <w:r>
        <w:rPr>
          <w:rFonts w:ascii="Times" w:eastAsia="Times" w:hAnsi="Times" w:cs="Times"/>
          <w:color w:val="000000"/>
          <w:sz w:val="18"/>
        </w:rPr>
        <w:fldChar w:fldCharType="separate"/>
      </w:r>
      <w:r>
        <w:rPr>
          <w:rFonts w:ascii="Times" w:eastAsia="Times" w:hAnsi="Times" w:cs="Times"/>
          <w:color w:val="0077CC"/>
          <w:sz w:val="18"/>
          <w:u w:val="single"/>
        </w:rPr>
        <w:t>493 A.2d 929 (Del. 1985)</w:t>
      </w:r>
      <w:r>
        <w:rPr>
          <w:rFonts w:ascii="Times" w:eastAsia="Times" w:hAnsi="Times" w:cs="Times"/>
          <w:color w:val="000000"/>
          <w:sz w:val="18"/>
        </w:rPr>
        <w:fldChar w:fldCharType="end"/>
      </w:r>
      <w:r>
        <w:rPr>
          <w:rFonts w:ascii="Times" w:eastAsia="Times" w:hAnsi="Times" w:cs="Times"/>
          <w:color w:val="000000"/>
          <w:sz w:val="18"/>
        </w:rPr>
        <w:t>.</w:t>
      </w:r>
    </w:p>
  </w:footnote>
  <w:footnote w:id="5">
    <w:p w14:paraId="68426B24" w14:textId="2EFB6190" w:rsidR="00E53B66" w:rsidRDefault="00E53B66">
      <w:pPr>
        <w:pStyle w:val="Normal1"/>
        <w:widowControl w:val="0"/>
        <w:spacing w:before="240" w:line="240" w:lineRule="atLeast"/>
        <w:jc w:val="both"/>
      </w:pPr>
      <w:r>
        <w:rPr>
          <w:rFonts w:ascii="Times" w:eastAsia="Times" w:hAnsi="Times" w:cs="Times"/>
          <w:color w:val="000000"/>
          <w:sz w:val="18"/>
          <w:vertAlign w:val="superscript"/>
        </w:rPr>
        <w:t>70 </w:t>
      </w:r>
      <w:bookmarkStart w:id="90" w:name="Bookmark_fnpara_70"/>
      <w:bookmarkStart w:id="91" w:name="Bookmark_I590TCN628T4350040000400"/>
      <w:bookmarkEnd w:id="90"/>
      <w:bookmarkEnd w:id="91"/>
      <w:r>
        <w:rPr>
          <w:rFonts w:ascii="Times" w:eastAsia="Times" w:hAnsi="Times" w:cs="Times"/>
          <w:color w:val="000000"/>
          <w:sz w:val="18"/>
        </w:rPr>
        <w:t xml:space="preserve">Bailey did not challenge Respondent's 20% discount. Based on that implied acceptance, and this Court's previous observation that because "merger and acquisition data undoubtedly contains post-merger value, </w:t>
      </w:r>
      <w:proofErr w:type="gramStart"/>
      <w:r>
        <w:rPr>
          <w:rFonts w:ascii="Times" w:eastAsia="Times" w:hAnsi="Times" w:cs="Times"/>
          <w:color w:val="000000"/>
          <w:sz w:val="18"/>
        </w:rPr>
        <w:t>such  [</w:t>
      </w:r>
      <w:proofErr w:type="gramEnd"/>
      <w:r>
        <w:rPr>
          <w:rFonts w:ascii="Times" w:eastAsia="Times" w:hAnsi="Times" w:cs="Times"/>
          <w:color w:val="000000"/>
          <w:sz w:val="18"/>
        </w:rPr>
        <w:t xml:space="preserve">*26] as synergies with the </w:t>
      </w:r>
      <w:proofErr w:type="spellStart"/>
      <w:r>
        <w:rPr>
          <w:rFonts w:ascii="Times" w:eastAsia="Times" w:hAnsi="Times" w:cs="Times"/>
          <w:color w:val="000000"/>
          <w:sz w:val="18"/>
        </w:rPr>
        <w:t>acquiror</w:t>
      </w:r>
      <w:proofErr w:type="spellEnd"/>
      <w:r>
        <w:rPr>
          <w:rFonts w:ascii="Times" w:eastAsia="Times" w:hAnsi="Times" w:cs="Times"/>
          <w:color w:val="000000"/>
          <w:sz w:val="18"/>
        </w:rPr>
        <w:t xml:space="preserve">, that must be excluded from appraisal value," it appears that some discount would be appropriate. </w:t>
      </w:r>
    </w:p>
  </w:footnote>
  <w:footnote w:id="6">
    <w:p w14:paraId="04BE9614"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75 </w:t>
      </w:r>
      <w:bookmarkStart w:id="96" w:name="Bookmark_fnpara_75"/>
      <w:bookmarkEnd w:id="96"/>
      <w:r>
        <w:rPr>
          <w:rFonts w:ascii="Times" w:eastAsia="Times" w:hAnsi="Times" w:cs="Times"/>
          <w:color w:val="000000"/>
          <w:sz w:val="18"/>
        </w:rPr>
        <w:t xml:space="preserve">Shannon Pratt, </w:t>
      </w:r>
      <w:proofErr w:type="gramStart"/>
      <w:r>
        <w:rPr>
          <w:rFonts w:ascii="Times" w:eastAsia="Times" w:hAnsi="Times" w:cs="Times"/>
          <w:i/>
          <w:color w:val="000000"/>
          <w:sz w:val="18"/>
        </w:rPr>
        <w:t>Valuing</w:t>
      </w:r>
      <w:proofErr w:type="gramEnd"/>
      <w:r>
        <w:rPr>
          <w:rFonts w:ascii="Times" w:eastAsia="Times" w:hAnsi="Times" w:cs="Times"/>
          <w:i/>
          <w:color w:val="000000"/>
          <w:sz w:val="18"/>
        </w:rPr>
        <w:t xml:space="preserve"> a Business: The Analysis and Appraisal of Closely Held Companies</w:t>
      </w:r>
      <w:r>
        <w:rPr>
          <w:rFonts w:ascii="Times" w:eastAsia="Times" w:hAnsi="Times" w:cs="Times"/>
          <w:color w:val="000000"/>
          <w:sz w:val="18"/>
        </w:rPr>
        <w:t xml:space="preserve"> 321 (5th ed. 2008).</w:t>
      </w:r>
    </w:p>
  </w:footnote>
  <w:footnote w:id="7">
    <w:p w14:paraId="79124AD1" w14:textId="6889026A" w:rsidR="00E53B66" w:rsidRDefault="00E53B66">
      <w:pPr>
        <w:pStyle w:val="Normal1"/>
        <w:widowControl w:val="0"/>
        <w:spacing w:before="240" w:line="240" w:lineRule="atLeast"/>
        <w:jc w:val="both"/>
      </w:pPr>
      <w:r>
        <w:rPr>
          <w:rFonts w:ascii="Times" w:eastAsia="Times" w:hAnsi="Times" w:cs="Times"/>
          <w:color w:val="000000"/>
          <w:sz w:val="18"/>
          <w:vertAlign w:val="superscript"/>
        </w:rPr>
        <w:t>92 </w:t>
      </w:r>
      <w:bookmarkStart w:id="106" w:name="Bookmark_fnpara_92"/>
      <w:bookmarkEnd w:id="106"/>
      <w:r>
        <w:rPr>
          <w:rFonts w:ascii="Times" w:eastAsia="Times" w:hAnsi="Times" w:cs="Times"/>
          <w:i/>
          <w:color w:val="000000"/>
          <w:sz w:val="18"/>
        </w:rPr>
        <w:t xml:space="preserve">See </w:t>
      </w:r>
      <w:bookmarkStart w:id="107" w:name="Bookmark_I590TCN62HM6T90040000400"/>
      <w:bookmarkEnd w:id="107"/>
      <w:r>
        <w:rPr>
          <w:rFonts w:ascii="Times" w:eastAsia="Times" w:hAnsi="Times" w:cs="Times"/>
          <w:i/>
          <w:color w:val="000000"/>
          <w:sz w:val="18"/>
        </w:rPr>
        <w:fldChar w:fldCharType="begin"/>
      </w:r>
      <w:r>
        <w:rPr>
          <w:rFonts w:ascii="Times" w:eastAsia="Times" w:hAnsi="Times" w:cs="Times"/>
          <w:i/>
          <w:color w:val="000000"/>
          <w:sz w:val="18"/>
        </w:rPr>
        <w:instrText xml:space="preserve"> HYPERLINK  https://advance.lexis.com/api/document?collection=cases&amp;id=urn:contentItem:566K-RKF1-F04C-G05Y-00000-00&amp;context=</w:instrText>
      </w:r>
      <w:r>
        <w:rPr>
          <w:rFonts w:ascii="Times" w:eastAsia="Times" w:hAnsi="Times" w:cs="Times"/>
          <w:i/>
          <w:color w:val="000000"/>
          <w:sz w:val="18"/>
        </w:rPr>
        <w:fldChar w:fldCharType="separate"/>
      </w:r>
      <w:r>
        <w:rPr>
          <w:rFonts w:ascii="Times" w:eastAsia="Times" w:hAnsi="Times" w:cs="Times"/>
          <w:i/>
          <w:color w:val="0077CC"/>
          <w:sz w:val="18"/>
          <w:u w:val="single"/>
        </w:rPr>
        <w:t>In re Orchard Enters., Inc.</w:t>
      </w:r>
      <w:r>
        <w:rPr>
          <w:rFonts w:ascii="Times" w:eastAsia="Times" w:hAnsi="Times" w:cs="Times"/>
          <w:i/>
          <w:color w:val="000000"/>
          <w:sz w:val="18"/>
        </w:rPr>
        <w:fldChar w:fldCharType="end"/>
      </w:r>
      <w:hyperlink r:id="rId8" w:history="1">
        <w:r>
          <w:rPr>
            <w:rFonts w:ascii="Times" w:eastAsia="Times" w:hAnsi="Times" w:cs="Times"/>
            <w:color w:val="0077CC"/>
            <w:sz w:val="18"/>
            <w:u w:val="single"/>
          </w:rPr>
          <w:t>, 2012 Del. Ch. LEXIS 165, 2012 WL 2923305, at *12 (Del. Ch. July 18, 2012)</w:t>
        </w:r>
      </w:hyperlink>
      <w:r>
        <w:rPr>
          <w:rFonts w:ascii="Times" w:eastAsia="Times" w:hAnsi="Times" w:cs="Times"/>
          <w:color w:val="000000"/>
          <w:sz w:val="18"/>
        </w:rPr>
        <w:t xml:space="preserve"> (citing Richard </w:t>
      </w:r>
      <w:proofErr w:type="spellStart"/>
      <w:r>
        <w:rPr>
          <w:rFonts w:ascii="Times" w:eastAsia="Times" w:hAnsi="Times" w:cs="Times"/>
          <w:color w:val="000000"/>
          <w:sz w:val="18"/>
        </w:rPr>
        <w:t>Brealey</w:t>
      </w:r>
      <w:proofErr w:type="spellEnd"/>
      <w:r>
        <w:rPr>
          <w:rFonts w:ascii="Times" w:eastAsia="Times" w:hAnsi="Times" w:cs="Times"/>
          <w:color w:val="000000"/>
          <w:sz w:val="18"/>
        </w:rPr>
        <w:t xml:space="preserve">, Stewart Myers &amp; Franklin Allen, </w:t>
      </w:r>
      <w:r>
        <w:rPr>
          <w:rFonts w:ascii="Times" w:eastAsia="Times" w:hAnsi="Times" w:cs="Times"/>
          <w:i/>
          <w:color w:val="000000"/>
          <w:sz w:val="18"/>
        </w:rPr>
        <w:t>Principles of Corporate Finance</w:t>
      </w:r>
      <w:r>
        <w:rPr>
          <w:rFonts w:ascii="Times" w:eastAsia="Times" w:hAnsi="Times" w:cs="Times"/>
          <w:color w:val="000000"/>
          <w:sz w:val="18"/>
        </w:rPr>
        <w:t xml:space="preserve"> 102 (9th ed. 2008); Bradford Cornell, </w:t>
      </w:r>
      <w:r>
        <w:rPr>
          <w:rFonts w:ascii="Times" w:eastAsia="Times" w:hAnsi="Times" w:cs="Times"/>
          <w:i/>
          <w:color w:val="000000"/>
          <w:sz w:val="18"/>
        </w:rPr>
        <w:t>Corporate Valuation: Tools for Effective Appraisal and Decision Making</w:t>
      </w:r>
      <w:r>
        <w:rPr>
          <w:rFonts w:ascii="Times" w:eastAsia="Times" w:hAnsi="Times" w:cs="Times"/>
          <w:color w:val="000000"/>
          <w:sz w:val="18"/>
        </w:rPr>
        <w:t xml:space="preserve"> 102 (1993); R. Franklin </w:t>
      </w:r>
      <w:proofErr w:type="spellStart"/>
      <w:r>
        <w:rPr>
          <w:rFonts w:ascii="Times" w:eastAsia="Times" w:hAnsi="Times" w:cs="Times"/>
          <w:color w:val="000000"/>
          <w:sz w:val="18"/>
        </w:rPr>
        <w:t>Balotti</w:t>
      </w:r>
      <w:proofErr w:type="spellEnd"/>
      <w:r>
        <w:rPr>
          <w:rFonts w:ascii="Times" w:eastAsia="Times" w:hAnsi="Times" w:cs="Times"/>
          <w:color w:val="000000"/>
          <w:sz w:val="18"/>
        </w:rPr>
        <w:t xml:space="preserve"> &amp; Jesse Finkelstein, 1 </w:t>
      </w:r>
      <w:r>
        <w:rPr>
          <w:rFonts w:ascii="Times" w:eastAsia="Times" w:hAnsi="Times" w:cs="Times"/>
          <w:i/>
          <w:color w:val="000000"/>
          <w:sz w:val="18"/>
        </w:rPr>
        <w:t>The Delaware Law of Corporations &amp; Business Organizations</w:t>
      </w:r>
      <w:r>
        <w:rPr>
          <w:rFonts w:ascii="Times" w:eastAsia="Times" w:hAnsi="Times" w:cs="Times"/>
          <w:color w:val="000000"/>
          <w:sz w:val="18"/>
        </w:rPr>
        <w:t xml:space="preserve"> § 9.45[B][1], at 9-134 (3d ed. 2009)); </w:t>
      </w:r>
      <w:r w:rsidR="0045170D">
        <w:rPr>
          <w:rFonts w:ascii="Times" w:eastAsia="Times" w:hAnsi="Times" w:cs="Times"/>
          <w:i/>
          <w:color w:val="000000"/>
          <w:sz w:val="18"/>
        </w:rPr>
        <w:t xml:space="preserve"> </w:t>
      </w:r>
    </w:p>
  </w:footnote>
  <w:footnote w:id="8">
    <w:p w14:paraId="0BEA8BAF"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113 </w:t>
      </w:r>
      <w:bookmarkStart w:id="129" w:name="Bookmark_fnpara_113"/>
      <w:bookmarkEnd w:id="129"/>
      <w:r>
        <w:rPr>
          <w:rFonts w:ascii="Times" w:eastAsia="Times" w:hAnsi="Times" w:cs="Times"/>
          <w:i/>
          <w:color w:val="000000"/>
          <w:sz w:val="18"/>
        </w:rPr>
        <w:t>See</w:t>
      </w:r>
      <w:r>
        <w:rPr>
          <w:rFonts w:ascii="Times" w:eastAsia="Times" w:hAnsi="Times" w:cs="Times"/>
          <w:color w:val="000000"/>
          <w:sz w:val="18"/>
        </w:rPr>
        <w:t xml:space="preserve"> Conrad </w:t>
      </w:r>
      <w:proofErr w:type="spellStart"/>
      <w:r>
        <w:rPr>
          <w:rFonts w:ascii="Times" w:eastAsia="Times" w:hAnsi="Times" w:cs="Times"/>
          <w:color w:val="000000"/>
          <w:sz w:val="18"/>
        </w:rPr>
        <w:t>Ciccotello</w:t>
      </w:r>
      <w:proofErr w:type="spellEnd"/>
      <w:r>
        <w:rPr>
          <w:rFonts w:ascii="Times" w:eastAsia="Times" w:hAnsi="Times" w:cs="Times"/>
          <w:color w:val="000000"/>
          <w:sz w:val="18"/>
        </w:rPr>
        <w:t xml:space="preserve">, C. Terry Grant &amp; Gerry Grant, </w:t>
      </w:r>
      <w:r>
        <w:rPr>
          <w:rFonts w:ascii="Times" w:eastAsia="Times" w:hAnsi="Times" w:cs="Times"/>
          <w:i/>
          <w:color w:val="000000"/>
          <w:sz w:val="18"/>
        </w:rPr>
        <w:t>Impact of Employee Stock Options on Cash Flow</w:t>
      </w:r>
      <w:r>
        <w:rPr>
          <w:rFonts w:ascii="Times" w:eastAsia="Times" w:hAnsi="Times" w:cs="Times"/>
          <w:color w:val="000000"/>
          <w:sz w:val="18"/>
        </w:rPr>
        <w:t xml:space="preserve">, 60 Fin. Analysts J. 2, 39 (Mar.-Apr. 2004) ("Exercise of [non-qualified stock options] actually </w:t>
      </w:r>
      <w:r>
        <w:rPr>
          <w:rFonts w:ascii="Times" w:eastAsia="Times" w:hAnsi="Times" w:cs="Times"/>
          <w:i/>
          <w:color w:val="000000"/>
          <w:sz w:val="18"/>
        </w:rPr>
        <w:t>increases</w:t>
      </w:r>
      <w:r>
        <w:rPr>
          <w:rFonts w:ascii="Times" w:eastAsia="Times" w:hAnsi="Times" w:cs="Times"/>
          <w:color w:val="000000"/>
          <w:sz w:val="18"/>
        </w:rPr>
        <w:t xml:space="preserve"> operating cash flows.").</w:t>
      </w:r>
    </w:p>
  </w:footnote>
  <w:footnote w:id="9">
    <w:p w14:paraId="3FFD61C9" w14:textId="32628968" w:rsidR="00E53B66" w:rsidRDefault="00E53B66">
      <w:pPr>
        <w:pStyle w:val="Normal1"/>
        <w:widowControl w:val="0"/>
        <w:spacing w:before="240" w:line="240" w:lineRule="atLeast"/>
        <w:jc w:val="both"/>
      </w:pPr>
      <w:r>
        <w:rPr>
          <w:rFonts w:ascii="Times" w:eastAsia="Times" w:hAnsi="Times" w:cs="Times"/>
          <w:color w:val="000000"/>
          <w:sz w:val="18"/>
          <w:vertAlign w:val="superscript"/>
        </w:rPr>
        <w:t>114</w:t>
      </w:r>
      <w:bookmarkStart w:id="131" w:name="Bookmark_fnpara_114"/>
      <w:bookmarkEnd w:id="131"/>
      <w:proofErr w:type="gramStart"/>
      <w:r w:rsidR="00301781" w:rsidRPr="00301781">
        <w:rPr>
          <w:rFonts w:ascii="Times" w:eastAsia="Times" w:hAnsi="Times" w:cs="Times"/>
          <w:color w:val="000000"/>
          <w:sz w:val="18"/>
        </w:rPr>
        <w:t>….</w:t>
      </w:r>
      <w:r w:rsidR="00301781">
        <w:rPr>
          <w:rFonts w:ascii="Times" w:eastAsia="Times" w:hAnsi="Times" w:cs="Times"/>
          <w:color w:val="000000"/>
          <w:sz w:val="18"/>
        </w:rPr>
        <w:t>q</w:t>
      </w:r>
      <w:r>
        <w:rPr>
          <w:rFonts w:ascii="Times" w:eastAsia="Times" w:hAnsi="Times" w:cs="Times"/>
          <w:color w:val="000000"/>
          <w:sz w:val="18"/>
        </w:rPr>
        <w:t>uoting</w:t>
      </w:r>
      <w:proofErr w:type="gramEnd"/>
      <w:r>
        <w:rPr>
          <w:rFonts w:ascii="Times" w:eastAsia="Times" w:hAnsi="Times" w:cs="Times"/>
          <w:color w:val="000000"/>
          <w:sz w:val="18"/>
        </w:rPr>
        <w:t xml:space="preserve"> </w:t>
      </w:r>
      <w:proofErr w:type="spellStart"/>
      <w:r>
        <w:rPr>
          <w:rFonts w:ascii="Times" w:eastAsia="Times" w:hAnsi="Times" w:cs="Times"/>
          <w:color w:val="000000"/>
          <w:sz w:val="18"/>
        </w:rPr>
        <w:t>Aswath</w:t>
      </w:r>
      <w:proofErr w:type="spellEnd"/>
      <w:r>
        <w:rPr>
          <w:rFonts w:ascii="Times" w:eastAsia="Times" w:hAnsi="Times" w:cs="Times"/>
          <w:color w:val="000000"/>
          <w:sz w:val="18"/>
        </w:rPr>
        <w:t xml:space="preserve"> </w:t>
      </w:r>
      <w:proofErr w:type="spellStart"/>
      <w:r>
        <w:rPr>
          <w:rFonts w:ascii="Times" w:eastAsia="Times" w:hAnsi="Times" w:cs="Times"/>
          <w:color w:val="000000"/>
          <w:sz w:val="18"/>
        </w:rPr>
        <w:t>Damodaran</w:t>
      </w:r>
      <w:proofErr w:type="spellEnd"/>
      <w:r>
        <w:rPr>
          <w:rFonts w:ascii="Times" w:eastAsia="Times" w:hAnsi="Times" w:cs="Times"/>
          <w:color w:val="000000"/>
          <w:sz w:val="18"/>
        </w:rPr>
        <w:t xml:space="preserve">, </w:t>
      </w:r>
      <w:r>
        <w:rPr>
          <w:rFonts w:ascii="Times" w:eastAsia="Times" w:hAnsi="Times" w:cs="Times"/>
          <w:i/>
          <w:color w:val="000000"/>
          <w:sz w:val="18"/>
        </w:rPr>
        <w:t>From revenues to earnings: Operating, financing and capital expenses....</w:t>
      </w:r>
      <w:r>
        <w:rPr>
          <w:rFonts w:ascii="Times" w:eastAsia="Times" w:hAnsi="Times" w:cs="Times"/>
          <w:color w:val="000000"/>
          <w:sz w:val="18"/>
        </w:rPr>
        <w:t xml:space="preserve">, </w:t>
      </w:r>
      <w:hyperlink r:id="rId9" w:history="1">
        <w:r>
          <w:rPr>
            <w:rFonts w:ascii="Times" w:eastAsia="Times" w:hAnsi="Times" w:cs="Times"/>
            <w:color w:val="0077CC"/>
            <w:sz w:val="18"/>
            <w:u w:val="single"/>
          </w:rPr>
          <w:t>http://aswathdamodaran.blogspot.com/2011/06/from-revenues-to-earnings-operating.html</w:t>
        </w:r>
      </w:hyperlink>
      <w:r>
        <w:rPr>
          <w:rFonts w:ascii="Times" w:eastAsia="Times" w:hAnsi="Times" w:cs="Times"/>
          <w:color w:val="000000"/>
          <w:sz w:val="18"/>
        </w:rPr>
        <w:t>).</w:t>
      </w:r>
    </w:p>
  </w:footnote>
  <w:footnote w:id="10">
    <w:p w14:paraId="796A9412" w14:textId="7CA2BDC7" w:rsidR="00E53B66" w:rsidRDefault="00E53B66">
      <w:pPr>
        <w:pStyle w:val="Normal1"/>
        <w:widowControl w:val="0"/>
        <w:spacing w:before="200" w:line="240" w:lineRule="atLeast"/>
        <w:jc w:val="both"/>
      </w:pPr>
      <w:r>
        <w:rPr>
          <w:rFonts w:ascii="Times" w:eastAsia="Times" w:hAnsi="Times" w:cs="Times"/>
          <w:color w:val="000000"/>
          <w:sz w:val="18"/>
          <w:vertAlign w:val="superscript"/>
        </w:rPr>
        <w:t>117 </w:t>
      </w:r>
      <w:bookmarkStart w:id="135" w:name="Bookmark_fnpara_117"/>
      <w:bookmarkStart w:id="136" w:name="Bookmark_I590TCN62D6N680050000400"/>
      <w:bookmarkEnd w:id="135"/>
      <w:bookmarkEnd w:id="136"/>
      <w:r w:rsidR="00301781">
        <w:rPr>
          <w:rFonts w:ascii="Times" w:eastAsia="Times" w:hAnsi="Times" w:cs="Times"/>
          <w:color w:val="000000"/>
          <w:sz w:val="18"/>
        </w:rPr>
        <w:t xml:space="preserve">…citing </w:t>
      </w:r>
      <w:proofErr w:type="gramStart"/>
      <w:r w:rsidR="00301781">
        <w:rPr>
          <w:rFonts w:ascii="Times" w:eastAsia="Times" w:hAnsi="Times" w:cs="Times"/>
          <w:color w:val="000000"/>
          <w:sz w:val="18"/>
        </w:rPr>
        <w:t>Shannon  </w:t>
      </w:r>
      <w:r>
        <w:rPr>
          <w:rFonts w:ascii="Times" w:eastAsia="Times" w:hAnsi="Times" w:cs="Times"/>
          <w:color w:val="000000"/>
          <w:sz w:val="18"/>
        </w:rPr>
        <w:t>Pratt</w:t>
      </w:r>
      <w:proofErr w:type="gramEnd"/>
      <w:r>
        <w:rPr>
          <w:rFonts w:ascii="Times" w:eastAsia="Times" w:hAnsi="Times" w:cs="Times"/>
          <w:color w:val="000000"/>
          <w:sz w:val="18"/>
        </w:rPr>
        <w:t xml:space="preserve">, </w:t>
      </w:r>
      <w:r>
        <w:rPr>
          <w:rFonts w:ascii="Times" w:eastAsia="Times" w:hAnsi="Times" w:cs="Times"/>
          <w:i/>
          <w:color w:val="000000"/>
          <w:sz w:val="18"/>
        </w:rPr>
        <w:t>The Lawyer's Business Valuation Handbook</w:t>
      </w:r>
      <w:r>
        <w:rPr>
          <w:rFonts w:ascii="Times" w:eastAsia="Times" w:hAnsi="Times" w:cs="Times"/>
          <w:color w:val="000000"/>
          <w:sz w:val="18"/>
        </w:rPr>
        <w:t xml:space="preserve"> 422 (2000)</w:t>
      </w:r>
      <w:bookmarkStart w:id="137" w:name="Bookmark_I590TCN62HM6TD0020000400"/>
      <w:bookmarkEnd w:id="137"/>
    </w:p>
  </w:footnote>
  <w:footnote w:id="11">
    <w:p w14:paraId="356EBB02"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119 </w:t>
      </w:r>
      <w:bookmarkStart w:id="141" w:name="Bookmark_fnpara_119"/>
      <w:bookmarkEnd w:id="141"/>
      <w:r>
        <w:rPr>
          <w:rFonts w:ascii="Times" w:eastAsia="Times" w:hAnsi="Times" w:cs="Times"/>
          <w:color w:val="000000"/>
          <w:sz w:val="18"/>
        </w:rPr>
        <w:t xml:space="preserve">Tim </w:t>
      </w:r>
      <w:proofErr w:type="spellStart"/>
      <w:r>
        <w:rPr>
          <w:rFonts w:ascii="Times" w:eastAsia="Times" w:hAnsi="Times" w:cs="Times"/>
          <w:color w:val="000000"/>
          <w:sz w:val="18"/>
        </w:rPr>
        <w:t>Koller</w:t>
      </w:r>
      <w:proofErr w:type="spellEnd"/>
      <w:r>
        <w:rPr>
          <w:rFonts w:ascii="Times" w:eastAsia="Times" w:hAnsi="Times" w:cs="Times"/>
          <w:color w:val="000000"/>
          <w:sz w:val="18"/>
        </w:rPr>
        <w:t xml:space="preserve">, Marc </w:t>
      </w:r>
      <w:proofErr w:type="spellStart"/>
      <w:r>
        <w:rPr>
          <w:rFonts w:ascii="Times" w:eastAsia="Times" w:hAnsi="Times" w:cs="Times"/>
          <w:color w:val="000000"/>
          <w:sz w:val="18"/>
        </w:rPr>
        <w:t>Goedhart</w:t>
      </w:r>
      <w:proofErr w:type="spellEnd"/>
      <w:r>
        <w:rPr>
          <w:rFonts w:ascii="Times" w:eastAsia="Times" w:hAnsi="Times" w:cs="Times"/>
          <w:color w:val="000000"/>
          <w:sz w:val="18"/>
        </w:rPr>
        <w:t xml:space="preserve"> &amp; David </w:t>
      </w:r>
      <w:proofErr w:type="spellStart"/>
      <w:r>
        <w:rPr>
          <w:rFonts w:ascii="Times" w:eastAsia="Times" w:hAnsi="Times" w:cs="Times"/>
          <w:color w:val="000000"/>
          <w:sz w:val="18"/>
        </w:rPr>
        <w:t>Wessels</w:t>
      </w:r>
      <w:proofErr w:type="spellEnd"/>
      <w:r>
        <w:rPr>
          <w:rFonts w:ascii="Times" w:eastAsia="Times" w:hAnsi="Times" w:cs="Times"/>
          <w:color w:val="000000"/>
          <w:sz w:val="18"/>
        </w:rPr>
        <w:t xml:space="preserve">, </w:t>
      </w:r>
      <w:r>
        <w:rPr>
          <w:rFonts w:ascii="Times" w:eastAsia="Times" w:hAnsi="Times" w:cs="Times"/>
          <w:i/>
          <w:color w:val="000000"/>
          <w:sz w:val="18"/>
        </w:rPr>
        <w:t>Valuation: Measuring and Managing the Value of Companies</w:t>
      </w:r>
      <w:r>
        <w:rPr>
          <w:rFonts w:ascii="Times" w:eastAsia="Times" w:hAnsi="Times" w:cs="Times"/>
          <w:color w:val="000000"/>
          <w:sz w:val="18"/>
        </w:rPr>
        <w:t xml:space="preserve"> 137-40 (5th ed. 2010) (emphasis omitted) [hereinafter </w:t>
      </w:r>
      <w:proofErr w:type="spellStart"/>
      <w:r>
        <w:rPr>
          <w:rFonts w:ascii="Times" w:eastAsia="Times" w:hAnsi="Times" w:cs="Times"/>
          <w:color w:val="000000"/>
          <w:sz w:val="18"/>
        </w:rPr>
        <w:t>Koller</w:t>
      </w:r>
      <w:proofErr w:type="spellEnd"/>
      <w:r>
        <w:rPr>
          <w:rFonts w:ascii="Times" w:eastAsia="Times" w:hAnsi="Times" w:cs="Times"/>
          <w:color w:val="000000"/>
          <w:sz w:val="18"/>
        </w:rPr>
        <w:t xml:space="preserve"> et al., </w:t>
      </w:r>
      <w:r>
        <w:rPr>
          <w:rFonts w:ascii="Times" w:eastAsia="Times" w:hAnsi="Times" w:cs="Times"/>
          <w:i/>
          <w:color w:val="000000"/>
          <w:sz w:val="18"/>
        </w:rPr>
        <w:t>Valuation</w:t>
      </w:r>
      <w:r>
        <w:rPr>
          <w:rFonts w:ascii="Times" w:eastAsia="Times" w:hAnsi="Times" w:cs="Times"/>
          <w:color w:val="000000"/>
          <w:sz w:val="18"/>
        </w:rPr>
        <w:t>].</w:t>
      </w:r>
    </w:p>
  </w:footnote>
  <w:footnote w:id="12">
    <w:p w14:paraId="28F3E588" w14:textId="5E985D90" w:rsidR="00E53B66" w:rsidRDefault="00E53B66" w:rsidP="00084623">
      <w:pPr>
        <w:pStyle w:val="Normal1"/>
        <w:widowControl w:val="0"/>
        <w:spacing w:before="200" w:line="240" w:lineRule="atLeast"/>
      </w:pPr>
      <w:r>
        <w:rPr>
          <w:rFonts w:ascii="Times" w:eastAsia="Times" w:hAnsi="Times" w:cs="Times"/>
          <w:color w:val="000000"/>
          <w:sz w:val="18"/>
          <w:vertAlign w:val="superscript"/>
        </w:rPr>
        <w:t>129 </w:t>
      </w:r>
      <w:bookmarkStart w:id="167" w:name="Bookmark_fnpara_129"/>
      <w:bookmarkEnd w:id="167"/>
      <w:r>
        <w:rPr>
          <w:rFonts w:ascii="Times" w:eastAsia="Times" w:hAnsi="Times" w:cs="Times"/>
          <w:i/>
          <w:color w:val="000000"/>
          <w:sz w:val="18"/>
        </w:rPr>
        <w:t>See</w:t>
      </w:r>
      <w:r>
        <w:rPr>
          <w:rFonts w:ascii="Times" w:eastAsia="Times" w:hAnsi="Times" w:cs="Times"/>
          <w:color w:val="000000"/>
          <w:sz w:val="18"/>
        </w:rPr>
        <w:t xml:space="preserve"> </w:t>
      </w:r>
      <w:proofErr w:type="spellStart"/>
      <w:r>
        <w:rPr>
          <w:rFonts w:ascii="Times" w:eastAsia="Times" w:hAnsi="Times" w:cs="Times"/>
          <w:color w:val="000000"/>
          <w:sz w:val="18"/>
        </w:rPr>
        <w:t>Aswath</w:t>
      </w:r>
      <w:proofErr w:type="spellEnd"/>
      <w:r>
        <w:rPr>
          <w:rFonts w:ascii="Times" w:eastAsia="Times" w:hAnsi="Times" w:cs="Times"/>
          <w:color w:val="000000"/>
          <w:sz w:val="18"/>
        </w:rPr>
        <w:t xml:space="preserve"> </w:t>
      </w:r>
      <w:proofErr w:type="spellStart"/>
      <w:r>
        <w:rPr>
          <w:rFonts w:ascii="Times" w:eastAsia="Times" w:hAnsi="Times" w:cs="Times"/>
          <w:color w:val="000000"/>
          <w:sz w:val="18"/>
        </w:rPr>
        <w:t>Damodaran</w:t>
      </w:r>
      <w:proofErr w:type="spellEnd"/>
      <w:r>
        <w:rPr>
          <w:rFonts w:ascii="Times" w:eastAsia="Times" w:hAnsi="Times" w:cs="Times"/>
          <w:color w:val="000000"/>
          <w:sz w:val="18"/>
        </w:rPr>
        <w:t xml:space="preserve">, </w:t>
      </w:r>
      <w:r>
        <w:rPr>
          <w:rFonts w:ascii="Times" w:eastAsia="Times" w:hAnsi="Times" w:cs="Times"/>
          <w:i/>
          <w:color w:val="000000"/>
          <w:sz w:val="18"/>
        </w:rPr>
        <w:t>The Dark Side of Valuation</w:t>
      </w:r>
      <w:r>
        <w:rPr>
          <w:rFonts w:ascii="Times" w:eastAsia="Times" w:hAnsi="Times" w:cs="Times"/>
          <w:color w:val="000000"/>
          <w:sz w:val="18"/>
        </w:rPr>
        <w:t xml:space="preserve"> 149 (2d ed. 2010); </w:t>
      </w:r>
      <w:proofErr w:type="spellStart"/>
      <w:r>
        <w:rPr>
          <w:rFonts w:ascii="Times" w:eastAsia="Times" w:hAnsi="Times" w:cs="Times"/>
          <w:color w:val="000000"/>
          <w:sz w:val="18"/>
        </w:rPr>
        <w:t>Aswath</w:t>
      </w:r>
      <w:proofErr w:type="spellEnd"/>
      <w:r>
        <w:rPr>
          <w:rFonts w:ascii="Times" w:eastAsia="Times" w:hAnsi="Times" w:cs="Times"/>
          <w:color w:val="000000"/>
          <w:sz w:val="18"/>
        </w:rPr>
        <w:t xml:space="preserve"> </w:t>
      </w:r>
      <w:proofErr w:type="spellStart"/>
      <w:r>
        <w:rPr>
          <w:rFonts w:ascii="Times" w:eastAsia="Times" w:hAnsi="Times" w:cs="Times"/>
          <w:color w:val="000000"/>
          <w:sz w:val="18"/>
        </w:rPr>
        <w:t>Damodaran</w:t>
      </w:r>
      <w:proofErr w:type="spellEnd"/>
      <w:r>
        <w:rPr>
          <w:rFonts w:ascii="Times" w:eastAsia="Times" w:hAnsi="Times" w:cs="Times"/>
          <w:color w:val="000000"/>
          <w:sz w:val="18"/>
        </w:rPr>
        <w:t xml:space="preserve">, </w:t>
      </w:r>
      <w:r>
        <w:rPr>
          <w:rFonts w:ascii="Times" w:eastAsia="Times" w:hAnsi="Times" w:cs="Times"/>
          <w:i/>
          <w:color w:val="000000"/>
          <w:sz w:val="18"/>
        </w:rPr>
        <w:t xml:space="preserve">What Is the </w:t>
      </w:r>
      <w:proofErr w:type="spellStart"/>
      <w:r>
        <w:rPr>
          <w:rFonts w:ascii="Times" w:eastAsia="Times" w:hAnsi="Times" w:cs="Times"/>
          <w:i/>
          <w:color w:val="000000"/>
          <w:sz w:val="18"/>
        </w:rPr>
        <w:t>Riskfree</w:t>
      </w:r>
      <w:proofErr w:type="spellEnd"/>
      <w:r>
        <w:rPr>
          <w:rFonts w:ascii="Times" w:eastAsia="Times" w:hAnsi="Times" w:cs="Times"/>
          <w:i/>
          <w:color w:val="000000"/>
          <w:sz w:val="18"/>
        </w:rPr>
        <w:t xml:space="preserve"> Rate? A Search for the Basic Building Blocks</w:t>
      </w:r>
      <w:r>
        <w:rPr>
          <w:rFonts w:ascii="Times" w:eastAsia="Times" w:hAnsi="Times" w:cs="Times"/>
          <w:color w:val="000000"/>
          <w:sz w:val="18"/>
        </w:rPr>
        <w:t>, at 10 (Dec. 2008) (unpublished manuscript) ("[</w:t>
      </w:r>
      <w:proofErr w:type="spellStart"/>
      <w:r>
        <w:rPr>
          <w:rFonts w:ascii="Times" w:eastAsia="Times" w:hAnsi="Times" w:cs="Times"/>
          <w:color w:val="000000"/>
          <w:sz w:val="18"/>
        </w:rPr>
        <w:t>T]his</w:t>
      </w:r>
      <w:proofErr w:type="spellEnd"/>
      <w:r>
        <w:rPr>
          <w:rFonts w:ascii="Times" w:eastAsia="Times" w:hAnsi="Times" w:cs="Times"/>
          <w:color w:val="000000"/>
          <w:sz w:val="18"/>
        </w:rPr>
        <w:t xml:space="preserve"> would lead to use [of] the 10-year treasury bond rate as the </w:t>
      </w:r>
      <w:proofErr w:type="spellStart"/>
      <w:r>
        <w:rPr>
          <w:rFonts w:ascii="Times" w:eastAsia="Times" w:hAnsi="Times" w:cs="Times"/>
          <w:color w:val="000000"/>
          <w:sz w:val="18"/>
        </w:rPr>
        <w:t>riskfree</w:t>
      </w:r>
      <w:proofErr w:type="spellEnd"/>
      <w:r>
        <w:rPr>
          <w:rFonts w:ascii="Times" w:eastAsia="Times" w:hAnsi="Times" w:cs="Times"/>
          <w:color w:val="000000"/>
          <w:sz w:val="18"/>
        </w:rPr>
        <w:t xml:space="preserve"> rate on all cash flows for most mature firms."). </w:t>
      </w:r>
      <w:r>
        <w:rPr>
          <w:rFonts w:ascii="Times" w:eastAsia="Times" w:hAnsi="Times" w:cs="Times"/>
          <w:i/>
          <w:color w:val="000000"/>
          <w:sz w:val="18"/>
        </w:rPr>
        <w:t>But cf. id.</w:t>
      </w:r>
      <w:r>
        <w:rPr>
          <w:rFonts w:ascii="Times" w:eastAsia="Times" w:hAnsi="Times" w:cs="Times"/>
          <w:color w:val="000000"/>
          <w:sz w:val="18"/>
        </w:rPr>
        <w:t xml:space="preserve"> at 9-10 ("The duration of equity will rise for higher growth firms and could be as high as 20-25 years for young firms with negative cash flows in the initial years. In valuing these firms, an argument can be made that we should be using a 30-year treasury bond rate as the </w:t>
      </w:r>
      <w:proofErr w:type="spellStart"/>
      <w:r>
        <w:rPr>
          <w:rFonts w:ascii="Times" w:eastAsia="Times" w:hAnsi="Times" w:cs="Times"/>
          <w:color w:val="000000"/>
          <w:sz w:val="18"/>
        </w:rPr>
        <w:t>riskfree</w:t>
      </w:r>
      <w:proofErr w:type="spellEnd"/>
      <w:r>
        <w:rPr>
          <w:rFonts w:ascii="Times" w:eastAsia="Times" w:hAnsi="Times" w:cs="Times"/>
          <w:color w:val="000000"/>
          <w:sz w:val="18"/>
        </w:rPr>
        <w:t xml:space="preserve"> rate.").</w:t>
      </w:r>
    </w:p>
  </w:footnote>
  <w:footnote w:id="13">
    <w:p w14:paraId="2FB952B2" w14:textId="5CCA7932" w:rsidR="00E53B66" w:rsidRDefault="00E53B66">
      <w:pPr>
        <w:pStyle w:val="Normal1"/>
        <w:widowControl w:val="0"/>
        <w:spacing w:before="200" w:line="240" w:lineRule="atLeast"/>
        <w:jc w:val="both"/>
      </w:pPr>
      <w:r>
        <w:rPr>
          <w:rFonts w:ascii="Times" w:eastAsia="Times" w:hAnsi="Times" w:cs="Times"/>
          <w:color w:val="000000"/>
          <w:sz w:val="18"/>
          <w:vertAlign w:val="superscript"/>
        </w:rPr>
        <w:t>130 </w:t>
      </w:r>
      <w:bookmarkStart w:id="168" w:name="Bookmark_fnpara_130"/>
      <w:bookmarkEnd w:id="168"/>
      <w:proofErr w:type="spellStart"/>
      <w:r>
        <w:rPr>
          <w:rFonts w:ascii="Times" w:eastAsia="Times" w:hAnsi="Times" w:cs="Times"/>
          <w:color w:val="000000"/>
          <w:sz w:val="18"/>
        </w:rPr>
        <w:t>Koller</w:t>
      </w:r>
      <w:proofErr w:type="spellEnd"/>
      <w:r>
        <w:rPr>
          <w:rFonts w:ascii="Times" w:eastAsia="Times" w:hAnsi="Times" w:cs="Times"/>
          <w:color w:val="000000"/>
          <w:sz w:val="18"/>
        </w:rPr>
        <w:t xml:space="preserve"> et al., </w:t>
      </w:r>
      <w:r>
        <w:rPr>
          <w:rFonts w:ascii="Times" w:eastAsia="Times" w:hAnsi="Times" w:cs="Times"/>
          <w:i/>
          <w:color w:val="000000"/>
          <w:sz w:val="18"/>
        </w:rPr>
        <w:t>Valuation, supra</w:t>
      </w:r>
      <w:r>
        <w:rPr>
          <w:rFonts w:ascii="Times" w:eastAsia="Times" w:hAnsi="Times" w:cs="Times"/>
          <w:color w:val="000000"/>
          <w:sz w:val="18"/>
        </w:rPr>
        <w:t xml:space="preserve"> note 119, at 236-38 ("For U.</w:t>
      </w:r>
      <w:r w:rsidR="00084623">
        <w:rPr>
          <w:rFonts w:ascii="Times" w:eastAsia="Times" w:hAnsi="Times" w:cs="Times"/>
          <w:color w:val="000000"/>
          <w:sz w:val="18"/>
        </w:rPr>
        <w:t xml:space="preserve">S.-based </w:t>
      </w:r>
      <w:proofErr w:type="gramStart"/>
      <w:r w:rsidR="00084623">
        <w:rPr>
          <w:rFonts w:ascii="Times" w:eastAsia="Times" w:hAnsi="Times" w:cs="Times"/>
          <w:color w:val="000000"/>
          <w:sz w:val="18"/>
        </w:rPr>
        <w:t>corporate  v</w:t>
      </w:r>
      <w:r>
        <w:rPr>
          <w:rFonts w:ascii="Times" w:eastAsia="Times" w:hAnsi="Times" w:cs="Times"/>
          <w:color w:val="000000"/>
          <w:sz w:val="18"/>
        </w:rPr>
        <w:t>aluation</w:t>
      </w:r>
      <w:proofErr w:type="gramEnd"/>
      <w:r>
        <w:rPr>
          <w:rFonts w:ascii="Times" w:eastAsia="Times" w:hAnsi="Times" w:cs="Times"/>
          <w:color w:val="000000"/>
          <w:sz w:val="18"/>
        </w:rPr>
        <w:t xml:space="preserve">, the most common proxy is 10-year government STRIPS."). </w:t>
      </w:r>
      <w:r>
        <w:rPr>
          <w:rFonts w:ascii="Times" w:eastAsia="Times" w:hAnsi="Times" w:cs="Times"/>
          <w:i/>
          <w:color w:val="000000"/>
          <w:sz w:val="18"/>
        </w:rPr>
        <w:t>But see</w:t>
      </w:r>
      <w:r>
        <w:rPr>
          <w:rFonts w:ascii="Times" w:eastAsia="Times" w:hAnsi="Times" w:cs="Times"/>
          <w:color w:val="000000"/>
          <w:sz w:val="18"/>
        </w:rPr>
        <w:t xml:space="preserve"> Shannon Pratt &amp; Alina </w:t>
      </w:r>
      <w:proofErr w:type="spellStart"/>
      <w:r>
        <w:rPr>
          <w:rFonts w:ascii="Times" w:eastAsia="Times" w:hAnsi="Times" w:cs="Times"/>
          <w:color w:val="000000"/>
          <w:sz w:val="18"/>
        </w:rPr>
        <w:t>Niculita</w:t>
      </w:r>
      <w:proofErr w:type="spellEnd"/>
      <w:r>
        <w:rPr>
          <w:rFonts w:ascii="Times" w:eastAsia="Times" w:hAnsi="Times" w:cs="Times"/>
          <w:color w:val="000000"/>
          <w:sz w:val="18"/>
        </w:rPr>
        <w:t xml:space="preserve">, </w:t>
      </w:r>
      <w:r>
        <w:rPr>
          <w:rFonts w:ascii="Times" w:eastAsia="Times" w:hAnsi="Times" w:cs="Times"/>
          <w:i/>
          <w:color w:val="000000"/>
          <w:sz w:val="18"/>
        </w:rPr>
        <w:t>The Lawyer's Business Valuation Handbook</w:t>
      </w:r>
      <w:r>
        <w:rPr>
          <w:rFonts w:ascii="Times" w:eastAsia="Times" w:hAnsi="Times" w:cs="Times"/>
          <w:color w:val="000000"/>
          <w:sz w:val="18"/>
        </w:rPr>
        <w:t xml:space="preserve"> 24- 25 (2d ed. 2010) ("As noted earlier, the risk-free rate usually is a yield-to-maturity rate available on U.S. Treasury securities as of the effective valuation date. Analysts usually use one of three maturities: 30-day, five-year, or 20-year. These maturities are used because they are the maturities for which [Ibbotson] has developed matching general equity risk premium series </w:t>
      </w:r>
      <w:proofErr w:type="gramStart"/>
      <w:r>
        <w:rPr>
          <w:rFonts w:ascii="Times" w:eastAsia="Times" w:hAnsi="Times" w:cs="Times"/>
          <w:color w:val="000000"/>
          <w:sz w:val="18"/>
        </w:rPr>
        <w:t>. . . .</w:t>
      </w:r>
      <w:proofErr w:type="gramEnd"/>
      <w:r>
        <w:rPr>
          <w:rFonts w:ascii="Times" w:eastAsia="Times" w:hAnsi="Times" w:cs="Times"/>
          <w:color w:val="000000"/>
          <w:sz w:val="18"/>
        </w:rPr>
        <w:t xml:space="preserve"> Analysts generally prefer the 20-year maturity. They recognize that it has an element of risk called </w:t>
      </w:r>
      <w:r>
        <w:rPr>
          <w:rFonts w:ascii="Times" w:eastAsia="Times" w:hAnsi="Times" w:cs="Times"/>
          <w:i/>
          <w:color w:val="000000"/>
          <w:sz w:val="18"/>
        </w:rPr>
        <w:t>horizon risk</w:t>
      </w:r>
      <w:r>
        <w:rPr>
          <w:rFonts w:ascii="Times" w:eastAsia="Times" w:hAnsi="Times" w:cs="Times"/>
          <w:color w:val="000000"/>
          <w:sz w:val="18"/>
        </w:rPr>
        <w:t xml:space="preserve">, or </w:t>
      </w:r>
      <w:r>
        <w:rPr>
          <w:rFonts w:ascii="Times" w:eastAsia="Times" w:hAnsi="Times" w:cs="Times"/>
          <w:i/>
          <w:color w:val="000000"/>
          <w:sz w:val="18"/>
        </w:rPr>
        <w:t>interest rate risk</w:t>
      </w:r>
      <w:r>
        <w:rPr>
          <w:rFonts w:ascii="Times" w:eastAsia="Times" w:hAnsi="Times" w:cs="Times"/>
          <w:color w:val="000000"/>
          <w:sz w:val="18"/>
        </w:rPr>
        <w:t>, meaning that the value of the principal will fluctuate with changing levels of interest rates, but investors generally accept this risk. The longer rates are preferable partly because they are more stable over time and less subject to short-term influences. Also, the longer maturity more closely matches the assumed long life of most businesses.").</w:t>
      </w:r>
    </w:p>
  </w:footnote>
  <w:footnote w:id="14">
    <w:p w14:paraId="73A64AA8"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131 </w:t>
      </w:r>
      <w:bookmarkStart w:id="169" w:name="Bookmark_fnpara_131"/>
      <w:bookmarkEnd w:id="169"/>
      <w:r>
        <w:rPr>
          <w:rFonts w:ascii="Times" w:eastAsia="Times" w:hAnsi="Times" w:cs="Times"/>
          <w:color w:val="000000"/>
          <w:sz w:val="18"/>
        </w:rPr>
        <w:t xml:space="preserve">Eugene Brigham &amp; Michael </w:t>
      </w:r>
      <w:proofErr w:type="spellStart"/>
      <w:r>
        <w:rPr>
          <w:rFonts w:ascii="Times" w:eastAsia="Times" w:hAnsi="Times" w:cs="Times"/>
          <w:color w:val="000000"/>
          <w:sz w:val="18"/>
        </w:rPr>
        <w:t>Ehrhardt</w:t>
      </w:r>
      <w:proofErr w:type="spellEnd"/>
      <w:r>
        <w:rPr>
          <w:rFonts w:ascii="Times" w:eastAsia="Times" w:hAnsi="Times" w:cs="Times"/>
          <w:color w:val="000000"/>
          <w:sz w:val="18"/>
        </w:rPr>
        <w:t xml:space="preserve">, </w:t>
      </w:r>
      <w:r>
        <w:rPr>
          <w:rFonts w:ascii="Times" w:eastAsia="Times" w:hAnsi="Times" w:cs="Times"/>
          <w:i/>
          <w:color w:val="000000"/>
          <w:sz w:val="18"/>
        </w:rPr>
        <w:t>Financial Management</w:t>
      </w:r>
      <w:r>
        <w:rPr>
          <w:rFonts w:ascii="Times" w:eastAsia="Times" w:hAnsi="Times" w:cs="Times"/>
          <w:color w:val="000000"/>
          <w:sz w:val="18"/>
        </w:rPr>
        <w:t xml:space="preserve"> 347 (12th ed. 2008).</w:t>
      </w:r>
    </w:p>
  </w:footnote>
  <w:footnote w:id="15">
    <w:p w14:paraId="226C50E1"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138 </w:t>
      </w:r>
      <w:bookmarkStart w:id="177" w:name="Bookmark_fnpara_138"/>
      <w:bookmarkEnd w:id="177"/>
      <w:r>
        <w:rPr>
          <w:rFonts w:ascii="Times" w:eastAsia="Times" w:hAnsi="Times" w:cs="Times"/>
          <w:color w:val="000000"/>
          <w:sz w:val="18"/>
        </w:rPr>
        <w:t xml:space="preserve">Shannon Pratt &amp; Roger Grabowski, </w:t>
      </w:r>
      <w:r>
        <w:rPr>
          <w:rFonts w:ascii="Times" w:eastAsia="Times" w:hAnsi="Times" w:cs="Times"/>
          <w:i/>
          <w:color w:val="000000"/>
          <w:sz w:val="18"/>
        </w:rPr>
        <w:t>Cost of Capital: Applications and Examples</w:t>
      </w:r>
      <w:r>
        <w:rPr>
          <w:rFonts w:ascii="Times" w:eastAsia="Times" w:hAnsi="Times" w:cs="Times"/>
          <w:color w:val="000000"/>
          <w:sz w:val="18"/>
        </w:rPr>
        <w:t xml:space="preserve"> 203 (4th ed. 2010).</w:t>
      </w:r>
    </w:p>
  </w:footnote>
  <w:footnote w:id="16">
    <w:p w14:paraId="38BA7267"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142 </w:t>
      </w:r>
      <w:bookmarkStart w:id="188" w:name="Bookmark_fnpara_142"/>
      <w:bookmarkEnd w:id="188"/>
      <w:r>
        <w:rPr>
          <w:rFonts w:ascii="Times" w:eastAsia="Times" w:hAnsi="Times" w:cs="Times"/>
          <w:color w:val="000000"/>
          <w:sz w:val="18"/>
        </w:rPr>
        <w:t xml:space="preserve">Pratt &amp; Grabowski, </w:t>
      </w:r>
      <w:r>
        <w:rPr>
          <w:rFonts w:ascii="Times" w:eastAsia="Times" w:hAnsi="Times" w:cs="Times"/>
          <w:i/>
          <w:color w:val="000000"/>
          <w:sz w:val="18"/>
        </w:rPr>
        <w:t>supra</w:t>
      </w:r>
      <w:r>
        <w:rPr>
          <w:rFonts w:ascii="Times" w:eastAsia="Times" w:hAnsi="Times" w:cs="Times"/>
          <w:color w:val="000000"/>
          <w:sz w:val="18"/>
        </w:rPr>
        <w:t xml:space="preserve"> note 138, at 203.</w:t>
      </w:r>
    </w:p>
  </w:footnote>
  <w:footnote w:id="17">
    <w:p w14:paraId="63C3B714"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143 </w:t>
      </w:r>
      <w:bookmarkStart w:id="189" w:name="Bookmark_fnpara_143"/>
      <w:bookmarkEnd w:id="189"/>
      <w:r>
        <w:rPr>
          <w:rFonts w:ascii="Times" w:eastAsia="Times" w:hAnsi="Times" w:cs="Times"/>
          <w:color w:val="000000"/>
          <w:sz w:val="18"/>
        </w:rPr>
        <w:t xml:space="preserve">This $50 million number is based on management's projections, which assumed a "minimum cash balance" of $50 million for the years 2010-2015. </w:t>
      </w:r>
      <w:r>
        <w:rPr>
          <w:rFonts w:ascii="Times" w:eastAsia="Times" w:hAnsi="Times" w:cs="Times"/>
          <w:i/>
          <w:color w:val="000000"/>
          <w:sz w:val="18"/>
        </w:rPr>
        <w:t>See</w:t>
      </w:r>
      <w:r>
        <w:rPr>
          <w:rFonts w:ascii="Times" w:eastAsia="Times" w:hAnsi="Times" w:cs="Times"/>
          <w:color w:val="000000"/>
          <w:sz w:val="18"/>
        </w:rPr>
        <w:t xml:space="preserve"> JX 1 at 60. Credit Suisse adopted that assumption in the preparation of its financial analysis regarding the Merger. </w:t>
      </w:r>
      <w:r>
        <w:rPr>
          <w:rFonts w:ascii="Times" w:eastAsia="Times" w:hAnsi="Times" w:cs="Times"/>
          <w:i/>
          <w:color w:val="000000"/>
          <w:sz w:val="18"/>
        </w:rPr>
        <w:t>See</w:t>
      </w:r>
      <w:r>
        <w:rPr>
          <w:rFonts w:ascii="Times" w:eastAsia="Times" w:hAnsi="Times" w:cs="Times"/>
          <w:color w:val="000000"/>
          <w:sz w:val="18"/>
        </w:rPr>
        <w:t xml:space="preserve"> JX 122 at 32 n.4. Finally, an examination of </w:t>
      </w:r>
      <w:proofErr w:type="spellStart"/>
      <w:r>
        <w:rPr>
          <w:rFonts w:ascii="Times" w:eastAsia="Times" w:hAnsi="Times" w:cs="Times"/>
          <w:color w:val="000000"/>
          <w:sz w:val="18"/>
        </w:rPr>
        <w:t>Cogent's</w:t>
      </w:r>
      <w:proofErr w:type="spellEnd"/>
      <w:r>
        <w:rPr>
          <w:rFonts w:ascii="Times" w:eastAsia="Times" w:hAnsi="Times" w:cs="Times"/>
          <w:color w:val="000000"/>
          <w:sz w:val="18"/>
        </w:rPr>
        <w:t xml:space="preserve"> historical cash balance shows that of the $533.2 million in cash and cash equivalents only $32.99 million was actual cash, with the other approximately $500.2 million being in either short term or </w:t>
      </w:r>
      <w:proofErr w:type="gramStart"/>
      <w:r>
        <w:rPr>
          <w:rFonts w:ascii="Times" w:eastAsia="Times" w:hAnsi="Times" w:cs="Times"/>
          <w:color w:val="000000"/>
          <w:sz w:val="18"/>
        </w:rPr>
        <w:t>long term</w:t>
      </w:r>
      <w:proofErr w:type="gramEnd"/>
      <w:r>
        <w:rPr>
          <w:rFonts w:ascii="Times" w:eastAsia="Times" w:hAnsi="Times" w:cs="Times"/>
          <w:color w:val="000000"/>
          <w:sz w:val="18"/>
        </w:rPr>
        <w:t xml:space="preserve"> investments in marketable securities. </w:t>
      </w:r>
      <w:r>
        <w:rPr>
          <w:rFonts w:ascii="Times" w:eastAsia="Times" w:hAnsi="Times" w:cs="Times"/>
          <w:i/>
          <w:color w:val="000000"/>
          <w:sz w:val="18"/>
        </w:rPr>
        <w:t>See</w:t>
      </w:r>
      <w:r>
        <w:rPr>
          <w:rFonts w:ascii="Times" w:eastAsia="Times" w:hAnsi="Times" w:cs="Times"/>
          <w:color w:val="000000"/>
          <w:sz w:val="18"/>
        </w:rPr>
        <w:t xml:space="preserve"> JX 3 at 43; JX 153 at 3, 9.</w:t>
      </w:r>
    </w:p>
  </w:footnote>
  <w:footnote w:id="18">
    <w:p w14:paraId="6653560D"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144 </w:t>
      </w:r>
      <w:bookmarkStart w:id="190" w:name="Bookmark_fnpara_144"/>
      <w:bookmarkEnd w:id="190"/>
      <w:r>
        <w:rPr>
          <w:rFonts w:ascii="Times" w:eastAsia="Times" w:hAnsi="Times" w:cs="Times"/>
          <w:color w:val="000000"/>
          <w:sz w:val="18"/>
        </w:rPr>
        <w:t>$533.2 million - $50 million = $483.2 million.</w:t>
      </w:r>
    </w:p>
  </w:footnote>
  <w:footnote w:id="19">
    <w:p w14:paraId="26191E1F"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145 </w:t>
      </w:r>
      <w:bookmarkStart w:id="191" w:name="Bookmark_fnpara_145"/>
      <w:bookmarkEnd w:id="191"/>
      <w:r>
        <w:rPr>
          <w:rFonts w:ascii="Times" w:eastAsia="Times" w:hAnsi="Times" w:cs="Times"/>
          <w:color w:val="000000"/>
          <w:sz w:val="18"/>
        </w:rPr>
        <w:t>$868.7 million - 483.2 million = $385.5 million.</w:t>
      </w:r>
    </w:p>
  </w:footnote>
  <w:footnote w:id="20">
    <w:p w14:paraId="2CA5463B"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146 </w:t>
      </w:r>
      <w:bookmarkStart w:id="192" w:name="Bookmark_fnpara_146"/>
      <w:bookmarkEnd w:id="192"/>
      <w:r>
        <w:rPr>
          <w:rFonts w:ascii="Times" w:eastAsia="Times" w:hAnsi="Times" w:cs="Times"/>
          <w:color w:val="000000"/>
          <w:sz w:val="18"/>
        </w:rPr>
        <w:t>($868.7 million / $385.5 million) = 2.253.</w:t>
      </w:r>
    </w:p>
  </w:footnote>
  <w:footnote w:id="21">
    <w:p w14:paraId="5B841D66"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147 </w:t>
      </w:r>
      <w:bookmarkStart w:id="194" w:name="Bookmark_fnpara_147"/>
      <w:bookmarkEnd w:id="194"/>
      <w:r>
        <w:rPr>
          <w:rFonts w:ascii="Times" w:eastAsia="Times" w:hAnsi="Times" w:cs="Times"/>
          <w:color w:val="000000"/>
          <w:sz w:val="18"/>
        </w:rPr>
        <w:t xml:space="preserve">Marshall E. Blume, </w:t>
      </w:r>
      <w:r>
        <w:rPr>
          <w:rFonts w:ascii="Times" w:eastAsia="Times" w:hAnsi="Times" w:cs="Times"/>
          <w:i/>
          <w:color w:val="000000"/>
          <w:sz w:val="18"/>
        </w:rPr>
        <w:t>On the Assessment of Risk</w:t>
      </w:r>
      <w:r>
        <w:rPr>
          <w:rFonts w:ascii="Times" w:eastAsia="Times" w:hAnsi="Times" w:cs="Times"/>
          <w:color w:val="000000"/>
          <w:sz w:val="18"/>
        </w:rPr>
        <w:t xml:space="preserve">, 26 J. Fin. 1, 10 (1971); </w:t>
      </w:r>
      <w:r>
        <w:rPr>
          <w:rFonts w:ascii="Times" w:eastAsia="Times" w:hAnsi="Times" w:cs="Times"/>
          <w:i/>
          <w:color w:val="000000"/>
          <w:sz w:val="18"/>
        </w:rPr>
        <w:t>see also</w:t>
      </w:r>
      <w:r>
        <w:rPr>
          <w:rFonts w:ascii="Times" w:eastAsia="Times" w:hAnsi="Times" w:cs="Times"/>
          <w:color w:val="000000"/>
          <w:sz w:val="18"/>
        </w:rPr>
        <w:t xml:space="preserve"> Pratt &amp; Grabowski, </w:t>
      </w:r>
      <w:r>
        <w:rPr>
          <w:rFonts w:ascii="Times" w:eastAsia="Times" w:hAnsi="Times" w:cs="Times"/>
          <w:i/>
          <w:color w:val="000000"/>
          <w:sz w:val="18"/>
        </w:rPr>
        <w:t>supra</w:t>
      </w:r>
      <w:r>
        <w:rPr>
          <w:rFonts w:ascii="Times" w:eastAsia="Times" w:hAnsi="Times" w:cs="Times"/>
          <w:color w:val="000000"/>
          <w:sz w:val="18"/>
        </w:rPr>
        <w:t xml:space="preserve"> note 138, at 167.</w:t>
      </w:r>
    </w:p>
  </w:footnote>
  <w:footnote w:id="22">
    <w:p w14:paraId="7668B555"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148 </w:t>
      </w:r>
      <w:bookmarkStart w:id="195" w:name="Bookmark_fnpara_148"/>
      <w:bookmarkEnd w:id="195"/>
      <w:r>
        <w:rPr>
          <w:rFonts w:ascii="Times" w:eastAsia="Times" w:hAnsi="Times" w:cs="Times"/>
          <w:i/>
          <w:color w:val="000000"/>
          <w:sz w:val="18"/>
        </w:rPr>
        <w:t>See</w:t>
      </w:r>
      <w:r>
        <w:rPr>
          <w:rFonts w:ascii="Times" w:eastAsia="Times" w:hAnsi="Times" w:cs="Times"/>
          <w:color w:val="000000"/>
          <w:sz w:val="18"/>
        </w:rPr>
        <w:t xml:space="preserve"> Pratt &amp; Grabowski, </w:t>
      </w:r>
      <w:r>
        <w:rPr>
          <w:rFonts w:ascii="Times" w:eastAsia="Times" w:hAnsi="Times" w:cs="Times"/>
          <w:i/>
          <w:color w:val="000000"/>
          <w:sz w:val="18"/>
        </w:rPr>
        <w:t>supra</w:t>
      </w:r>
      <w:r>
        <w:rPr>
          <w:rFonts w:ascii="Times" w:eastAsia="Times" w:hAnsi="Times" w:cs="Times"/>
          <w:color w:val="000000"/>
          <w:sz w:val="18"/>
        </w:rPr>
        <w:t xml:space="preserve"> note 138, at 203 ("An alternative adjustment that is used by Bloomberg and </w:t>
      </w:r>
      <w:r>
        <w:rPr>
          <w:rFonts w:ascii="Times" w:eastAsia="Times" w:hAnsi="Times" w:cs="Times"/>
          <w:i/>
          <w:color w:val="000000"/>
          <w:sz w:val="18"/>
        </w:rPr>
        <w:t>Value Line</w:t>
      </w:r>
      <w:r>
        <w:rPr>
          <w:rFonts w:ascii="Times" w:eastAsia="Times" w:hAnsi="Times" w:cs="Times"/>
          <w:color w:val="000000"/>
          <w:sz w:val="18"/>
        </w:rPr>
        <w:t xml:space="preserve"> adjusts the historical beta to a "forward" estimated beta by averaging the historical beta estimate by two-thirds and the market beta of 1.0 by one-third."); </w:t>
      </w:r>
      <w:proofErr w:type="spellStart"/>
      <w:r>
        <w:rPr>
          <w:rFonts w:ascii="Times" w:eastAsia="Times" w:hAnsi="Times" w:cs="Times"/>
          <w:color w:val="000000"/>
          <w:sz w:val="18"/>
        </w:rPr>
        <w:t>Koller</w:t>
      </w:r>
      <w:proofErr w:type="spellEnd"/>
      <w:r>
        <w:rPr>
          <w:rFonts w:ascii="Times" w:eastAsia="Times" w:hAnsi="Times" w:cs="Times"/>
          <w:color w:val="000000"/>
          <w:sz w:val="18"/>
        </w:rPr>
        <w:t xml:space="preserve"> et al., </w:t>
      </w:r>
      <w:r>
        <w:rPr>
          <w:rFonts w:ascii="Times" w:eastAsia="Times" w:hAnsi="Times" w:cs="Times"/>
          <w:i/>
          <w:color w:val="000000"/>
          <w:sz w:val="18"/>
        </w:rPr>
        <w:t>Valuation</w:t>
      </w:r>
      <w:r>
        <w:rPr>
          <w:rFonts w:ascii="Times" w:eastAsia="Times" w:hAnsi="Times" w:cs="Times"/>
          <w:color w:val="000000"/>
          <w:sz w:val="18"/>
        </w:rPr>
        <w:t xml:space="preserve">, supra note 119, at 253 ("For well-defined industries, an industry beta will suffice. But if few direct </w:t>
      </w:r>
      <w:proofErr w:type="spellStart"/>
      <w:r>
        <w:rPr>
          <w:rFonts w:ascii="Times" w:eastAsia="Times" w:hAnsi="Times" w:cs="Times"/>
          <w:color w:val="000000"/>
          <w:sz w:val="18"/>
        </w:rPr>
        <w:t>comparables</w:t>
      </w:r>
      <w:proofErr w:type="spellEnd"/>
      <w:r>
        <w:rPr>
          <w:rFonts w:ascii="Times" w:eastAsia="Times" w:hAnsi="Times" w:cs="Times"/>
          <w:color w:val="000000"/>
          <w:sz w:val="18"/>
        </w:rPr>
        <w:t xml:space="preserve"> exist, an alternative is beta smoothing.").</w:t>
      </w:r>
    </w:p>
  </w:footnote>
  <w:footnote w:id="23">
    <w:p w14:paraId="2A017192"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149 </w:t>
      </w:r>
      <w:bookmarkStart w:id="196" w:name="Bookmark_fnpara_149"/>
      <w:bookmarkEnd w:id="196"/>
      <w:r>
        <w:rPr>
          <w:rFonts w:ascii="Times" w:eastAsia="Times" w:hAnsi="Times" w:cs="Times"/>
          <w:i/>
          <w:color w:val="000000"/>
          <w:sz w:val="18"/>
        </w:rPr>
        <w:t>β</w:t>
      </w:r>
    </w:p>
    <w:p w14:paraId="146EB2E7" w14:textId="77777777" w:rsidR="00E53B66" w:rsidRDefault="00E53B66">
      <w:pPr>
        <w:pStyle w:val="Normal1"/>
        <w:widowControl w:val="0"/>
        <w:spacing w:before="120" w:line="240" w:lineRule="atLeast"/>
        <w:jc w:val="both"/>
      </w:pPr>
      <w:r>
        <w:rPr>
          <w:rFonts w:ascii="Times" w:eastAsia="Times" w:hAnsi="Times" w:cs="Times"/>
          <w:i/>
          <w:color w:val="000000"/>
          <w:sz w:val="18"/>
        </w:rPr>
        <w:t>COGT</w:t>
      </w:r>
      <w:r>
        <w:rPr>
          <w:rFonts w:ascii="Times" w:eastAsia="Times" w:hAnsi="Times" w:cs="Times"/>
          <w:color w:val="000000"/>
          <w:sz w:val="18"/>
        </w:rPr>
        <w:t xml:space="preserve"> = (1/3 x 1) + (2/3 x 1.595) = 1.397.</w:t>
      </w:r>
    </w:p>
  </w:footnote>
  <w:footnote w:id="24">
    <w:p w14:paraId="358A822D" w14:textId="408470F1" w:rsidR="00E53B66" w:rsidRDefault="00E53B66">
      <w:pPr>
        <w:pStyle w:val="Normal1"/>
        <w:widowControl w:val="0"/>
        <w:spacing w:before="200" w:line="240" w:lineRule="atLeast"/>
        <w:jc w:val="both"/>
      </w:pPr>
      <w:r>
        <w:rPr>
          <w:rFonts w:ascii="Times" w:eastAsia="Times" w:hAnsi="Times" w:cs="Times"/>
          <w:color w:val="000000"/>
          <w:sz w:val="18"/>
          <w:vertAlign w:val="superscript"/>
        </w:rPr>
        <w:t>155 </w:t>
      </w:r>
      <w:bookmarkStart w:id="205" w:name="Bookmark_fnpara_155"/>
      <w:bookmarkEnd w:id="205"/>
      <w:r>
        <w:rPr>
          <w:rFonts w:ascii="Times" w:eastAsia="Times" w:hAnsi="Times" w:cs="Times"/>
          <w:color w:val="000000"/>
          <w:sz w:val="18"/>
        </w:rPr>
        <w:t xml:space="preserve">Selection of a supply-side equity risk premium is consistent with prior decisions by this Court. </w:t>
      </w:r>
      <w:r>
        <w:rPr>
          <w:rFonts w:ascii="Times" w:eastAsia="Times" w:hAnsi="Times" w:cs="Times"/>
          <w:i/>
          <w:color w:val="000000"/>
          <w:sz w:val="18"/>
        </w:rPr>
        <w:t xml:space="preserve">See, e.g., </w:t>
      </w:r>
      <w:bookmarkStart w:id="206" w:name="Bookmark_I590TCN62D6N6B0010000400"/>
      <w:bookmarkStart w:id="207" w:name="Bookmark_I590TCN62D6N6B0030000400"/>
      <w:bookmarkStart w:id="208" w:name="Bookmark_I590TCN62D6N6B0050000400"/>
      <w:bookmarkEnd w:id="206"/>
      <w:bookmarkEnd w:id="207"/>
      <w:bookmarkEnd w:id="208"/>
      <w:r>
        <w:rPr>
          <w:rFonts w:ascii="Times" w:eastAsia="Times" w:hAnsi="Times" w:cs="Times"/>
          <w:color w:val="000000"/>
          <w:sz w:val="18"/>
        </w:rPr>
        <w:fldChar w:fldCharType="begin"/>
      </w:r>
      <w:r>
        <w:rPr>
          <w:rFonts w:ascii="Times" w:eastAsia="Times" w:hAnsi="Times" w:cs="Times"/>
          <w:color w:val="000000"/>
          <w:sz w:val="18"/>
        </w:rPr>
        <w:instrText xml:space="preserve"> HYPERLINK  https://advance.lexis.com/api/document?collection=cases&amp;id=urn:contentItem:7YD7-2C30-YB0M-B002-00000-00&amp;context=</w:instrText>
      </w:r>
      <w:r>
        <w:rPr>
          <w:rFonts w:ascii="Times" w:eastAsia="Times" w:hAnsi="Times" w:cs="Times"/>
          <w:color w:val="000000"/>
          <w:sz w:val="18"/>
        </w:rPr>
        <w:fldChar w:fldCharType="separate"/>
      </w:r>
      <w:r>
        <w:rPr>
          <w:rFonts w:ascii="Times" w:eastAsia="Times" w:hAnsi="Times" w:cs="Times"/>
          <w:i/>
          <w:color w:val="0077CC"/>
          <w:sz w:val="18"/>
          <w:u w:val="single"/>
        </w:rPr>
        <w:t>Global GT LP v. Golden Telecom, Inc.</w:t>
      </w:r>
      <w:r>
        <w:rPr>
          <w:rFonts w:ascii="Times" w:eastAsia="Times" w:hAnsi="Times" w:cs="Times"/>
          <w:color w:val="000000"/>
          <w:sz w:val="18"/>
        </w:rPr>
        <w:fldChar w:fldCharType="end"/>
      </w:r>
      <w:hyperlink r:id="rId10" w:history="1">
        <w:r>
          <w:rPr>
            <w:rFonts w:ascii="Times" w:eastAsia="Times" w:hAnsi="Times" w:cs="Times"/>
            <w:color w:val="0077CC"/>
            <w:sz w:val="18"/>
            <w:u w:val="single"/>
          </w:rPr>
          <w:t>, 993 A.2d 497, 517 (Del. Ch. 2010)</w:t>
        </w:r>
      </w:hyperlink>
      <w:r>
        <w:rPr>
          <w:rFonts w:ascii="Times" w:eastAsia="Times" w:hAnsi="Times" w:cs="Times"/>
          <w:color w:val="000000"/>
          <w:sz w:val="18"/>
        </w:rPr>
        <w:t xml:space="preserve"> (referring to the Court's adoption of a supply-side equity risk premium, the Court stated "when the relevant professional  community has mined additional data and pondered the reliability of past practice and come, by a healthy weight of reasoned opinion, to believe that a different practice should become the norm, this court's duty is to recognize that practice if, in the court's lay estimate, the practice is the most reliable available for use in an appraisal").</w:t>
      </w:r>
    </w:p>
  </w:footnote>
  <w:footnote w:id="25">
    <w:p w14:paraId="554C2C53"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159 </w:t>
      </w:r>
      <w:bookmarkStart w:id="214" w:name="Bookmark_fnpara_159"/>
      <w:bookmarkEnd w:id="214"/>
      <w:r>
        <w:rPr>
          <w:rFonts w:ascii="Times" w:eastAsia="Times" w:hAnsi="Times" w:cs="Times"/>
          <w:color w:val="000000"/>
          <w:sz w:val="18"/>
        </w:rPr>
        <w:t xml:space="preserve">JX 2 at 57; Ibbotson SBBI, </w:t>
      </w:r>
      <w:r>
        <w:rPr>
          <w:rFonts w:ascii="Times" w:eastAsia="Times" w:hAnsi="Times" w:cs="Times"/>
          <w:i/>
          <w:color w:val="000000"/>
          <w:sz w:val="18"/>
        </w:rPr>
        <w:t>2010 Valuation Yearbook, Market Results for Stocks, Bonds, Bills, and Inflation 1926-2009.</w:t>
      </w:r>
      <w:r>
        <w:rPr>
          <w:rFonts w:ascii="Times" w:eastAsia="Times" w:hAnsi="Times" w:cs="Times"/>
          <w:color w:val="000000"/>
          <w:sz w:val="18"/>
        </w:rPr>
        <w:t xml:space="preserve"> </w:t>
      </w:r>
      <w:proofErr w:type="spellStart"/>
      <w:r>
        <w:rPr>
          <w:rFonts w:ascii="Times" w:eastAsia="Times" w:hAnsi="Times" w:cs="Times"/>
          <w:color w:val="000000"/>
          <w:sz w:val="18"/>
        </w:rPr>
        <w:t>Cogent's</w:t>
      </w:r>
      <w:proofErr w:type="spellEnd"/>
      <w:r>
        <w:rPr>
          <w:rFonts w:ascii="Times" w:eastAsia="Times" w:hAnsi="Times" w:cs="Times"/>
          <w:color w:val="000000"/>
          <w:sz w:val="18"/>
        </w:rPr>
        <w:t xml:space="preserve"> market capitalization at the time of the Merger was approximately $931 million.</w:t>
      </w:r>
    </w:p>
  </w:footnote>
  <w:footnote w:id="26">
    <w:p w14:paraId="3ED623AF" w14:textId="77FC9AD2" w:rsidR="00E53B66" w:rsidRDefault="00E53B66">
      <w:pPr>
        <w:pStyle w:val="Normal1"/>
        <w:widowControl w:val="0"/>
        <w:spacing w:before="200" w:line="240" w:lineRule="atLeast"/>
        <w:jc w:val="both"/>
      </w:pPr>
      <w:r>
        <w:rPr>
          <w:rFonts w:ascii="Times" w:eastAsia="Times" w:hAnsi="Times" w:cs="Times"/>
          <w:color w:val="000000"/>
          <w:sz w:val="18"/>
          <w:vertAlign w:val="superscript"/>
        </w:rPr>
        <w:t>161 </w:t>
      </w:r>
      <w:bookmarkStart w:id="217" w:name="Bookmark_fnpara_161"/>
      <w:bookmarkEnd w:id="217"/>
      <w:r>
        <w:rPr>
          <w:rFonts w:ascii="Times" w:eastAsia="Times" w:hAnsi="Times" w:cs="Times"/>
          <w:i/>
          <w:color w:val="000000"/>
          <w:sz w:val="18"/>
        </w:rPr>
        <w:t>See, e.g.</w:t>
      </w:r>
      <w:r>
        <w:rPr>
          <w:rFonts w:ascii="Times" w:eastAsia="Times" w:hAnsi="Times" w:cs="Times"/>
          <w:color w:val="000000"/>
          <w:sz w:val="18"/>
        </w:rPr>
        <w:t xml:space="preserve">, Pratt &amp; Grabowski, </w:t>
      </w:r>
      <w:r>
        <w:rPr>
          <w:rFonts w:ascii="Times" w:eastAsia="Times" w:hAnsi="Times" w:cs="Times"/>
          <w:i/>
          <w:color w:val="000000"/>
          <w:sz w:val="18"/>
        </w:rPr>
        <w:t>supra</w:t>
      </w:r>
      <w:r>
        <w:rPr>
          <w:rFonts w:ascii="Times" w:eastAsia="Times" w:hAnsi="Times" w:cs="Times"/>
          <w:color w:val="000000"/>
          <w:sz w:val="18"/>
        </w:rPr>
        <w:t xml:space="preserve"> note 138, at 233 ("Morningstar, Inc. [the parent of Ibbotson], segregates New York Stock Exchange (NYSE) s</w:t>
      </w:r>
      <w:r w:rsidR="007A7FFB">
        <w:rPr>
          <w:rFonts w:ascii="Times" w:eastAsia="Times" w:hAnsi="Times" w:cs="Times"/>
          <w:color w:val="000000"/>
          <w:sz w:val="18"/>
        </w:rPr>
        <w:t xml:space="preserve">tock returns into </w:t>
      </w:r>
      <w:proofErr w:type="gramStart"/>
      <w:r w:rsidR="007A7FFB">
        <w:rPr>
          <w:rFonts w:ascii="Times" w:eastAsia="Times" w:hAnsi="Times" w:cs="Times"/>
          <w:color w:val="000000"/>
          <w:sz w:val="18"/>
        </w:rPr>
        <w:t xml:space="preserve">deciles </w:t>
      </w:r>
      <w:r>
        <w:rPr>
          <w:rFonts w:ascii="Times" w:eastAsia="Times" w:hAnsi="Times" w:cs="Times"/>
          <w:color w:val="000000"/>
          <w:sz w:val="18"/>
        </w:rPr>
        <w:t> by</w:t>
      </w:r>
      <w:proofErr w:type="gramEnd"/>
      <w:r>
        <w:rPr>
          <w:rFonts w:ascii="Times" w:eastAsia="Times" w:hAnsi="Times" w:cs="Times"/>
          <w:color w:val="000000"/>
          <w:sz w:val="18"/>
        </w:rPr>
        <w:t xml:space="preserve"> size, as measured by </w:t>
      </w:r>
      <w:r>
        <w:rPr>
          <w:rFonts w:ascii="Times" w:eastAsia="Times" w:hAnsi="Times" w:cs="Times"/>
          <w:i/>
          <w:color w:val="000000"/>
          <w:sz w:val="18"/>
        </w:rPr>
        <w:t>the aggregate market value of common equity.</w:t>
      </w:r>
      <w:r w:rsidR="007A7FFB">
        <w:rPr>
          <w:rFonts w:ascii="Times" w:eastAsia="Times" w:hAnsi="Times" w:cs="Times"/>
          <w:color w:val="000000"/>
          <w:sz w:val="18"/>
        </w:rPr>
        <w:t>" (emphasis added))</w:t>
      </w:r>
    </w:p>
  </w:footnote>
  <w:footnote w:id="27">
    <w:p w14:paraId="3823D667" w14:textId="343136BE" w:rsidR="00E53B66" w:rsidRDefault="00E53B66">
      <w:pPr>
        <w:pStyle w:val="Normal1"/>
        <w:widowControl w:val="0"/>
        <w:spacing w:before="200" w:line="240" w:lineRule="atLeast"/>
        <w:jc w:val="both"/>
      </w:pPr>
      <w:r>
        <w:rPr>
          <w:rFonts w:ascii="Times" w:eastAsia="Times" w:hAnsi="Times" w:cs="Times"/>
          <w:color w:val="000000"/>
          <w:sz w:val="18"/>
          <w:vertAlign w:val="superscript"/>
        </w:rPr>
        <w:t>162 </w:t>
      </w:r>
      <w:bookmarkStart w:id="218" w:name="Bookmark_fnpara_162"/>
      <w:bookmarkEnd w:id="218"/>
      <w:r>
        <w:rPr>
          <w:rFonts w:ascii="Times" w:eastAsia="Times" w:hAnsi="Times" w:cs="Times"/>
          <w:i/>
          <w:color w:val="000000"/>
          <w:sz w:val="18"/>
        </w:rPr>
        <w:t xml:space="preserve">See, e.g., </w:t>
      </w:r>
      <w:bookmarkStart w:id="219" w:name="Bookmark_I590TCN62HM6TH0010000400"/>
      <w:bookmarkEnd w:id="219"/>
      <w:r>
        <w:rPr>
          <w:rFonts w:ascii="Times" w:eastAsia="Times" w:hAnsi="Times" w:cs="Times"/>
          <w:i/>
          <w:color w:val="000000"/>
          <w:sz w:val="18"/>
        </w:rPr>
        <w:fldChar w:fldCharType="begin"/>
      </w:r>
      <w:r>
        <w:rPr>
          <w:rFonts w:ascii="Times" w:eastAsia="Times" w:hAnsi="Times" w:cs="Times"/>
          <w:i/>
          <w:color w:val="000000"/>
          <w:sz w:val="18"/>
        </w:rPr>
        <w:instrText xml:space="preserve"> HYPERLINK  https://advance.lexis.com/api/document?collection=cases&amp;id=urn:contentItem:566K-RKF1-F04C-G05Y-00000-00&amp;context=</w:instrText>
      </w:r>
      <w:r>
        <w:rPr>
          <w:rFonts w:ascii="Times" w:eastAsia="Times" w:hAnsi="Times" w:cs="Times"/>
          <w:i/>
          <w:color w:val="000000"/>
          <w:sz w:val="18"/>
        </w:rPr>
        <w:fldChar w:fldCharType="separate"/>
      </w:r>
      <w:r>
        <w:rPr>
          <w:rFonts w:ascii="Times" w:eastAsia="Times" w:hAnsi="Times" w:cs="Times"/>
          <w:i/>
          <w:color w:val="0077CC"/>
          <w:sz w:val="18"/>
          <w:u w:val="single"/>
        </w:rPr>
        <w:t>In re Orchard Enters., Inc.</w:t>
      </w:r>
      <w:r>
        <w:rPr>
          <w:rFonts w:ascii="Times" w:eastAsia="Times" w:hAnsi="Times" w:cs="Times"/>
          <w:i/>
          <w:color w:val="000000"/>
          <w:sz w:val="18"/>
        </w:rPr>
        <w:fldChar w:fldCharType="end"/>
      </w:r>
      <w:hyperlink r:id="rId11" w:history="1">
        <w:r>
          <w:rPr>
            <w:rFonts w:ascii="Times" w:eastAsia="Times" w:hAnsi="Times" w:cs="Times"/>
            <w:color w:val="0077CC"/>
            <w:sz w:val="18"/>
            <w:u w:val="single"/>
          </w:rPr>
          <w:t>, 2012 Del. Ch. LEXIS 165, 2012 WL 2923305, at *21</w:t>
        </w:r>
      </w:hyperlink>
      <w:r>
        <w:rPr>
          <w:rFonts w:ascii="Times" w:eastAsia="Times" w:hAnsi="Times" w:cs="Times"/>
          <w:color w:val="000000"/>
          <w:sz w:val="18"/>
        </w:rPr>
        <w:t xml:space="preserve"> ("The Ibbotson Yearbook divides the stock returns of public companies into deciles by size, </w:t>
      </w:r>
      <w:r>
        <w:rPr>
          <w:rFonts w:ascii="Times" w:eastAsia="Times" w:hAnsi="Times" w:cs="Times"/>
          <w:i/>
          <w:color w:val="000000"/>
          <w:sz w:val="18"/>
        </w:rPr>
        <w:t>measured by the aggregate market value of the companies' common equity.</w:t>
      </w:r>
      <w:r>
        <w:rPr>
          <w:rFonts w:ascii="Times" w:eastAsia="Times" w:hAnsi="Times" w:cs="Times"/>
          <w:color w:val="000000"/>
          <w:sz w:val="18"/>
        </w:rPr>
        <w:t>" (emphasis added)</w:t>
      </w:r>
      <w:bookmarkStart w:id="220" w:name="Bookmark_I590TCN62HM6TH0030000400"/>
      <w:bookmarkEnd w:id="220"/>
    </w:p>
  </w:footnote>
  <w:footnote w:id="28">
    <w:p w14:paraId="4213201D"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165 </w:t>
      </w:r>
      <w:bookmarkStart w:id="224" w:name="Bookmark_fnpara_165"/>
      <w:bookmarkEnd w:id="224"/>
      <w:r>
        <w:rPr>
          <w:rFonts w:ascii="Times" w:eastAsia="Times" w:hAnsi="Times" w:cs="Times"/>
          <w:i/>
          <w:color w:val="000000"/>
          <w:sz w:val="18"/>
        </w:rPr>
        <w:t>See</w:t>
      </w:r>
      <w:r>
        <w:rPr>
          <w:rFonts w:ascii="Times" w:eastAsia="Times" w:hAnsi="Times" w:cs="Times"/>
          <w:color w:val="000000"/>
          <w:sz w:val="18"/>
        </w:rPr>
        <w:t xml:space="preserve"> Tr. 201 (Bailey) ("Those tables were developed all from seminal work that was done by Professor Rolf </w:t>
      </w:r>
      <w:proofErr w:type="spellStart"/>
      <w:r>
        <w:rPr>
          <w:rFonts w:ascii="Times" w:eastAsia="Times" w:hAnsi="Times" w:cs="Times"/>
          <w:color w:val="000000"/>
          <w:sz w:val="18"/>
        </w:rPr>
        <w:t>Banz</w:t>
      </w:r>
      <w:proofErr w:type="spellEnd"/>
      <w:r>
        <w:rPr>
          <w:rFonts w:ascii="Times" w:eastAsia="Times" w:hAnsi="Times" w:cs="Times"/>
          <w:color w:val="000000"/>
          <w:sz w:val="18"/>
        </w:rPr>
        <w:t xml:space="preserve"> back in 1981, in which Professor </w:t>
      </w:r>
      <w:proofErr w:type="spellStart"/>
      <w:r>
        <w:rPr>
          <w:rFonts w:ascii="Times" w:eastAsia="Times" w:hAnsi="Times" w:cs="Times"/>
          <w:color w:val="000000"/>
          <w:sz w:val="18"/>
        </w:rPr>
        <w:t>Banz</w:t>
      </w:r>
      <w:proofErr w:type="spellEnd"/>
      <w:r>
        <w:rPr>
          <w:rFonts w:ascii="Times" w:eastAsia="Times" w:hAnsi="Times" w:cs="Times"/>
          <w:color w:val="000000"/>
          <w:sz w:val="18"/>
        </w:rPr>
        <w:t xml:space="preserve"> did a seminal paper on adjusting the risk value of a company based upon the market value of the company."); Rolf </w:t>
      </w:r>
      <w:proofErr w:type="spellStart"/>
      <w:r>
        <w:rPr>
          <w:rFonts w:ascii="Times" w:eastAsia="Times" w:hAnsi="Times" w:cs="Times"/>
          <w:color w:val="000000"/>
          <w:sz w:val="18"/>
        </w:rPr>
        <w:t>Banz</w:t>
      </w:r>
      <w:proofErr w:type="spellEnd"/>
      <w:r>
        <w:rPr>
          <w:rFonts w:ascii="Times" w:eastAsia="Times" w:hAnsi="Times" w:cs="Times"/>
          <w:color w:val="000000"/>
          <w:sz w:val="18"/>
        </w:rPr>
        <w:t xml:space="preserve">, </w:t>
      </w:r>
      <w:r>
        <w:rPr>
          <w:rFonts w:ascii="Times" w:eastAsia="Times" w:hAnsi="Times" w:cs="Times"/>
          <w:i/>
          <w:color w:val="000000"/>
          <w:sz w:val="18"/>
        </w:rPr>
        <w:t>The Relationship Between Returns and Market Value of Common Stock</w:t>
      </w:r>
      <w:r>
        <w:rPr>
          <w:rFonts w:ascii="Times" w:eastAsia="Times" w:hAnsi="Times" w:cs="Times"/>
          <w:color w:val="000000"/>
          <w:sz w:val="18"/>
        </w:rPr>
        <w:t>, 9 J. Fin. Econ. 3 (1981) ("The results show that, in the 1936-1975 period, the common stock of small firms had, on average, higher risk-adjusted returns than the common stock of large firms.").</w:t>
      </w:r>
    </w:p>
  </w:footnote>
  <w:footnote w:id="29">
    <w:p w14:paraId="72C3D046"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166 </w:t>
      </w:r>
      <w:bookmarkStart w:id="226" w:name="Bookmark_fnpara_166"/>
      <w:bookmarkEnd w:id="226"/>
      <w:r>
        <w:rPr>
          <w:rFonts w:ascii="Times" w:eastAsia="Times" w:hAnsi="Times" w:cs="Times"/>
          <w:i/>
          <w:color w:val="000000"/>
          <w:sz w:val="18"/>
        </w:rPr>
        <w:t>See</w:t>
      </w:r>
      <w:r>
        <w:rPr>
          <w:rFonts w:ascii="Times" w:eastAsia="Times" w:hAnsi="Times" w:cs="Times"/>
          <w:color w:val="000000"/>
          <w:sz w:val="18"/>
        </w:rPr>
        <w:t xml:space="preserve"> Duff &amp; Phelps, </w:t>
      </w:r>
      <w:r>
        <w:rPr>
          <w:rFonts w:ascii="Times" w:eastAsia="Times" w:hAnsi="Times" w:cs="Times"/>
          <w:i/>
          <w:color w:val="000000"/>
          <w:sz w:val="18"/>
        </w:rPr>
        <w:t>Risk Premium Report 2013</w:t>
      </w:r>
      <w:r>
        <w:rPr>
          <w:rFonts w:ascii="Times" w:eastAsia="Times" w:hAnsi="Times" w:cs="Times"/>
          <w:color w:val="000000"/>
          <w:sz w:val="18"/>
        </w:rPr>
        <w:t xml:space="preserve"> (18th ed. 2013).</w:t>
      </w:r>
    </w:p>
  </w:footnote>
  <w:footnote w:id="30">
    <w:p w14:paraId="63CD86E7"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171 </w:t>
      </w:r>
      <w:bookmarkStart w:id="243" w:name="Bookmark_fnpara_171"/>
      <w:bookmarkEnd w:id="243"/>
      <w:r>
        <w:rPr>
          <w:rFonts w:ascii="Times" w:eastAsia="Times" w:hAnsi="Times" w:cs="Times"/>
          <w:color w:val="000000"/>
          <w:sz w:val="18"/>
        </w:rPr>
        <w:t xml:space="preserve">Pratt &amp; Grabowski, </w:t>
      </w:r>
      <w:r>
        <w:rPr>
          <w:rFonts w:ascii="Times" w:eastAsia="Times" w:hAnsi="Times" w:cs="Times"/>
          <w:i/>
          <w:color w:val="000000"/>
          <w:sz w:val="18"/>
        </w:rPr>
        <w:t>supra</w:t>
      </w:r>
      <w:r>
        <w:rPr>
          <w:rFonts w:ascii="Times" w:eastAsia="Times" w:hAnsi="Times" w:cs="Times"/>
          <w:color w:val="000000"/>
          <w:sz w:val="18"/>
        </w:rPr>
        <w:t xml:space="preserve"> note 138, at 30-34.</w:t>
      </w:r>
    </w:p>
  </w:footnote>
  <w:footnote w:id="31">
    <w:p w14:paraId="1D01AB40"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173 </w:t>
      </w:r>
      <w:bookmarkStart w:id="251" w:name="Bookmark_fnpara_173"/>
      <w:bookmarkEnd w:id="251"/>
      <w:r>
        <w:rPr>
          <w:rFonts w:ascii="Times" w:eastAsia="Times" w:hAnsi="Times" w:cs="Times"/>
          <w:color w:val="000000"/>
          <w:sz w:val="18"/>
        </w:rPr>
        <w:t xml:space="preserve">Bradford Cornell, </w:t>
      </w:r>
      <w:r>
        <w:rPr>
          <w:rFonts w:ascii="Times" w:eastAsia="Times" w:hAnsi="Times" w:cs="Times"/>
          <w:i/>
          <w:color w:val="000000"/>
          <w:sz w:val="18"/>
        </w:rPr>
        <w:t>Corporate Valuation: Tools for Effective Appraisal and Decision Making</w:t>
      </w:r>
      <w:r>
        <w:rPr>
          <w:rFonts w:ascii="Times" w:eastAsia="Times" w:hAnsi="Times" w:cs="Times"/>
          <w:color w:val="000000"/>
          <w:sz w:val="18"/>
        </w:rPr>
        <w:t xml:space="preserve"> 146-47 (1993).</w:t>
      </w:r>
    </w:p>
  </w:footnote>
  <w:footnote w:id="32">
    <w:p w14:paraId="3FC1C3A3"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176 </w:t>
      </w:r>
      <w:bookmarkStart w:id="253" w:name="Bookmark_fnpara_176"/>
      <w:bookmarkEnd w:id="253"/>
      <w:r>
        <w:rPr>
          <w:rFonts w:ascii="Times" w:eastAsia="Times" w:hAnsi="Times" w:cs="Times"/>
          <w:color w:val="000000"/>
          <w:sz w:val="18"/>
        </w:rPr>
        <w:t>Tr. 635-36 (Schiller) ("Q. And you don't have any specific explanation as to why the growth rate drops from 9.2 percent to 2 to 5 percent, do you? A. No. . . . Q. . . . [Y]</w:t>
      </w:r>
      <w:proofErr w:type="spellStart"/>
      <w:r>
        <w:rPr>
          <w:rFonts w:ascii="Times" w:eastAsia="Times" w:hAnsi="Times" w:cs="Times"/>
          <w:color w:val="000000"/>
          <w:sz w:val="18"/>
        </w:rPr>
        <w:t>ou</w:t>
      </w:r>
      <w:proofErr w:type="spellEnd"/>
      <w:r>
        <w:rPr>
          <w:rFonts w:ascii="Times" w:eastAsia="Times" w:hAnsi="Times" w:cs="Times"/>
          <w:color w:val="000000"/>
          <w:sz w:val="18"/>
        </w:rPr>
        <w:t xml:space="preserve"> don't provide any analysis in connection with the opinion that you're offering to the Court as to what GDP would be in the future, do you? A. No, we don't. Q. And you didn't consult any authorities as to what terminal growth rate should be in 2015 or beyond, do you? A. No. We see these numbers often, but we didn't consult any authorities, no.").</w:t>
      </w:r>
    </w:p>
  </w:footnote>
  <w:footnote w:id="33">
    <w:p w14:paraId="70F1FF67"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179 </w:t>
      </w:r>
      <w:bookmarkStart w:id="257" w:name="Bookmark_fnpara_179"/>
      <w:bookmarkEnd w:id="257"/>
      <w:proofErr w:type="spellStart"/>
      <w:r>
        <w:rPr>
          <w:rFonts w:ascii="Times" w:eastAsia="Times" w:hAnsi="Times" w:cs="Times"/>
          <w:color w:val="000000"/>
          <w:sz w:val="18"/>
        </w:rPr>
        <w:t>Aswath</w:t>
      </w:r>
      <w:proofErr w:type="spellEnd"/>
      <w:r>
        <w:rPr>
          <w:rFonts w:ascii="Times" w:eastAsia="Times" w:hAnsi="Times" w:cs="Times"/>
          <w:color w:val="000000"/>
          <w:sz w:val="18"/>
        </w:rPr>
        <w:t xml:space="preserve"> </w:t>
      </w:r>
      <w:proofErr w:type="spellStart"/>
      <w:r>
        <w:rPr>
          <w:rFonts w:ascii="Times" w:eastAsia="Times" w:hAnsi="Times" w:cs="Times"/>
          <w:color w:val="000000"/>
          <w:sz w:val="18"/>
        </w:rPr>
        <w:t>Damodaran</w:t>
      </w:r>
      <w:proofErr w:type="spellEnd"/>
      <w:r>
        <w:rPr>
          <w:rFonts w:ascii="Times" w:eastAsia="Times" w:hAnsi="Times" w:cs="Times"/>
          <w:color w:val="000000"/>
          <w:sz w:val="18"/>
        </w:rPr>
        <w:t xml:space="preserve">, </w:t>
      </w:r>
      <w:r>
        <w:rPr>
          <w:rFonts w:ascii="Times" w:eastAsia="Times" w:hAnsi="Times" w:cs="Times"/>
          <w:i/>
          <w:color w:val="000000"/>
          <w:sz w:val="18"/>
        </w:rPr>
        <w:t>Investment Valuation: Tools and Techniques for Determining the Value of Any Asset</w:t>
      </w:r>
      <w:r>
        <w:rPr>
          <w:rFonts w:ascii="Times" w:eastAsia="Times" w:hAnsi="Times" w:cs="Times"/>
          <w:color w:val="000000"/>
          <w:sz w:val="18"/>
        </w:rPr>
        <w:t xml:space="preserve"> 329 (3d ed. 2012).</w:t>
      </w:r>
    </w:p>
  </w:footnote>
  <w:footnote w:id="34">
    <w:p w14:paraId="6BD8E313"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183 </w:t>
      </w:r>
      <w:bookmarkStart w:id="260" w:name="Bookmark_fnpara_183"/>
      <w:bookmarkEnd w:id="260"/>
      <w:r>
        <w:rPr>
          <w:rFonts w:ascii="Times" w:eastAsia="Times" w:hAnsi="Times" w:cs="Times"/>
          <w:color w:val="000000"/>
          <w:sz w:val="18"/>
        </w:rPr>
        <w:t>Using management's projections, Bailey calculated a CAGR of 11.45% for the period 2009 through 2015. JX 2 at 21.</w:t>
      </w:r>
    </w:p>
  </w:footnote>
  <w:footnote w:id="35">
    <w:p w14:paraId="7A8C34FA"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184 </w:t>
      </w:r>
      <w:bookmarkStart w:id="267" w:name="Bookmark_fnpara_184"/>
      <w:bookmarkEnd w:id="267"/>
      <w:r>
        <w:rPr>
          <w:rFonts w:ascii="Times" w:eastAsia="Times" w:hAnsi="Times" w:cs="Times"/>
          <w:color w:val="000000"/>
          <w:sz w:val="18"/>
        </w:rPr>
        <w:t>$64.4/11.954%-4.5% = ~ $864</w:t>
      </w:r>
    </w:p>
  </w:footnote>
  <w:footnote w:id="36">
    <w:p w14:paraId="6FD95C5E"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185 </w:t>
      </w:r>
      <w:bookmarkStart w:id="271" w:name="Bookmark_fnpara_185"/>
      <w:bookmarkEnd w:id="271"/>
      <w:proofErr w:type="spellStart"/>
      <w:r>
        <w:rPr>
          <w:rFonts w:ascii="Times" w:eastAsia="Times" w:hAnsi="Times" w:cs="Times"/>
          <w:color w:val="000000"/>
          <w:sz w:val="18"/>
        </w:rPr>
        <w:t>Koller</w:t>
      </w:r>
      <w:proofErr w:type="spellEnd"/>
      <w:r>
        <w:rPr>
          <w:rFonts w:ascii="Times" w:eastAsia="Times" w:hAnsi="Times" w:cs="Times"/>
          <w:color w:val="000000"/>
          <w:sz w:val="18"/>
        </w:rPr>
        <w:t xml:space="preserve"> et al., </w:t>
      </w:r>
      <w:r>
        <w:rPr>
          <w:rFonts w:ascii="Times" w:eastAsia="Times" w:hAnsi="Times" w:cs="Times"/>
          <w:i/>
          <w:color w:val="000000"/>
          <w:sz w:val="18"/>
        </w:rPr>
        <w:t>Valuation, supra</w:t>
      </w:r>
      <w:r>
        <w:rPr>
          <w:rFonts w:ascii="Times" w:eastAsia="Times" w:hAnsi="Times" w:cs="Times"/>
          <w:color w:val="000000"/>
          <w:sz w:val="18"/>
        </w:rPr>
        <w:t xml:space="preserve"> note 119, at 227.</w:t>
      </w:r>
    </w:p>
  </w:footnote>
  <w:footnote w:id="37">
    <w:p w14:paraId="7C6D6017" w14:textId="77777777" w:rsidR="00E53B66" w:rsidRDefault="00E53B66">
      <w:pPr>
        <w:pStyle w:val="Normal1"/>
        <w:widowControl w:val="0"/>
        <w:spacing w:before="200" w:line="240" w:lineRule="atLeast"/>
        <w:jc w:val="both"/>
      </w:pPr>
      <w:r>
        <w:rPr>
          <w:rFonts w:ascii="Times" w:eastAsia="Times" w:hAnsi="Times" w:cs="Times"/>
          <w:color w:val="000000"/>
          <w:sz w:val="18"/>
          <w:vertAlign w:val="superscript"/>
        </w:rPr>
        <w:t>193 </w:t>
      </w:r>
      <w:bookmarkStart w:id="278" w:name="Bookmark_fnpara_193"/>
      <w:bookmarkEnd w:id="278"/>
      <w:r>
        <w:rPr>
          <w:rFonts w:ascii="Times" w:eastAsia="Times" w:hAnsi="Times" w:cs="Times"/>
          <w:color w:val="000000"/>
          <w:sz w:val="18"/>
        </w:rPr>
        <w:t xml:space="preserve">There were 88.616 million shares issued and outstanding as of November 2, 2012. </w:t>
      </w:r>
      <w:r>
        <w:rPr>
          <w:rFonts w:ascii="Times" w:eastAsia="Times" w:hAnsi="Times" w:cs="Times"/>
          <w:i/>
          <w:color w:val="000000"/>
          <w:sz w:val="18"/>
        </w:rPr>
        <w:t>See</w:t>
      </w:r>
      <w:r>
        <w:rPr>
          <w:rFonts w:ascii="Times" w:eastAsia="Times" w:hAnsi="Times" w:cs="Times"/>
          <w:color w:val="000000"/>
          <w:sz w:val="18"/>
        </w:rPr>
        <w:t xml:space="preserve"> JX 157 at 2.</w:t>
      </w:r>
    </w:p>
  </w:footnote>
  <w:footnote w:id="38">
    <w:p w14:paraId="0B0C4693" w14:textId="77777777" w:rsidR="00E53B66" w:rsidRDefault="00E53B66">
      <w:pPr>
        <w:pStyle w:val="Normal1"/>
        <w:widowControl w:val="0"/>
        <w:spacing w:before="120" w:line="240" w:lineRule="atLeast"/>
        <w:jc w:val="both"/>
      </w:pPr>
      <w:r>
        <w:rPr>
          <w:rFonts w:ascii="Times" w:eastAsia="Times" w:hAnsi="Times" w:cs="Times"/>
          <w:color w:val="000000"/>
          <w:sz w:val="18"/>
          <w:vertAlign w:val="superscript"/>
        </w:rPr>
        <w:t>194 </w:t>
      </w:r>
      <w:bookmarkStart w:id="279" w:name="Bookmark_fnpara_194"/>
      <w:bookmarkEnd w:id="279"/>
      <w:r>
        <w:rPr>
          <w:rFonts w:ascii="Times" w:eastAsia="Times" w:hAnsi="Times" w:cs="Times"/>
          <w:color w:val="000000"/>
          <w:sz w:val="18"/>
        </w:rPr>
        <w:t>$963.4/88.6 = $10.87.</w:t>
      </w:r>
    </w:p>
  </w:footnote>
  <w:footnote w:id="39">
    <w:p w14:paraId="348103C4" w14:textId="1AAFE142" w:rsidR="00E53B66" w:rsidRDefault="00E53B66">
      <w:pPr>
        <w:pStyle w:val="Normal1"/>
        <w:widowControl w:val="0"/>
        <w:spacing w:before="240" w:line="240" w:lineRule="atLeast"/>
        <w:jc w:val="both"/>
      </w:pPr>
      <w:r>
        <w:rPr>
          <w:rFonts w:ascii="Times" w:eastAsia="Times" w:hAnsi="Times" w:cs="Times"/>
          <w:color w:val="000000"/>
          <w:sz w:val="18"/>
          <w:vertAlign w:val="superscript"/>
        </w:rPr>
        <w:t>205 </w:t>
      </w:r>
      <w:bookmarkStart w:id="302" w:name="Bookmark_fnpara_205"/>
      <w:bookmarkEnd w:id="302"/>
      <w:r>
        <w:rPr>
          <w:rFonts w:ascii="Times" w:eastAsia="Times" w:hAnsi="Times" w:cs="Times"/>
          <w:color w:val="000000"/>
          <w:sz w:val="18"/>
        </w:rPr>
        <w:t>In a footnote, Respondent argues that in the current interest rate environment—where the statutory rate of interest is more than seven times the federal discount rate—Petitioners have distorted incentives to seek appraisal. There are risks to both sides in an appraisal proceeding, however, and the applicable interest rate is only one of them. Moreover, "[</w:t>
      </w:r>
      <w:proofErr w:type="spellStart"/>
      <w:r>
        <w:rPr>
          <w:rFonts w:ascii="Times" w:eastAsia="Times" w:hAnsi="Times" w:cs="Times"/>
          <w:color w:val="000000"/>
          <w:sz w:val="18"/>
        </w:rPr>
        <w:t>i</w:t>
      </w:r>
      <w:proofErr w:type="spellEnd"/>
      <w:r>
        <w:rPr>
          <w:rFonts w:ascii="Times" w:eastAsia="Times" w:hAnsi="Times" w:cs="Times"/>
          <w:color w:val="000000"/>
          <w:sz w:val="18"/>
        </w:rPr>
        <w:t>]t is beyond the province o</w:t>
      </w:r>
      <w:r w:rsidR="005A34B6">
        <w:rPr>
          <w:rFonts w:ascii="Times" w:eastAsia="Times" w:hAnsi="Times" w:cs="Times"/>
          <w:color w:val="000000"/>
          <w:sz w:val="18"/>
        </w:rPr>
        <w:t xml:space="preserve">f courts to question </w:t>
      </w:r>
      <w:proofErr w:type="gramStart"/>
      <w:r w:rsidR="005A34B6">
        <w:rPr>
          <w:rFonts w:ascii="Times" w:eastAsia="Times" w:hAnsi="Times" w:cs="Times"/>
          <w:color w:val="000000"/>
          <w:sz w:val="18"/>
        </w:rPr>
        <w:t>the  </w:t>
      </w:r>
      <w:r>
        <w:rPr>
          <w:rFonts w:ascii="Times" w:eastAsia="Times" w:hAnsi="Times" w:cs="Times"/>
          <w:color w:val="000000"/>
          <w:sz w:val="18"/>
        </w:rPr>
        <w:t>policy</w:t>
      </w:r>
      <w:proofErr w:type="gramEnd"/>
      <w:r>
        <w:rPr>
          <w:rFonts w:ascii="Times" w:eastAsia="Times" w:hAnsi="Times" w:cs="Times"/>
          <w:color w:val="000000"/>
          <w:sz w:val="18"/>
        </w:rPr>
        <w:t xml:space="preserve"> or wisdom of an otherwise valid law. Rather, [I] must take and apply the law as [I] find it, leaving any desirable changes to the General Assembly." </w:t>
      </w:r>
      <w:bookmarkStart w:id="303" w:name="Bookmark_I590TCN628T43G0050000400"/>
      <w:bookmarkEnd w:id="303"/>
    </w:p>
  </w:footnote>
  <w:footnote w:id="40">
    <w:p w14:paraId="70E5241E" w14:textId="77777777" w:rsidR="00E53B66" w:rsidRDefault="00E53B66">
      <w:pPr>
        <w:pStyle w:val="Normal1"/>
        <w:spacing w:before="120" w:line="240" w:lineRule="atLeast"/>
        <w:jc w:val="both"/>
      </w:pPr>
      <w:r>
        <w:rPr>
          <w:rFonts w:ascii="Times" w:eastAsia="Times" w:hAnsi="Times" w:cs="Times"/>
          <w:color w:val="000000"/>
          <w:sz w:val="18"/>
          <w:vertAlign w:val="superscript"/>
        </w:rPr>
        <w:t>122 </w:t>
      </w:r>
      <w:bookmarkStart w:id="313" w:name="Bookmark_fnpara_122"/>
      <w:bookmarkEnd w:id="313"/>
      <w:r>
        <w:rPr>
          <w:rFonts w:ascii="Times" w:eastAsia="Times" w:hAnsi="Times" w:cs="Times"/>
          <w:color w:val="000000"/>
          <w:sz w:val="18"/>
        </w:rPr>
        <w:t xml:space="preserve">In calculating </w:t>
      </w:r>
      <w:proofErr w:type="spellStart"/>
      <w:r>
        <w:rPr>
          <w:rFonts w:ascii="Times" w:eastAsia="Times" w:hAnsi="Times" w:cs="Times"/>
          <w:color w:val="000000"/>
          <w:sz w:val="18"/>
        </w:rPr>
        <w:t>Cogent's</w:t>
      </w:r>
      <w:proofErr w:type="spellEnd"/>
      <w:r>
        <w:rPr>
          <w:rFonts w:ascii="Times" w:eastAsia="Times" w:hAnsi="Times" w:cs="Times"/>
          <w:color w:val="000000"/>
          <w:sz w:val="18"/>
        </w:rPr>
        <w:t xml:space="preserve"> fourth quarter cash flows, Bailey "subtract[</w:t>
      </w:r>
      <w:proofErr w:type="spellStart"/>
      <w:r>
        <w:rPr>
          <w:rFonts w:ascii="Times" w:eastAsia="Times" w:hAnsi="Times" w:cs="Times"/>
          <w:color w:val="000000"/>
          <w:sz w:val="18"/>
        </w:rPr>
        <w:t>ed</w:t>
      </w:r>
      <w:proofErr w:type="spellEnd"/>
      <w:r>
        <w:rPr>
          <w:rFonts w:ascii="Times" w:eastAsia="Times" w:hAnsi="Times" w:cs="Times"/>
          <w:color w:val="000000"/>
          <w:sz w:val="18"/>
        </w:rPr>
        <w:t xml:space="preserve">] </w:t>
      </w:r>
      <w:proofErr w:type="spellStart"/>
      <w:r>
        <w:rPr>
          <w:rFonts w:ascii="Times" w:eastAsia="Times" w:hAnsi="Times" w:cs="Times"/>
          <w:color w:val="000000"/>
          <w:sz w:val="18"/>
        </w:rPr>
        <w:t>Cogent's</w:t>
      </w:r>
      <w:proofErr w:type="spellEnd"/>
      <w:r>
        <w:rPr>
          <w:rFonts w:ascii="Times" w:eastAsia="Times" w:hAnsi="Times" w:cs="Times"/>
          <w:color w:val="000000"/>
          <w:sz w:val="18"/>
        </w:rPr>
        <w:t xml:space="preserve"> year-to-date financial metrics from its 2010 projections to arrive at its 2010 cash flows for the valuation model." JX 2 at 63.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50569" w14:textId="77777777" w:rsidR="00E53B66" w:rsidRDefault="00E53B66">
    <w:pPr>
      <w:pStyle w:val="Normal1"/>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53B66" w14:paraId="54795B23" w14:textId="77777777">
      <w:trPr>
        <w:jc w:val="center"/>
      </w:trPr>
      <w:tc>
        <w:tcPr>
          <w:tcW w:w="10080" w:type="dxa"/>
          <w:vAlign w:val="center"/>
        </w:tcPr>
        <w:p w14:paraId="4E956610" w14:textId="77777777" w:rsidR="00E53B66" w:rsidRDefault="00E53B66">
          <w:pPr>
            <w:pStyle w:val="Normal1"/>
          </w:pPr>
        </w:p>
      </w:tc>
    </w:tr>
    <w:tr w:rsidR="00E53B66" w14:paraId="73824450" w14:textId="77777777">
      <w:trPr>
        <w:jc w:val="center"/>
      </w:trPr>
      <w:tc>
        <w:tcPr>
          <w:tcW w:w="10080" w:type="dxa"/>
        </w:tcPr>
        <w:p w14:paraId="4EAA3A10" w14:textId="77777777" w:rsidR="00E53B66" w:rsidRDefault="00E53B66">
          <w:pPr>
            <w:pStyle w:val="Normal1"/>
            <w:spacing w:before="60" w:after="200"/>
            <w:jc w:val="center"/>
          </w:pPr>
          <w:r>
            <w:rPr>
              <w:rFonts w:ascii="Times" w:eastAsia="Times" w:hAnsi="Times" w:cs="Times"/>
              <w:sz w:val="20"/>
            </w:rPr>
            <w:t>Merion Capital, L.P. v. 3M Cogent, Inc.</w:t>
          </w:r>
        </w:p>
      </w:tc>
    </w:tr>
  </w:tbl>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42EAB" w14:textId="77777777" w:rsidR="00E53B66" w:rsidRDefault="00E53B66">
    <w:pPr>
      <w:pStyle w:val="Normal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space"/>
      <w:lvlText w:val="%1."/>
      <w:lvlJc w:val="left"/>
      <w:pPr>
        <w:tabs>
          <w:tab w:val="num" w:pos="720"/>
        </w:tabs>
        <w:ind w:left="300" w:firstLine="60"/>
      </w:pPr>
      <w:rPr>
        <w:rFonts w:ascii="Arial" w:eastAsia="Arial" w:hAnsi="Arial" w:cs="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AE"/>
    <w:rsid w:val="000132AD"/>
    <w:rsid w:val="00015274"/>
    <w:rsid w:val="00084623"/>
    <w:rsid w:val="00094E0D"/>
    <w:rsid w:val="001B53C4"/>
    <w:rsid w:val="001B5D5F"/>
    <w:rsid w:val="001E1EAB"/>
    <w:rsid w:val="002705C9"/>
    <w:rsid w:val="0029046B"/>
    <w:rsid w:val="002B4DA6"/>
    <w:rsid w:val="002F5609"/>
    <w:rsid w:val="00301781"/>
    <w:rsid w:val="00302C29"/>
    <w:rsid w:val="00303AAE"/>
    <w:rsid w:val="003F43D3"/>
    <w:rsid w:val="0041361D"/>
    <w:rsid w:val="00417ECB"/>
    <w:rsid w:val="00424D63"/>
    <w:rsid w:val="004336D8"/>
    <w:rsid w:val="0045170D"/>
    <w:rsid w:val="0049355A"/>
    <w:rsid w:val="004973AB"/>
    <w:rsid w:val="004D2052"/>
    <w:rsid w:val="004D44C3"/>
    <w:rsid w:val="004D7DB9"/>
    <w:rsid w:val="005A34B6"/>
    <w:rsid w:val="005F415B"/>
    <w:rsid w:val="00683EB4"/>
    <w:rsid w:val="006C7CB0"/>
    <w:rsid w:val="006E6164"/>
    <w:rsid w:val="00715A0B"/>
    <w:rsid w:val="0076781B"/>
    <w:rsid w:val="00790F92"/>
    <w:rsid w:val="007A7FFB"/>
    <w:rsid w:val="007C1F65"/>
    <w:rsid w:val="007C4CA3"/>
    <w:rsid w:val="007C65C5"/>
    <w:rsid w:val="008B66EA"/>
    <w:rsid w:val="008B78EF"/>
    <w:rsid w:val="008C2A4F"/>
    <w:rsid w:val="00963A44"/>
    <w:rsid w:val="009A051E"/>
    <w:rsid w:val="009C0C44"/>
    <w:rsid w:val="00A2248C"/>
    <w:rsid w:val="00AC2C5B"/>
    <w:rsid w:val="00AE1279"/>
    <w:rsid w:val="00B1009E"/>
    <w:rsid w:val="00B5797C"/>
    <w:rsid w:val="00B83DCC"/>
    <w:rsid w:val="00BD4C0C"/>
    <w:rsid w:val="00BE7437"/>
    <w:rsid w:val="00BF0859"/>
    <w:rsid w:val="00BF6013"/>
    <w:rsid w:val="00C262A4"/>
    <w:rsid w:val="00C3344F"/>
    <w:rsid w:val="00C33930"/>
    <w:rsid w:val="00C91CE2"/>
    <w:rsid w:val="00CD7FEB"/>
    <w:rsid w:val="00CF6F74"/>
    <w:rsid w:val="00D328CC"/>
    <w:rsid w:val="00E01255"/>
    <w:rsid w:val="00E53B66"/>
    <w:rsid w:val="00EA0CCD"/>
    <w:rsid w:val="00F01A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DDF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1"/>
    <w:next w:val="Normal1"/>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styleId="Footer">
    <w:name w:val="footer"/>
    <w:basedOn w:val="Normal"/>
    <w:link w:val="FooterChar"/>
    <w:semiHidden/>
    <w:unhideWhenUsed/>
    <w:rsid w:val="00B83DCC"/>
    <w:pPr>
      <w:tabs>
        <w:tab w:val="center" w:pos="4680"/>
        <w:tab w:val="right" w:pos="9360"/>
      </w:tabs>
    </w:pPr>
  </w:style>
  <w:style w:type="character" w:customStyle="1" w:styleId="FooterChar">
    <w:name w:val="Footer Char"/>
    <w:basedOn w:val="DefaultParagraphFont"/>
    <w:link w:val="Footer"/>
    <w:semiHidden/>
    <w:rsid w:val="00B83DCC"/>
    <w:rPr>
      <w:sz w:val="24"/>
      <w:szCs w:val="24"/>
    </w:rPr>
  </w:style>
  <w:style w:type="character" w:styleId="PageNumber">
    <w:name w:val="page number"/>
    <w:basedOn w:val="DefaultParagraphFont"/>
    <w:semiHidden/>
    <w:unhideWhenUsed/>
    <w:rsid w:val="00B83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s://advance.lexis.com/api/document?collection=statutes-legislation&amp;id=urn:contentItem:5P5G-8BC0-004D-44H8-00000-00&amp;context=" TargetMode="External"/><Relationship Id="rId21" Type="http://schemas.openxmlformats.org/officeDocument/2006/relationships/image" Target="media/image1.png"/><Relationship Id="rId22" Type="http://schemas.openxmlformats.org/officeDocument/2006/relationships/hyperlink" Target="https://advance.lexis.com/api/document?collection=statutes-legislation&amp;id=urn:contentItem:5P5G-8BC0-004D-44H8-00000-00&amp;context=" TargetMode="External"/><Relationship Id="rId23" Type="http://schemas.openxmlformats.org/officeDocument/2006/relationships/hyperlink" Target="https://advance.lexis.com/api/document?collection=statutes-legislation&amp;id=urn:contentItem:5P5G-8BC0-004D-44H8-00000-00&amp;context=" TargetMode="External"/><Relationship Id="rId24" Type="http://schemas.openxmlformats.org/officeDocument/2006/relationships/hyperlink" Target="https://advance.lexis.com/api/document?collection=statutes-legislation&amp;id=urn:contentItem:5P5G-8BC0-004D-44H8-00000-00&amp;context=" TargetMode="External"/><Relationship Id="rId25" Type="http://schemas.openxmlformats.org/officeDocument/2006/relationships/hyperlink" Target="https://advance.lexis.com/api/document?collection=statutes-legislation&amp;id=urn:contentItem:5P5G-8BC0-004D-44H8-00000-00&amp;contex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advance.lexis.com/api/document?collection=statutes-legislation&amp;id=urn:contentItem:5P5G-8BC0-004D-44H8-00000-00&amp;context=" TargetMode="External"/><Relationship Id="rId15" Type="http://schemas.openxmlformats.org/officeDocument/2006/relationships/hyperlink" Target="https://advance.lexis.com/api/document?collection=statutes-legislation&amp;id=urn:contentItem:5P5G-8BC0-004D-44H8-00000-00&amp;context=" TargetMode="External"/><Relationship Id="rId16" Type="http://schemas.openxmlformats.org/officeDocument/2006/relationships/hyperlink" Target="https://advance.lexis.com/api/document?collection=statutes-legislation&amp;id=urn:contentItem:5P5G-8BC0-004D-44H8-00000-00&amp;context=" TargetMode="External"/><Relationship Id="rId17" Type="http://schemas.openxmlformats.org/officeDocument/2006/relationships/hyperlink" Target="https://advance.lexis.com/api/document?collection=statutes-legislation&amp;id=urn:contentItem:5P5G-8BC0-004D-44G7-00000-00&amp;context=" TargetMode="External"/><Relationship Id="rId18" Type="http://schemas.openxmlformats.org/officeDocument/2006/relationships/hyperlink" Target="https://advance.lexis.com/api/document?collection=statutes-legislation&amp;id=urn:contentItem:5P5G-8BC0-004D-44G7-00000-00&amp;context=" TargetMode="External"/><Relationship Id="rId19" Type="http://schemas.openxmlformats.org/officeDocument/2006/relationships/hyperlink" Target="https://advance.lexis.com/api/document?collection=statutes-legislation&amp;id=urn:contentItem:5P5G-8BC0-004D-44G7-00000-00&amp;conte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advance.lexis.com/api/document?collection=cases&amp;id=urn:contentItem:4864-KNN0-0039-4527-00000-00&amp;context=" TargetMode="External"/><Relationship Id="rId4" Type="http://schemas.openxmlformats.org/officeDocument/2006/relationships/hyperlink" Target="https://advance.lexis.com/api/document?collection=cases&amp;id=urn:contentItem:3XNS-65V0-0039-43FY-00000-00&amp;context=" TargetMode="External"/><Relationship Id="rId5" Type="http://schemas.openxmlformats.org/officeDocument/2006/relationships/hyperlink" Target="https://advance.lexis.com/api/document?collection=cases&amp;id=urn:contentItem:4KTP-8WM0-TVSY-W23Y-00000-00&amp;context=" TargetMode="External"/><Relationship Id="rId6" Type="http://schemas.openxmlformats.org/officeDocument/2006/relationships/hyperlink" Target="https://advance.lexis.com/api/document?collection=cases&amp;id=urn:contentItem:3S0J-46G0-0039-448P-00000-00&amp;context=" TargetMode="External"/><Relationship Id="rId7" Type="http://schemas.openxmlformats.org/officeDocument/2006/relationships/hyperlink" Target="https://advance.lexis.com/api/document?collection=cases&amp;id=urn:contentItem:3RRT-8WM0-003C-K3PF-00000-00&amp;context=" TargetMode="External"/><Relationship Id="rId8" Type="http://schemas.openxmlformats.org/officeDocument/2006/relationships/hyperlink" Target="https://advance.lexis.com/api/document?collection=cases&amp;id=urn:contentItem:566K-RKF1-F04C-G05Y-00000-00&amp;context=" TargetMode="External"/><Relationship Id="rId9" Type="http://schemas.openxmlformats.org/officeDocument/2006/relationships/hyperlink" Target="http://aswathdamodaran.blogspot.com/2011/06/from-revenues-to-earnings-operating.html" TargetMode="External"/><Relationship Id="rId10" Type="http://schemas.openxmlformats.org/officeDocument/2006/relationships/hyperlink" Target="https://advance.lexis.com/api/document?collection=cases&amp;id=urn:contentItem:7YD7-2C30-YB0M-B002-00000-00&amp;context=" TargetMode="External"/><Relationship Id="rId11" Type="http://schemas.openxmlformats.org/officeDocument/2006/relationships/hyperlink" Target="https://advance.lexis.com/api/document?collection=cases&amp;id=urn:contentItem:566K-RKF1-F04C-G05Y-00000-00&amp;context=" TargetMode="External"/><Relationship Id="rId1" Type="http://schemas.openxmlformats.org/officeDocument/2006/relationships/hyperlink" Target="https://advance.lexis.com/api/document?collection=cases&amp;id=urn:contentItem:4FB2-2S10-0039-40WW-00000-00&amp;context=" TargetMode="External"/><Relationship Id="rId2" Type="http://schemas.openxmlformats.org/officeDocument/2006/relationships/hyperlink" Target="https://advance.lexis.com/api/document?collection=cases&amp;id=urn:contentItem:4BR4-3060-0039-41TY-00000-00&am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7609A7-E7D9-E64A-90EE-ED1AF864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9902</Words>
  <Characters>56447</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Merion Capital, L.P. v. 3M Cogent, Inc.</vt:lpstr>
    </vt:vector>
  </TitlesOfParts>
  <Company/>
  <LinksUpToDate>false</LinksUpToDate>
  <CharactersWithSpaces>66217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Merion Capital, L.P. v. 3M Cogent, Inc.</dc:title>
  <cp:lastModifiedBy>Jeff Colon</cp:lastModifiedBy>
  <cp:revision>2</cp:revision>
  <dcterms:created xsi:type="dcterms:W3CDTF">2017-08-09T21:54:00Z</dcterms:created>
  <dcterms:modified xsi:type="dcterms:W3CDTF">2017-08-09T21:54:00Z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ocCount">
    <vt:i4>2</vt:i4>
  </property>
  <property fmtid="{D5CDD505-2E9C-101B-9397-08002B2CF9AE}" pid="3" name="LADocumentID:urn:contentItem:58VB-R341-F04C-G01H-00000-00">
    <vt:lpwstr>Doc::/shared/document|contextualFeaturePermID::1000516</vt:lpwstr>
  </property>
</Properties>
</file>