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A82" w:rsidRDefault="003E7A82">
      <w:pPr>
        <w:widowControl w:val="0"/>
        <w:autoSpaceDE w:val="0"/>
        <w:autoSpaceDN w:val="0"/>
        <w:adjustRightInd w:val="0"/>
        <w:jc w:val="center"/>
        <w:rPr>
          <w:rFonts w:ascii="Georgia" w:hAnsi="Georgia" w:cs="Georgia"/>
          <w:color w:val="000000"/>
        </w:rPr>
      </w:pPr>
      <w:r>
        <w:rPr>
          <w:rFonts w:ascii="Georgia" w:hAnsi="Georgia" w:cs="Georgia"/>
          <w:color w:val="000000"/>
        </w:rPr>
        <w:t xml:space="preserve">716 </w:t>
      </w:r>
      <w:proofErr w:type="spellStart"/>
      <w:r>
        <w:rPr>
          <w:rFonts w:ascii="Georgia" w:hAnsi="Georgia" w:cs="Georgia"/>
          <w:color w:val="000000"/>
        </w:rPr>
        <w:t>F.Supp</w:t>
      </w:r>
      <w:proofErr w:type="spellEnd"/>
      <w:r>
        <w:rPr>
          <w:rFonts w:ascii="Georgia" w:hAnsi="Georgia" w:cs="Georgia"/>
          <w:color w:val="000000"/>
        </w:rPr>
        <w:t>. 1504</w:t>
      </w:r>
    </w:p>
    <w:p w:rsidR="003E7A82" w:rsidRDefault="003E7A82">
      <w:pPr>
        <w:widowControl w:val="0"/>
        <w:autoSpaceDE w:val="0"/>
        <w:autoSpaceDN w:val="0"/>
        <w:adjustRightInd w:val="0"/>
        <w:jc w:val="center"/>
        <w:rPr>
          <w:rFonts w:ascii="Georgia" w:hAnsi="Georgia" w:cs="Georgia"/>
          <w:color w:val="000000"/>
        </w:rPr>
      </w:pPr>
      <w:r>
        <w:rPr>
          <w:rFonts w:ascii="Georgia" w:hAnsi="Georgia" w:cs="Georgia"/>
          <w:color w:val="000000"/>
        </w:rPr>
        <w:t>United States District Court,</w:t>
      </w:r>
    </w:p>
    <w:p w:rsidR="003E7A82" w:rsidRDefault="003E7A82">
      <w:pPr>
        <w:widowControl w:val="0"/>
        <w:autoSpaceDE w:val="0"/>
        <w:autoSpaceDN w:val="0"/>
        <w:adjustRightInd w:val="0"/>
        <w:jc w:val="center"/>
        <w:rPr>
          <w:rFonts w:ascii="Georgia" w:hAnsi="Georgia" w:cs="Georgia"/>
          <w:color w:val="000000"/>
        </w:rPr>
      </w:pPr>
      <w:r>
        <w:rPr>
          <w:rFonts w:ascii="Georgia" w:hAnsi="Georgia" w:cs="Georgia"/>
          <w:color w:val="000000"/>
        </w:rPr>
        <w:t>S.D. New York.</w:t>
      </w:r>
    </w:p>
    <w:p w:rsidR="003E7A82" w:rsidRDefault="003E7A82">
      <w:pPr>
        <w:widowControl w:val="0"/>
        <w:autoSpaceDE w:val="0"/>
        <w:autoSpaceDN w:val="0"/>
        <w:adjustRightInd w:val="0"/>
        <w:spacing w:before="200"/>
        <w:ind w:left="100" w:right="100"/>
        <w:jc w:val="center"/>
        <w:rPr>
          <w:rFonts w:ascii="Georgia" w:hAnsi="Georgia" w:cs="Georgia"/>
          <w:color w:val="252525"/>
        </w:rPr>
      </w:pPr>
      <w:r>
        <w:rPr>
          <w:rFonts w:ascii="Georgia" w:hAnsi="Georgia" w:cs="Georgia"/>
          <w:color w:val="252525"/>
        </w:rPr>
        <w:t xml:space="preserve">METROPOLITAN LIFE INSURANCE COMPANY </w:t>
      </w:r>
    </w:p>
    <w:p w:rsidR="003E7A82" w:rsidRDefault="003E7A82">
      <w:pPr>
        <w:widowControl w:val="0"/>
        <w:autoSpaceDE w:val="0"/>
        <w:autoSpaceDN w:val="0"/>
        <w:adjustRightInd w:val="0"/>
        <w:ind w:left="100" w:right="100"/>
        <w:jc w:val="center"/>
        <w:rPr>
          <w:rFonts w:ascii="Georgia" w:hAnsi="Georgia" w:cs="Georgia"/>
          <w:color w:val="252525"/>
        </w:rPr>
      </w:pPr>
      <w:proofErr w:type="gramStart"/>
      <w:r>
        <w:rPr>
          <w:rFonts w:ascii="Georgia" w:hAnsi="Georgia" w:cs="Georgia"/>
          <w:color w:val="252525"/>
        </w:rPr>
        <w:t>v</w:t>
      </w:r>
      <w:proofErr w:type="gramEnd"/>
      <w:r>
        <w:rPr>
          <w:rFonts w:ascii="Georgia" w:hAnsi="Georgia" w:cs="Georgia"/>
          <w:color w:val="252525"/>
        </w:rPr>
        <w:t>.</w:t>
      </w:r>
    </w:p>
    <w:p w:rsidR="003E7A82" w:rsidRDefault="003E7A82">
      <w:pPr>
        <w:widowControl w:val="0"/>
        <w:autoSpaceDE w:val="0"/>
        <w:autoSpaceDN w:val="0"/>
        <w:adjustRightInd w:val="0"/>
        <w:spacing w:after="200"/>
        <w:ind w:left="100" w:right="100"/>
        <w:jc w:val="center"/>
        <w:rPr>
          <w:rFonts w:ascii="Georgia" w:hAnsi="Georgia" w:cs="Georgia"/>
          <w:color w:val="252525"/>
        </w:rPr>
      </w:pPr>
      <w:r>
        <w:rPr>
          <w:rFonts w:ascii="Georgia" w:hAnsi="Georgia" w:cs="Georgia"/>
          <w:color w:val="252525"/>
        </w:rPr>
        <w:t xml:space="preserve">RJR NABISCO, INC. </w:t>
      </w:r>
    </w:p>
    <w:p w:rsidR="003E7A82" w:rsidRDefault="003E7A82" w:rsidP="003E7A82">
      <w:pPr>
        <w:widowControl w:val="0"/>
        <w:autoSpaceDE w:val="0"/>
        <w:autoSpaceDN w:val="0"/>
        <w:adjustRightInd w:val="0"/>
        <w:spacing w:after="200"/>
        <w:ind w:left="200"/>
        <w:jc w:val="center"/>
        <w:rPr>
          <w:rFonts w:ascii="Georgia" w:hAnsi="Georgia" w:cs="Georgia"/>
          <w:color w:val="000000"/>
        </w:rPr>
      </w:pPr>
      <w:r>
        <w:rPr>
          <w:rFonts w:ascii="Georgia" w:hAnsi="Georgia" w:cs="Georgia"/>
          <w:color w:val="000000"/>
        </w:rPr>
        <w:t>June 1, 1989.</w:t>
      </w:r>
      <w:bookmarkStart w:id="0" w:name="co_opinion_1"/>
      <w:bookmarkStart w:id="1" w:name="co_anchor_Ie5a7c1f9414511e08b05fdf15589d"/>
      <w:bookmarkEnd w:id="0"/>
      <w:bookmarkEnd w:id="1"/>
    </w:p>
    <w:p w:rsidR="003E7A82" w:rsidRDefault="003E7A82" w:rsidP="003E7A82">
      <w:pPr>
        <w:widowControl w:val="0"/>
        <w:autoSpaceDE w:val="0"/>
        <w:autoSpaceDN w:val="0"/>
        <w:adjustRightInd w:val="0"/>
        <w:spacing w:after="200"/>
        <w:ind w:left="200"/>
        <w:jc w:val="center"/>
        <w:rPr>
          <w:rFonts w:ascii="Georgia" w:hAnsi="Georgia" w:cs="Georgia"/>
          <w:color w:val="000000"/>
        </w:rPr>
      </w:pPr>
    </w:p>
    <w:p w:rsidR="003E7A82" w:rsidRPr="003E7A82" w:rsidRDefault="003E7A82" w:rsidP="003E7A82">
      <w:pPr>
        <w:widowControl w:val="0"/>
        <w:autoSpaceDE w:val="0"/>
        <w:autoSpaceDN w:val="0"/>
        <w:adjustRightInd w:val="0"/>
        <w:spacing w:after="200"/>
        <w:ind w:left="200"/>
        <w:jc w:val="center"/>
        <w:rPr>
          <w:rFonts w:ascii="Georgia" w:hAnsi="Georgia" w:cs="Georgia"/>
          <w:color w:val="000000"/>
        </w:rPr>
      </w:pPr>
      <w:r>
        <w:rPr>
          <w:i/>
          <w:iCs/>
          <w:color w:val="000000"/>
        </w:rPr>
        <w:t>OPINION AND ORDER</w:t>
      </w:r>
    </w:p>
    <w:p w:rsidR="003E7A82" w:rsidRDefault="003E7A82" w:rsidP="003E7A82">
      <w:pPr>
        <w:widowControl w:val="0"/>
        <w:autoSpaceDE w:val="0"/>
        <w:autoSpaceDN w:val="0"/>
        <w:adjustRightInd w:val="0"/>
        <w:spacing w:before="200" w:after="200"/>
        <w:jc w:val="both"/>
        <w:rPr>
          <w:color w:val="000000"/>
        </w:rPr>
      </w:pPr>
      <w:r>
        <w:rPr>
          <w:color w:val="000000"/>
        </w:rPr>
        <w:t>WALKER, District Judge:</w:t>
      </w:r>
      <w:bookmarkStart w:id="2" w:name="co_anchor_Ie5a7c1fa414511e08b05fdf15589d"/>
      <w:bookmarkEnd w:id="2"/>
    </w:p>
    <w:p w:rsidR="003E7A82" w:rsidRDefault="003E7A82" w:rsidP="003E7A82">
      <w:pPr>
        <w:widowControl w:val="0"/>
        <w:autoSpaceDE w:val="0"/>
        <w:autoSpaceDN w:val="0"/>
        <w:adjustRightInd w:val="0"/>
        <w:spacing w:before="200" w:after="200"/>
        <w:jc w:val="center"/>
        <w:rPr>
          <w:color w:val="000000"/>
        </w:rPr>
      </w:pPr>
      <w:r>
        <w:rPr>
          <w:color w:val="000000"/>
        </w:rPr>
        <w:t>I. INTRODUCTION</w:t>
      </w:r>
    </w:p>
    <w:p w:rsidR="003E7A82" w:rsidRDefault="003E7A82">
      <w:pPr>
        <w:widowControl w:val="0"/>
        <w:autoSpaceDE w:val="0"/>
        <w:autoSpaceDN w:val="0"/>
        <w:adjustRightInd w:val="0"/>
        <w:jc w:val="both"/>
        <w:rPr>
          <w:color w:val="000000"/>
        </w:rPr>
      </w:pPr>
      <w:r>
        <w:rPr>
          <w:color w:val="000000"/>
        </w:rPr>
        <w:t>The corporate parties to this action are among the country’s most sophisticated financial institutions, as familiar with the Wall Street investment community and the securities market as American consumers are with the Oreo cookies and Winston cigarettes made by defendant RJR Nabisco, Inc. (sometimes “the company” or “RJR Nabisco”). The present action traces its origins to October 20, 1988, when F. Ross Johnson, then the Chief Executive Officer of RJR Nabisco, proposed a $17 billion leveraged buy-out (“LBO”) of the company’s shareholders, at $75 per share.</w:t>
      </w:r>
      <w:bookmarkStart w:id="3" w:name="co_footnoteReference_B00111989106940_ID0"/>
      <w:bookmarkEnd w:id="3"/>
      <w:r>
        <w:rPr>
          <w:color w:val="000000"/>
          <w:sz w:val="16"/>
          <w:szCs w:val="16"/>
        </w:rPr>
        <w:fldChar w:fldCharType="begin"/>
      </w:r>
      <w:r>
        <w:rPr>
          <w:color w:val="000000"/>
          <w:sz w:val="16"/>
          <w:szCs w:val="16"/>
        </w:rPr>
        <w:instrText xml:space="preserve">HYPERLINK "#co_footnote_B00111989106940_1" </w:instrText>
      </w:r>
      <w:r>
        <w:rPr>
          <w:color w:val="000000"/>
          <w:sz w:val="16"/>
          <w:szCs w:val="16"/>
        </w:rPr>
      </w:r>
      <w:r>
        <w:rPr>
          <w:color w:val="000000"/>
          <w:sz w:val="16"/>
          <w:szCs w:val="16"/>
        </w:rPr>
        <w:fldChar w:fldCharType="separate"/>
      </w:r>
      <w:r>
        <w:rPr>
          <w:color w:val="000000"/>
          <w:sz w:val="16"/>
          <w:szCs w:val="16"/>
          <w:vertAlign w:val="superscript"/>
        </w:rPr>
        <w:t>1</w:t>
      </w:r>
      <w:r>
        <w:rPr>
          <w:color w:val="000000"/>
          <w:sz w:val="16"/>
          <w:szCs w:val="16"/>
        </w:rPr>
        <w:fldChar w:fldCharType="end"/>
      </w:r>
      <w:r>
        <w:rPr>
          <w:color w:val="000000"/>
        </w:rPr>
        <w:t xml:space="preserve"> Within a few days, a bidding war developed among the investment group led by Johnson and the investment firm of Kohlberg Kravis Roberts &amp; Co. (“KKR”), and others. On December 1, 1988, a special committee of RJR Nabisco directors, established by the company specifically to consider the competing proposals, recommended that the company accept the KKR proposal, a $24 billion LBO that called for the purchase of the company’s outstanding stock at roughly $109 per share.</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 xml:space="preserve">The </w:t>
      </w:r>
      <w:bookmarkStart w:id="4" w:name="co_pp_sp_345_1506_1"/>
      <w:bookmarkEnd w:id="4"/>
      <w:r>
        <w:rPr>
          <w:color w:val="000000"/>
        </w:rPr>
        <w:t>Court agreed to hear the present action-filed even before the company accepted the KKR proposal-on an expedited basis, with an eye toward March 1, 1989, when RJR Nabisco was expected to merge with the KKR holding entities created to facilitate the LBO. On that date, RJR Nabisco was also scheduled to assume roughly $19 billion of new debt.</w:t>
      </w:r>
      <w:bookmarkStart w:id="5" w:name="co_footnoteReference_B00331989106940_ID0"/>
      <w:bookmarkEnd w:id="5"/>
      <w:r>
        <w:rPr>
          <w:color w:val="000000"/>
          <w:sz w:val="16"/>
          <w:szCs w:val="16"/>
        </w:rPr>
        <w:fldChar w:fldCharType="begin"/>
      </w:r>
      <w:r>
        <w:rPr>
          <w:color w:val="000000"/>
          <w:sz w:val="16"/>
          <w:szCs w:val="16"/>
        </w:rPr>
        <w:instrText xml:space="preserve">HYPERLINK "#co_footnote_B00331989106940_1" </w:instrText>
      </w:r>
      <w:r>
        <w:rPr>
          <w:color w:val="000000"/>
          <w:sz w:val="16"/>
          <w:szCs w:val="16"/>
        </w:rPr>
      </w:r>
      <w:r>
        <w:rPr>
          <w:color w:val="000000"/>
          <w:sz w:val="16"/>
          <w:szCs w:val="16"/>
        </w:rPr>
        <w:fldChar w:fldCharType="separate"/>
      </w:r>
      <w:r>
        <w:rPr>
          <w:color w:val="000000"/>
          <w:sz w:val="16"/>
          <w:szCs w:val="16"/>
          <w:vertAlign w:val="superscript"/>
        </w:rPr>
        <w:t>3</w:t>
      </w:r>
      <w:r>
        <w:rPr>
          <w:color w:val="000000"/>
          <w:sz w:val="16"/>
          <w:szCs w:val="16"/>
        </w:rPr>
        <w:fldChar w:fldCharType="end"/>
      </w:r>
      <w:r>
        <w:rPr>
          <w:color w:val="000000"/>
        </w:rPr>
        <w:t xml:space="preserve"> After a delay unrelated to the present action, the merger was ultimately completed during the week of April 24, 1989.</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sz w:val="16"/>
          <w:szCs w:val="16"/>
        </w:rPr>
      </w:pPr>
      <w:r>
        <w:rPr>
          <w:color w:val="000000"/>
        </w:rPr>
        <w:t xml:space="preserve">Plaintiffs now allege, in short, that RJR Nabisco’s actions have drastically impaired the value of bonds previously issued to plaintiffs by, in effect, misappropriating the value of those bonds to help finance the LBO and to distribute an enormous windfall to the company’s shareholders. As a result, plaintiffs argue, they have unfairly suffered a </w:t>
      </w:r>
      <w:proofErr w:type="gramStart"/>
      <w:r>
        <w:rPr>
          <w:color w:val="000000"/>
        </w:rPr>
        <w:t>multimillion dollar</w:t>
      </w:r>
      <w:proofErr w:type="gramEnd"/>
      <w:r>
        <w:rPr>
          <w:color w:val="000000"/>
        </w:rPr>
        <w:t xml:space="preserve"> loss in the value of their bonds.</w:t>
      </w:r>
      <w:bookmarkStart w:id="6" w:name="co_footnoteReference_B00441989106940_ID0"/>
      <w:bookmarkEnd w:id="6"/>
      <w:r>
        <w:rPr>
          <w:color w:val="000000"/>
          <w:sz w:val="16"/>
          <w:szCs w:val="16"/>
        </w:rPr>
        <w:fldChar w:fldCharType="begin"/>
      </w:r>
      <w:r>
        <w:rPr>
          <w:color w:val="000000"/>
          <w:sz w:val="16"/>
          <w:szCs w:val="16"/>
        </w:rPr>
        <w:instrText xml:space="preserve">HYPERLINK "#co_footnote_B00441989106940_1" </w:instrText>
      </w:r>
      <w:r>
        <w:rPr>
          <w:color w:val="000000"/>
          <w:sz w:val="16"/>
          <w:szCs w:val="16"/>
        </w:rPr>
      </w:r>
      <w:r>
        <w:rPr>
          <w:color w:val="000000"/>
          <w:sz w:val="16"/>
          <w:szCs w:val="16"/>
        </w:rPr>
        <w:fldChar w:fldCharType="separate"/>
      </w:r>
      <w:r>
        <w:rPr>
          <w:color w:val="000000"/>
          <w:sz w:val="16"/>
          <w:szCs w:val="16"/>
          <w:vertAlign w:val="superscript"/>
        </w:rPr>
        <w:t>4</w:t>
      </w:r>
      <w:r>
        <w:rPr>
          <w:color w:val="000000"/>
          <w:sz w:val="16"/>
          <w:szCs w:val="16"/>
        </w:rPr>
        <w:fldChar w:fldCharType="end"/>
      </w:r>
    </w:p>
    <w:p w:rsidR="003E7A82" w:rsidRDefault="003E7A82">
      <w:pPr>
        <w:widowControl w:val="0"/>
        <w:autoSpaceDE w:val="0"/>
        <w:autoSpaceDN w:val="0"/>
        <w:adjustRightInd w:val="0"/>
        <w:jc w:val="both"/>
        <w:rPr>
          <w:color w:val="000000"/>
        </w:rPr>
      </w:pPr>
      <w:r>
        <w:rPr>
          <w:color w:val="000000"/>
        </w:rPr>
        <w:lastRenderedPageBreak/>
        <w:t> </w:t>
      </w:r>
    </w:p>
    <w:p w:rsidR="003E7A82" w:rsidRDefault="003E7A82">
      <w:pPr>
        <w:widowControl w:val="0"/>
        <w:autoSpaceDE w:val="0"/>
        <w:autoSpaceDN w:val="0"/>
        <w:adjustRightInd w:val="0"/>
        <w:jc w:val="both"/>
        <w:rPr>
          <w:color w:val="000000"/>
        </w:rPr>
      </w:pPr>
      <w:r>
        <w:rPr>
          <w:color w:val="000000"/>
        </w:rPr>
        <w:t>Although the numbers involved in this case are large, and the financing necessary to complete the LBO unprecedented,</w:t>
      </w:r>
      <w:bookmarkStart w:id="7" w:name="co_footnoteReference_B00881989106940_ID0"/>
      <w:bookmarkEnd w:id="7"/>
      <w:r>
        <w:rPr>
          <w:color w:val="000000"/>
          <w:sz w:val="16"/>
          <w:szCs w:val="16"/>
        </w:rPr>
        <w:fldChar w:fldCharType="begin"/>
      </w:r>
      <w:r>
        <w:rPr>
          <w:color w:val="000000"/>
          <w:sz w:val="16"/>
          <w:szCs w:val="16"/>
        </w:rPr>
        <w:instrText xml:space="preserve">HYPERLINK "#co_footnote_B00881989106940_1" </w:instrText>
      </w:r>
      <w:r>
        <w:rPr>
          <w:color w:val="000000"/>
          <w:sz w:val="16"/>
          <w:szCs w:val="16"/>
        </w:rPr>
      </w:r>
      <w:r>
        <w:rPr>
          <w:color w:val="000000"/>
          <w:sz w:val="16"/>
          <w:szCs w:val="16"/>
        </w:rPr>
        <w:fldChar w:fldCharType="separate"/>
      </w:r>
      <w:r>
        <w:rPr>
          <w:color w:val="000000"/>
          <w:sz w:val="16"/>
          <w:szCs w:val="16"/>
          <w:vertAlign w:val="superscript"/>
        </w:rPr>
        <w:t>8</w:t>
      </w:r>
      <w:r>
        <w:rPr>
          <w:color w:val="000000"/>
          <w:sz w:val="16"/>
          <w:szCs w:val="16"/>
        </w:rPr>
        <w:fldChar w:fldCharType="end"/>
      </w:r>
      <w:r>
        <w:rPr>
          <w:color w:val="000000"/>
        </w:rPr>
        <w:t xml:space="preserve"> the legal principles nonetheless remain discrete and familiar. Yet while the instant motions thus primarily require the Court to evaluate and apply traditional rules of equity and contract interpretation, plaintiffs do raise issues of first impression in the context of an LBO. At the heart of the present motions lies plaintiffs’ claim that RJR Nabisco violated a restrictive covenant-not an explicit covenant found within the four corners of the relevant bond indentures, but rather an </w:t>
      </w:r>
      <w:r>
        <w:rPr>
          <w:i/>
          <w:iCs/>
          <w:color w:val="000000"/>
        </w:rPr>
        <w:t>implied</w:t>
      </w:r>
      <w:r>
        <w:rPr>
          <w:color w:val="000000"/>
        </w:rPr>
        <w:t xml:space="preserve"> covenant of good faith and fair dealing-not to incur the debt necessary to facilitate the LBO and thereby betray what plaintiffs claim was the fundamental basis of their bargain with the company. The company, plaintiffs assert, consistently reassured its bondholders that it had a “mandate” from its Board of Directors to maintain RJR Nabisco’s preferred credit rating. Plaintiffs ask this Court first to imply a covenant of good faith and fair dealing that would prevent the recent transaction, then to hold that this covenant has been breached, and finally </w:t>
      </w:r>
      <w:bookmarkStart w:id="8" w:name="co_pp_sp_345_1508_1"/>
      <w:bookmarkEnd w:id="8"/>
      <w:r>
        <w:rPr>
          <w:color w:val="000000"/>
        </w:rPr>
        <w:t>to require RJR Nabisco to redeem their bonds.</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 xml:space="preserve">RJR Nabisco defends the LBO by pointing to express provisions in the bond indentures that, </w:t>
      </w:r>
      <w:r>
        <w:rPr>
          <w:i/>
          <w:iCs/>
          <w:color w:val="000000"/>
        </w:rPr>
        <w:t>inter alia,</w:t>
      </w:r>
      <w:r>
        <w:rPr>
          <w:color w:val="000000"/>
        </w:rPr>
        <w:t xml:space="preserve"> permit mergers and the assumption of additional debt. These provisions, as well as others that could have been included but were not, were known to the market and to plaintiffs, sophisticated investors who freely bought the bonds and were equally free to sell them at any time. Any attempt by this Court to create contractual terms </w:t>
      </w:r>
      <w:r>
        <w:rPr>
          <w:i/>
          <w:iCs/>
          <w:color w:val="000000"/>
        </w:rPr>
        <w:t>post hoc,</w:t>
      </w:r>
      <w:r>
        <w:rPr>
          <w:color w:val="000000"/>
        </w:rPr>
        <w:t xml:space="preserve"> defendants contend, not only finds no basis in the controlling law and undisputed facts of this case, but also would constitute an impermissible invasion into the free and open operation of the marketplace.</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For the reasons set forth below, this Court agrees with defendants. There being no express covenant between the parties that would restrict the incurrence of new debt, and no perceived direction to that end from covenants that are express, this Court will not imply a covenant to prevent the recent LBO and thereby create an indenture term that, while bargained for in other contexts, was not bargained for here and was not even within the mutual contemplation of the parties.</w:t>
      </w:r>
    </w:p>
    <w:p w:rsidR="003E7A82" w:rsidRDefault="003E7A82" w:rsidP="003E7A82">
      <w:pPr>
        <w:widowControl w:val="0"/>
        <w:autoSpaceDE w:val="0"/>
        <w:autoSpaceDN w:val="0"/>
        <w:adjustRightInd w:val="0"/>
        <w:jc w:val="both"/>
        <w:rPr>
          <w:color w:val="000000"/>
        </w:rPr>
      </w:pPr>
      <w:r>
        <w:rPr>
          <w:color w:val="000000"/>
        </w:rPr>
        <w:t> </w:t>
      </w:r>
      <w:bookmarkStart w:id="9" w:name="co_anchor_Ie5a7c1fb414511e08b05fdf15589d"/>
      <w:bookmarkEnd w:id="9"/>
    </w:p>
    <w:p w:rsidR="003E7A82" w:rsidRDefault="003E7A82" w:rsidP="003E7A82">
      <w:pPr>
        <w:widowControl w:val="0"/>
        <w:autoSpaceDE w:val="0"/>
        <w:autoSpaceDN w:val="0"/>
        <w:adjustRightInd w:val="0"/>
        <w:jc w:val="center"/>
        <w:rPr>
          <w:color w:val="000000"/>
        </w:rPr>
      </w:pPr>
      <w:r>
        <w:rPr>
          <w:color w:val="000000"/>
        </w:rPr>
        <w:t>II. BACKGROUN</w:t>
      </w:r>
      <w:bookmarkStart w:id="10" w:name="co_anchor_Ie5a7c1fc414511e08b05fdf15589d"/>
      <w:bookmarkEnd w:id="10"/>
      <w:r>
        <w:rPr>
          <w:color w:val="000000"/>
        </w:rPr>
        <w:t>D</w:t>
      </w:r>
    </w:p>
    <w:p w:rsidR="003E7A82" w:rsidRDefault="003E7A82">
      <w:pPr>
        <w:widowControl w:val="0"/>
        <w:autoSpaceDE w:val="0"/>
        <w:autoSpaceDN w:val="0"/>
        <w:adjustRightInd w:val="0"/>
        <w:spacing w:before="200"/>
        <w:jc w:val="center"/>
        <w:rPr>
          <w:i/>
          <w:iCs/>
          <w:color w:val="000000"/>
        </w:rPr>
      </w:pPr>
      <w:r>
        <w:rPr>
          <w:i/>
          <w:iCs/>
          <w:color w:val="000000"/>
        </w:rPr>
        <w:t>A. The Parties:</w:t>
      </w:r>
    </w:p>
    <w:p w:rsidR="003E7A82" w:rsidRDefault="003E7A82">
      <w:pPr>
        <w:widowControl w:val="0"/>
        <w:autoSpaceDE w:val="0"/>
        <w:autoSpaceDN w:val="0"/>
        <w:adjustRightInd w:val="0"/>
        <w:jc w:val="both"/>
        <w:rPr>
          <w:color w:val="000000"/>
        </w:rPr>
      </w:pPr>
      <w:r>
        <w:rPr>
          <w:color w:val="000000"/>
        </w:rPr>
        <w:t xml:space="preserve">Metropolitan Life Insurance Co. (“MetLife”), incorporated in New York, is a life insurance company that provides pension benefits for 42 million individuals. According to its most recent annual report, MetLife’s assets exceed $88 billion and its debt securities holdings exceed $49 billion. MetLife is a mutual company and </w:t>
      </w:r>
      <w:r>
        <w:rPr>
          <w:color w:val="000000"/>
        </w:rPr>
        <w:lastRenderedPageBreak/>
        <w:t xml:space="preserve">therefore has no stockholders and is instead operated for the benefit of its policyholders. MetLife alleges that it owns $340,542,000 in principal amount of six separate RJR Nabisco debt issues, bonds allegedly purchased between July 1975 and July 1988. Some bonds become due as early as this year; others will not become due until 2017. The bonds bear interest rates of anywhere from 8 to 10.25 percent. MetLife also owned 186,000 shares of RJR Nabisco common stock at the time this suit was filed. </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 xml:space="preserve">Jefferson-Pilot Life Insurance Co. (“Jefferson-Pilot”) is a North Carolina company that has more than $3 billion in total assets, $1.5 billion of which are invested in debt securities. Jefferson-Pilot alleges that it owns $9.34 million in principal amount of three separate RJR Nabisco debt issues, allegedly purchased between June 1978 and June 1988. Those bonds, bearing interest rates of anywhere from 8.45 to 10.75 percent, become due in 1993 and 1998. </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bookmarkStart w:id="11" w:name="co_pp_sp_345_1509_1"/>
      <w:bookmarkEnd w:id="11"/>
      <w:r>
        <w:rPr>
          <w:color w:val="000000"/>
        </w:rPr>
        <w:t xml:space="preserve">RJR Nabisco, a Delaware corporation, is a consumer products holding company that owns some of the country’s best known product lines, including LifeSavers candy, Oreo cookies, and Winston cigarettes. The company was formed in 1985, when R.J. Reynolds Industries, Inc. (“R.J. Reynolds”) merged with Nabisco Brands, Inc. (“Nabisco Brands”). In 1979, and thus before the R.J. Reynolds-Nabisco Brands merger, R.J. Reynolds acquired the Del Monte Corporation (“Del Monte”), which distributes canned fruits and vegetables. From January 1987 until February 1989, co-defendant Johnson served as the company’s CEO. KKR, a private investment firm, organizes funds through which investors provide pools of equity to finance LBOs. </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bookmarkStart w:id="12" w:name="co_anchor_Ie5a7c1fd414511e08b05fdf15589d"/>
      <w:bookmarkEnd w:id="12"/>
    </w:p>
    <w:p w:rsidR="003E7A82" w:rsidRDefault="003E7A82">
      <w:pPr>
        <w:widowControl w:val="0"/>
        <w:autoSpaceDE w:val="0"/>
        <w:autoSpaceDN w:val="0"/>
        <w:adjustRightInd w:val="0"/>
        <w:spacing w:before="200"/>
        <w:jc w:val="center"/>
        <w:rPr>
          <w:i/>
          <w:iCs/>
          <w:color w:val="000000"/>
        </w:rPr>
      </w:pPr>
      <w:r>
        <w:rPr>
          <w:i/>
          <w:iCs/>
          <w:color w:val="000000"/>
        </w:rPr>
        <w:t>B. The Indentures:</w:t>
      </w:r>
    </w:p>
    <w:p w:rsidR="003E7A82" w:rsidRDefault="003E7A82">
      <w:pPr>
        <w:widowControl w:val="0"/>
        <w:autoSpaceDE w:val="0"/>
        <w:autoSpaceDN w:val="0"/>
        <w:adjustRightInd w:val="0"/>
        <w:jc w:val="both"/>
        <w:rPr>
          <w:color w:val="000000"/>
        </w:rPr>
      </w:pPr>
      <w:r>
        <w:rPr>
          <w:color w:val="000000"/>
        </w:rPr>
        <w:t>The bonds</w:t>
      </w:r>
      <w:bookmarkStart w:id="13" w:name="co_footnoteReference_B00991989106940_ID0"/>
      <w:bookmarkEnd w:id="13"/>
      <w:r>
        <w:rPr>
          <w:color w:val="000000"/>
          <w:sz w:val="16"/>
          <w:szCs w:val="16"/>
        </w:rPr>
        <w:fldChar w:fldCharType="begin"/>
      </w:r>
      <w:r>
        <w:rPr>
          <w:color w:val="000000"/>
          <w:sz w:val="16"/>
          <w:szCs w:val="16"/>
        </w:rPr>
        <w:instrText xml:space="preserve">HYPERLINK "#co_footnote_B00991989106940_1" </w:instrText>
      </w:r>
      <w:r>
        <w:rPr>
          <w:color w:val="000000"/>
          <w:sz w:val="16"/>
          <w:szCs w:val="16"/>
        </w:rPr>
      </w:r>
      <w:r>
        <w:rPr>
          <w:color w:val="000000"/>
          <w:sz w:val="16"/>
          <w:szCs w:val="16"/>
        </w:rPr>
        <w:fldChar w:fldCharType="separate"/>
      </w:r>
      <w:r>
        <w:rPr>
          <w:color w:val="000000"/>
          <w:sz w:val="16"/>
          <w:szCs w:val="16"/>
          <w:vertAlign w:val="superscript"/>
        </w:rPr>
        <w:t>9</w:t>
      </w:r>
      <w:r>
        <w:rPr>
          <w:color w:val="000000"/>
          <w:sz w:val="16"/>
          <w:szCs w:val="16"/>
        </w:rPr>
        <w:fldChar w:fldCharType="end"/>
      </w:r>
      <w:r>
        <w:rPr>
          <w:color w:val="000000"/>
        </w:rPr>
        <w:t xml:space="preserve"> implicated by this suit are governed by long, detailed indentures, which in turn are governed by New York contract law.</w:t>
      </w:r>
      <w:bookmarkStart w:id="14" w:name="co_footnoteReference_B010101989106940_ID"/>
      <w:bookmarkEnd w:id="14"/>
      <w:r>
        <w:rPr>
          <w:color w:val="000000"/>
          <w:sz w:val="16"/>
          <w:szCs w:val="16"/>
        </w:rPr>
        <w:fldChar w:fldCharType="begin"/>
      </w:r>
      <w:r>
        <w:rPr>
          <w:color w:val="000000"/>
          <w:sz w:val="16"/>
          <w:szCs w:val="16"/>
        </w:rPr>
        <w:instrText xml:space="preserve">HYPERLINK "#co_footnote_B010101989106940_1" </w:instrText>
      </w:r>
      <w:r>
        <w:rPr>
          <w:color w:val="000000"/>
          <w:sz w:val="16"/>
          <w:szCs w:val="16"/>
        </w:rPr>
      </w:r>
      <w:r>
        <w:rPr>
          <w:color w:val="000000"/>
          <w:sz w:val="16"/>
          <w:szCs w:val="16"/>
        </w:rPr>
        <w:fldChar w:fldCharType="separate"/>
      </w:r>
      <w:r>
        <w:rPr>
          <w:color w:val="000000"/>
          <w:sz w:val="16"/>
          <w:szCs w:val="16"/>
          <w:vertAlign w:val="superscript"/>
        </w:rPr>
        <w:t>10</w:t>
      </w:r>
      <w:r>
        <w:rPr>
          <w:color w:val="000000"/>
          <w:sz w:val="16"/>
          <w:szCs w:val="16"/>
        </w:rPr>
        <w:fldChar w:fldCharType="end"/>
      </w:r>
      <w:r>
        <w:rPr>
          <w:color w:val="000000"/>
        </w:rPr>
        <w:t xml:space="preserve"> No one disputes that the holders of public bond issues, like plaintiffs here, often enter the market after the indentures have been negotiated and memorialized. Thus, those indentures are often not the product of face-to-face negotiations between the ultimate holders and the issuing company. What remains equally true, however, is that underwriters ordinarily negotiate the terms of the indentures with the issuers. Since the underwriters must then sell or place the bonds, they necessarily negotiate in part with the interests of the buyers in mind. Moreover, these indentures were not secret agreements foisted upon unwitting participants in the bond market. No successive holder is required to accept or to continue to hold the bonds, governed by their accompanying indentures; indeed, plaintiffs readily admit that they could have sold their bonds right up until the announcement of the LBO. Instead, sophisticated investors like plaintiffs are well aware of the indenture terms and, presumably, review them carefully before lending hundreds of millions of dollars to any company.</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Indeed, the prospectuses for the indentures contain a statement relevant to this action:</w:t>
      </w:r>
    </w:p>
    <w:p w:rsidR="003E7A82" w:rsidRDefault="003E7A82">
      <w:pPr>
        <w:widowControl w:val="0"/>
        <w:autoSpaceDE w:val="0"/>
        <w:autoSpaceDN w:val="0"/>
        <w:adjustRightInd w:val="0"/>
        <w:spacing w:before="250" w:after="50"/>
        <w:ind w:left="1000" w:right="800"/>
        <w:jc w:val="both"/>
        <w:rPr>
          <w:color w:val="000000"/>
        </w:rPr>
      </w:pPr>
      <w:r>
        <w:rPr>
          <w:color w:val="000000"/>
        </w:rPr>
        <w:t xml:space="preserve">The Indenture contains no restrictions on the creation of unsecured short-term debt by [RJR Nabisco] or its subsidiaries, no restriction on the creation of unsecured Funded Debt by [RJR Nabisco] or its </w:t>
      </w:r>
      <w:proofErr w:type="gramStart"/>
      <w:r>
        <w:rPr>
          <w:color w:val="000000"/>
        </w:rPr>
        <w:t>subsidiaries which</w:t>
      </w:r>
      <w:proofErr w:type="gramEnd"/>
      <w:r>
        <w:rPr>
          <w:color w:val="000000"/>
        </w:rPr>
        <w:t xml:space="preserve"> are not Restricted Subsidiaries, and no restriction on the payment of dividends by [RJR Nabisco].</w:t>
      </w:r>
    </w:p>
    <w:p w:rsidR="003E7A82" w:rsidRDefault="003E7A82">
      <w:pPr>
        <w:widowControl w:val="0"/>
        <w:autoSpaceDE w:val="0"/>
        <w:autoSpaceDN w:val="0"/>
        <w:adjustRightInd w:val="0"/>
        <w:spacing w:before="200"/>
        <w:jc w:val="both"/>
        <w:rPr>
          <w:color w:val="000000"/>
        </w:rPr>
      </w:pPr>
      <w:r>
        <w:rPr>
          <w:color w:val="000000"/>
        </w:rPr>
        <w:t xml:space="preserve">Further, as plaintiffs themselves note, the contracts at issue “[do] not impose debt limits, since debt is assumed to be used for productive purposes.” </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bookmarkStart w:id="15" w:name="co_anchor_Ie5a7c1fe414511e08b05fdf15589d"/>
      <w:bookmarkEnd w:id="15"/>
    </w:p>
    <w:p w:rsidR="003E7A82" w:rsidRDefault="003E7A82">
      <w:pPr>
        <w:widowControl w:val="0"/>
        <w:autoSpaceDE w:val="0"/>
        <w:autoSpaceDN w:val="0"/>
        <w:adjustRightInd w:val="0"/>
        <w:spacing w:before="200"/>
        <w:jc w:val="center"/>
        <w:rPr>
          <w:color w:val="000000"/>
        </w:rPr>
      </w:pPr>
      <w:r>
        <w:rPr>
          <w:color w:val="000000"/>
        </w:rPr>
        <w:t>1. The relevant Articles:</w:t>
      </w:r>
    </w:p>
    <w:p w:rsidR="003E7A82" w:rsidRDefault="003E7A82">
      <w:pPr>
        <w:widowControl w:val="0"/>
        <w:autoSpaceDE w:val="0"/>
        <w:autoSpaceDN w:val="0"/>
        <w:adjustRightInd w:val="0"/>
        <w:jc w:val="both"/>
        <w:rPr>
          <w:color w:val="000000"/>
          <w:sz w:val="16"/>
          <w:szCs w:val="16"/>
        </w:rPr>
      </w:pPr>
      <w:r>
        <w:rPr>
          <w:color w:val="000000"/>
        </w:rPr>
        <w:t>A typical RJR Nabisco indenture contains thirteen Articles. At least four of them are relevant to the present motions and thus merit a brief review.</w:t>
      </w:r>
      <w:bookmarkStart w:id="16" w:name="co_footnoteReference_B012121989106940_ID"/>
      <w:bookmarkEnd w:id="16"/>
      <w:r>
        <w:rPr>
          <w:color w:val="000000"/>
          <w:sz w:val="16"/>
          <w:szCs w:val="16"/>
        </w:rPr>
        <w:fldChar w:fldCharType="begin"/>
      </w:r>
      <w:r>
        <w:rPr>
          <w:color w:val="000000"/>
          <w:sz w:val="16"/>
          <w:szCs w:val="16"/>
        </w:rPr>
        <w:instrText xml:space="preserve">HYPERLINK "#co_footnote_B012121989106940_1" </w:instrText>
      </w:r>
      <w:r>
        <w:rPr>
          <w:color w:val="000000"/>
          <w:sz w:val="16"/>
          <w:szCs w:val="16"/>
        </w:rPr>
      </w:r>
      <w:r>
        <w:rPr>
          <w:color w:val="000000"/>
          <w:sz w:val="16"/>
          <w:szCs w:val="16"/>
        </w:rPr>
        <w:fldChar w:fldCharType="separate"/>
      </w:r>
      <w:r>
        <w:rPr>
          <w:color w:val="000000"/>
          <w:sz w:val="16"/>
          <w:szCs w:val="16"/>
          <w:vertAlign w:val="superscript"/>
        </w:rPr>
        <w:t>12</w:t>
      </w:r>
      <w:r>
        <w:rPr>
          <w:color w:val="000000"/>
          <w:sz w:val="16"/>
          <w:szCs w:val="16"/>
        </w:rPr>
        <w:fldChar w:fldCharType="end"/>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Article Three delineates the covenants of the issuer. Most important, it first provides for payment of principal and interest. It then addresses various mechanical provisions regarding such matters as payment</w:t>
      </w:r>
      <w:bookmarkStart w:id="17" w:name="co_pp_sp_345_1510_1"/>
      <w:bookmarkEnd w:id="17"/>
      <w:r>
        <w:rPr>
          <w:color w:val="000000"/>
        </w:rPr>
        <w:t xml:space="preserve"> terms and trustee vacancies. The Article also contains “negative pledge” and related provisions, which restrict mortgages or other liens on the assets of RJR Nabisco or its subsidiaries and seek to protect the bondholders from being subordinated to other debt.</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 xml:space="preserve">Article Five describes various procedures to remedy defaults and the responsibilities of the Trustee. </w:t>
      </w:r>
      <w:proofErr w:type="gramStart"/>
      <w:r>
        <w:rPr>
          <w:color w:val="000000"/>
        </w:rPr>
        <w:t>This Article includes the distinction in the indentures noted above</w:t>
      </w:r>
      <w:proofErr w:type="gramEnd"/>
      <w:r>
        <w:rPr>
          <w:color w:val="000000"/>
        </w:rPr>
        <w:t xml:space="preserve">, </w:t>
      </w:r>
      <w:proofErr w:type="gramStart"/>
      <w:r>
        <w:rPr>
          <w:i/>
          <w:iCs/>
          <w:color w:val="000000"/>
        </w:rPr>
        <w:t>see supra</w:t>
      </w:r>
      <w:r>
        <w:rPr>
          <w:color w:val="000000"/>
        </w:rPr>
        <w:t xml:space="preserve"> n. 11</w:t>
      </w:r>
      <w:proofErr w:type="gramEnd"/>
      <w:r>
        <w:rPr>
          <w:color w:val="000000"/>
        </w:rPr>
        <w:t xml:space="preserve">. In seven of the nine securities at issue, a provision in Article Five prohibits bondholders from suing for any remedy based on rights in the indentures unless 25 percent of the holders have requested in writing that the indenture trustee seek such relief, and, after 60 days, the trustee has not sued. Defendants argue that this provision precludes plaintiffs from suing on these seven securities. Given its holdings today, </w:t>
      </w:r>
      <w:r>
        <w:rPr>
          <w:i/>
          <w:iCs/>
          <w:color w:val="000000"/>
        </w:rPr>
        <w:t>see infra,</w:t>
      </w:r>
      <w:r>
        <w:rPr>
          <w:color w:val="000000"/>
        </w:rPr>
        <w:t xml:space="preserve"> the Court need not address this issue.</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 xml:space="preserve">Article Nine governs the adoption of supplemental indentures. It provides, </w:t>
      </w:r>
      <w:r>
        <w:rPr>
          <w:i/>
          <w:iCs/>
          <w:color w:val="000000"/>
        </w:rPr>
        <w:t>inter alia,</w:t>
      </w:r>
      <w:r>
        <w:rPr>
          <w:color w:val="000000"/>
        </w:rPr>
        <w:t xml:space="preserve"> that the Issuer and the Trustee can</w:t>
      </w:r>
    </w:p>
    <w:p w:rsidR="003E7A82" w:rsidRDefault="003E7A82">
      <w:pPr>
        <w:widowControl w:val="0"/>
        <w:autoSpaceDE w:val="0"/>
        <w:autoSpaceDN w:val="0"/>
        <w:adjustRightInd w:val="0"/>
        <w:spacing w:before="250" w:after="50"/>
        <w:ind w:left="1000" w:right="800"/>
        <w:jc w:val="both"/>
        <w:rPr>
          <w:color w:val="000000"/>
        </w:rPr>
      </w:pPr>
      <w:proofErr w:type="gramStart"/>
      <w:r>
        <w:rPr>
          <w:color w:val="000000"/>
        </w:rPr>
        <w:t>add</w:t>
      </w:r>
      <w:proofErr w:type="gramEnd"/>
      <w:r>
        <w:rPr>
          <w:color w:val="000000"/>
        </w:rPr>
        <w:t xml:space="preserve"> to the covenants of the Issuer such further covenants, restrictions, conditions or provisions as its Board of Directors by Board Resolution and the Trustee shall consider to be for the protection of the holders of Securities, and to make the occurrence, or the occurrence and continuance, of a default in any such additional covenants, restrictions, conditions or provisions an Event of Default permitting the enforcement of all or any of the several remedies provided in this Indenture as herein set forth ...</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sz w:val="16"/>
          <w:szCs w:val="16"/>
        </w:rPr>
      </w:pPr>
      <w:r>
        <w:rPr>
          <w:color w:val="000000"/>
        </w:rPr>
        <w:t>Article Ten addresses a potential “Consolidation, Merger, Sale or Conveyance,” and explicitly sets forth the conditions under which the company can consolidate or merge into or with any other corporation. It provides explicitly that RJR Nabisco “may consolidate with, or sell or convey, all or substantially all of its assets to, or merge into or with any other corporation,” so long as the new entity is a United States corporation, and so long as it assumes RJR Nabisco’s debt. The Article also requires that any such transaction not result in the company’s default under any indenture provision.</w:t>
      </w:r>
      <w:bookmarkStart w:id="18" w:name="co_footnoteReference_B013131989106940_ID"/>
      <w:bookmarkEnd w:id="18"/>
      <w:r>
        <w:rPr>
          <w:color w:val="000000"/>
          <w:sz w:val="16"/>
          <w:szCs w:val="16"/>
        </w:rPr>
        <w:fldChar w:fldCharType="begin"/>
      </w:r>
      <w:r>
        <w:rPr>
          <w:color w:val="000000"/>
          <w:sz w:val="16"/>
          <w:szCs w:val="16"/>
        </w:rPr>
        <w:instrText xml:space="preserve">HYPERLINK "#co_footnote_B013131989106940_1" </w:instrText>
      </w:r>
      <w:r>
        <w:rPr>
          <w:color w:val="000000"/>
          <w:sz w:val="16"/>
          <w:szCs w:val="16"/>
        </w:rPr>
      </w:r>
      <w:r>
        <w:rPr>
          <w:color w:val="000000"/>
          <w:sz w:val="16"/>
          <w:szCs w:val="16"/>
        </w:rPr>
        <w:fldChar w:fldCharType="separate"/>
      </w:r>
      <w:r>
        <w:rPr>
          <w:color w:val="000000"/>
          <w:sz w:val="16"/>
          <w:szCs w:val="16"/>
          <w:vertAlign w:val="superscript"/>
        </w:rPr>
        <w:t>13</w:t>
      </w:r>
      <w:r>
        <w:rPr>
          <w:color w:val="000000"/>
          <w:sz w:val="16"/>
          <w:szCs w:val="16"/>
        </w:rPr>
        <w:fldChar w:fldCharType="end"/>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bookmarkStart w:id="19" w:name="co_anchor_Ie5a7c1ff414511e08b05fdf15589d"/>
      <w:bookmarkEnd w:id="19"/>
    </w:p>
    <w:p w:rsidR="003E7A82" w:rsidRDefault="003E7A82">
      <w:pPr>
        <w:widowControl w:val="0"/>
        <w:autoSpaceDE w:val="0"/>
        <w:autoSpaceDN w:val="0"/>
        <w:adjustRightInd w:val="0"/>
        <w:spacing w:before="200"/>
        <w:jc w:val="center"/>
        <w:rPr>
          <w:color w:val="000000"/>
        </w:rPr>
      </w:pPr>
      <w:r>
        <w:rPr>
          <w:color w:val="000000"/>
        </w:rPr>
        <w:t>2. The elimination of restrictive covenants:</w:t>
      </w:r>
    </w:p>
    <w:p w:rsidR="003E7A82" w:rsidRDefault="003E7A82">
      <w:pPr>
        <w:widowControl w:val="0"/>
        <w:autoSpaceDE w:val="0"/>
        <w:autoSpaceDN w:val="0"/>
        <w:adjustRightInd w:val="0"/>
        <w:jc w:val="both"/>
        <w:rPr>
          <w:color w:val="000000"/>
        </w:rPr>
      </w:pPr>
      <w:r>
        <w:rPr>
          <w:color w:val="000000"/>
        </w:rPr>
        <w:t>MetLife lists the six debt issues on which it bases its claims. Indentures for two of those issues-the once contained express covenants that, among other things, restricted the company’s ability to incur precisely the sort of debt involved in the recent LBO. In order to eliminate those restrictions, the parties to this action renegotiated the terms of those indentures, first in 1983 and then again in 1985.</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 xml:space="preserve">MetLife acquired $50 million principal amount of 10.25 percent Notes from Del Monte in July of 1975. To cover the $50 million, MetLife and Del Monte entered into a loan agreement. That agreement restricted Del Monte’s ability, among other things, to incur the sort of indebtedness involved in the RJR Nabisco LBO. </w:t>
      </w:r>
      <w:r>
        <w:rPr>
          <w:iCs/>
          <w:color w:val="000000"/>
        </w:rPr>
        <w:t>I</w:t>
      </w:r>
      <w:r>
        <w:rPr>
          <w:color w:val="000000"/>
        </w:rPr>
        <w:t xml:space="preserve">n 1979, R.J. Reynolds-the corporate predecessor to RJR Nabisco-purchased Del Monte and </w:t>
      </w:r>
      <w:bookmarkStart w:id="20" w:name="co_pp_sp_345_1511_1"/>
      <w:bookmarkEnd w:id="20"/>
      <w:r>
        <w:rPr>
          <w:color w:val="000000"/>
        </w:rPr>
        <w:t xml:space="preserve">assumed its indebtedness. Then, in December of 1983, R.J. Reynolds requested MetLife to agree to deletions of those restrictive covenants in exchange for various guarantees from R.J. Reynolds. A few months later, MetLife and R.J. Reynolds entered into a guarantee and amendment agreement reflecting those terms. </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 xml:space="preserve">MetLife acquired the 8.9 percent Debentures from R.J. Reynolds in October of 1976 in a private placement. A promissory note evidenced MetLife’s $100 million loan. That note, like the Del Monte agreement, contained covenants that restricted R.J. Reynolds’ ability to incur new debt. In June of 1985, R.J. Reynolds announced its plans to acquire Nabisco Brands in a $3.6 billion transaction that involved the incurrence of a significant amount of new debt. R.J. Reynolds requested MetLife to waive compliance with these restrictive covenants in light of the Nabisco acquisition. </w:t>
      </w:r>
      <w:r>
        <w:rPr>
          <w:i/>
          <w:iCs/>
          <w:color w:val="000000"/>
        </w:rPr>
        <w:t>See</w:t>
      </w:r>
      <w:r>
        <w:rPr>
          <w:color w:val="000000"/>
        </w:rPr>
        <w:t xml:space="preserve"> </w:t>
      </w:r>
      <w:proofErr w:type="spellStart"/>
      <w:r>
        <w:rPr>
          <w:color w:val="000000"/>
        </w:rPr>
        <w:t>D.Mem</w:t>
      </w:r>
      <w:proofErr w:type="spellEnd"/>
      <w:r>
        <w:rPr>
          <w:color w:val="000000"/>
        </w:rPr>
        <w:t xml:space="preserve">. </w:t>
      </w:r>
      <w:proofErr w:type="gramStart"/>
      <w:r>
        <w:rPr>
          <w:color w:val="000000"/>
        </w:rPr>
        <w:t>at</w:t>
      </w:r>
      <w:proofErr w:type="gramEnd"/>
      <w:r>
        <w:rPr>
          <w:color w:val="000000"/>
        </w:rPr>
        <w:t xml:space="preserve"> 45; Bradley </w:t>
      </w:r>
      <w:proofErr w:type="spellStart"/>
      <w:r>
        <w:rPr>
          <w:color w:val="000000"/>
        </w:rPr>
        <w:t>Aff</w:t>
      </w:r>
      <w:proofErr w:type="spellEnd"/>
      <w:r>
        <w:rPr>
          <w:color w:val="000000"/>
        </w:rPr>
        <w:t>. ¶ 18.</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 xml:space="preserve">In exchange for certain benefits, MetLife agreed to exchange its 8.9 percent debentures-which </w:t>
      </w:r>
      <w:r>
        <w:rPr>
          <w:i/>
          <w:iCs/>
          <w:color w:val="000000"/>
        </w:rPr>
        <w:t>did</w:t>
      </w:r>
      <w:r>
        <w:rPr>
          <w:color w:val="000000"/>
        </w:rPr>
        <w:t xml:space="preserve"> contain explicit debt limitations-for debentures issued under a public indenture-which contain no explicit limits on new debt. An internal MetLife memorandum explained the parties’ understanding:</w:t>
      </w:r>
    </w:p>
    <w:p w:rsidR="003E7A82" w:rsidRDefault="003E7A82">
      <w:pPr>
        <w:widowControl w:val="0"/>
        <w:autoSpaceDE w:val="0"/>
        <w:autoSpaceDN w:val="0"/>
        <w:adjustRightInd w:val="0"/>
        <w:spacing w:before="250" w:after="50"/>
        <w:ind w:left="1000" w:right="800"/>
        <w:jc w:val="both"/>
        <w:rPr>
          <w:color w:val="000000"/>
        </w:rPr>
      </w:pPr>
      <w:r>
        <w:rPr>
          <w:color w:val="000000"/>
        </w:rPr>
        <w:t xml:space="preserve">More specifically, </w:t>
      </w:r>
      <w:r>
        <w:rPr>
          <w:i/>
          <w:iCs/>
          <w:color w:val="000000"/>
        </w:rPr>
        <w:t>in its acquisition of Nabisco Brands, RJR was slated to incur significant new long-term debt, which would have caused a violation in the funded indebtedness incurrence tests in the 8.90% Notes.</w:t>
      </w:r>
      <w:r>
        <w:rPr>
          <w:color w:val="000000"/>
        </w:rPr>
        <w:t xml:space="preserve"> In the discussions regarding [MetLife’s] willingness to consent to the additional indebtedness, </w:t>
      </w:r>
      <w:r>
        <w:rPr>
          <w:i/>
          <w:iCs/>
          <w:color w:val="000000"/>
        </w:rPr>
        <w:t>it was determined that a mutually beneficial approach to the problem</w:t>
      </w:r>
      <w:r>
        <w:rPr>
          <w:color w:val="000000"/>
        </w:rPr>
        <w:t xml:space="preserve"> was to 1) agree on a new financing having a rate and a maturity desirable for [MetLife] and 2) modify the 8.90% Notes. The former was accomplished with agreement on the proposed financing, while the latter was accomplished by [MetLife] agreeing to substitute RJR’s public indenture covenants for the covenants in the 8.90% Notes. In addition to the covenant substitution, RJR has agreed to “</w:t>
      </w:r>
      <w:proofErr w:type="spellStart"/>
      <w:r>
        <w:rPr>
          <w:color w:val="000000"/>
        </w:rPr>
        <w:t>debenturize</w:t>
      </w:r>
      <w:proofErr w:type="spellEnd"/>
      <w:r>
        <w:rPr>
          <w:color w:val="000000"/>
        </w:rPr>
        <w:t>” the 8.90% Notes upon [MetLife’s] request. This will permit [MetLife] to sell the 8.90% Notes to the public.</w:t>
      </w:r>
    </w:p>
    <w:p w:rsidR="003E7A82" w:rsidRDefault="003E7A82">
      <w:pPr>
        <w:widowControl w:val="0"/>
        <w:autoSpaceDE w:val="0"/>
        <w:autoSpaceDN w:val="0"/>
        <w:adjustRightInd w:val="0"/>
        <w:jc w:val="both"/>
        <w:rPr>
          <w:color w:val="000000"/>
        </w:rPr>
      </w:pPr>
      <w:bookmarkStart w:id="21" w:name="co_anchor_Ie5a7c200414511e08b05fdf15589d"/>
      <w:bookmarkEnd w:id="21"/>
    </w:p>
    <w:p w:rsidR="003E7A82" w:rsidRDefault="003E7A82">
      <w:pPr>
        <w:widowControl w:val="0"/>
        <w:autoSpaceDE w:val="0"/>
        <w:autoSpaceDN w:val="0"/>
        <w:adjustRightInd w:val="0"/>
        <w:spacing w:before="200"/>
        <w:jc w:val="center"/>
        <w:rPr>
          <w:color w:val="000000"/>
        </w:rPr>
      </w:pPr>
      <w:r>
        <w:rPr>
          <w:color w:val="000000"/>
        </w:rPr>
        <w:t>3. The recognition and effect of the LBO trend:</w:t>
      </w:r>
    </w:p>
    <w:p w:rsidR="003E7A82" w:rsidRDefault="003E7A82">
      <w:pPr>
        <w:widowControl w:val="0"/>
        <w:autoSpaceDE w:val="0"/>
        <w:autoSpaceDN w:val="0"/>
        <w:adjustRightInd w:val="0"/>
        <w:jc w:val="both"/>
        <w:rPr>
          <w:color w:val="000000"/>
        </w:rPr>
      </w:pPr>
      <w:r>
        <w:rPr>
          <w:color w:val="000000"/>
        </w:rPr>
        <w:t>Other internal MetLife documents help frame the background to this action, for they accurately describe the changing securities markets and the responses those changes engendered from sophisticated market participants, such as MetLife and Jefferson-Pilot. At least as early as 1982, MetLife recognized an LBO’s effect on bond values.</w:t>
      </w:r>
      <w:bookmarkStart w:id="22" w:name="co_footnoteReference_B014141989106940_ID"/>
      <w:bookmarkEnd w:id="22"/>
      <w:r>
        <w:rPr>
          <w:color w:val="000000"/>
          <w:sz w:val="16"/>
          <w:szCs w:val="16"/>
        </w:rPr>
        <w:fldChar w:fldCharType="begin"/>
      </w:r>
      <w:r>
        <w:rPr>
          <w:color w:val="000000"/>
          <w:sz w:val="16"/>
          <w:szCs w:val="16"/>
        </w:rPr>
        <w:instrText xml:space="preserve">HYPERLINK "#co_footnote_B014141989106940_1" </w:instrText>
      </w:r>
      <w:r>
        <w:rPr>
          <w:color w:val="000000"/>
          <w:sz w:val="16"/>
          <w:szCs w:val="16"/>
        </w:rPr>
      </w:r>
      <w:r>
        <w:rPr>
          <w:color w:val="000000"/>
          <w:sz w:val="16"/>
          <w:szCs w:val="16"/>
        </w:rPr>
        <w:fldChar w:fldCharType="separate"/>
      </w:r>
      <w:r>
        <w:rPr>
          <w:color w:val="000000"/>
          <w:sz w:val="16"/>
          <w:szCs w:val="16"/>
          <w:vertAlign w:val="superscript"/>
        </w:rPr>
        <w:t>14</w:t>
      </w:r>
      <w:r>
        <w:rPr>
          <w:color w:val="000000"/>
          <w:sz w:val="16"/>
          <w:szCs w:val="16"/>
        </w:rPr>
        <w:fldChar w:fldCharType="end"/>
      </w:r>
      <w:r>
        <w:rPr>
          <w:color w:val="000000"/>
        </w:rPr>
        <w:t xml:space="preserve"> In the spring of that year, MetLife participated in the financing of an LBO of a company called Reeves Brothers (“Reeves”). At the time of that LBO, MetLife also held bonds in that company. Subsequent to the LBO, as a MetLife memorandum explained, the “Debentures of Reeves were downgraded by Standard &amp; Poor’s from BBB to B and by Moody’s from Baal to Ba3, thereby lowering the value of the Notes and Debentures held by</w:t>
      </w:r>
      <w:bookmarkStart w:id="23" w:name="co_pp_sp_345_1512_1"/>
      <w:bookmarkEnd w:id="23"/>
      <w:r>
        <w:rPr>
          <w:color w:val="000000"/>
        </w:rPr>
        <w:t xml:space="preserve"> [MetLife].” MetLife Memorandum, dated August 20, 1982, attached as Bradley Reply </w:t>
      </w:r>
      <w:proofErr w:type="spellStart"/>
      <w:r>
        <w:rPr>
          <w:color w:val="000000"/>
        </w:rPr>
        <w:t>Aff</w:t>
      </w:r>
      <w:proofErr w:type="spellEnd"/>
      <w:r>
        <w:rPr>
          <w:color w:val="000000"/>
        </w:rPr>
        <w:t xml:space="preserve">. </w:t>
      </w:r>
      <w:proofErr w:type="spellStart"/>
      <w:r>
        <w:rPr>
          <w:color w:val="000000"/>
        </w:rPr>
        <w:t>Exh</w:t>
      </w:r>
      <w:proofErr w:type="spellEnd"/>
      <w:r>
        <w:rPr>
          <w:color w:val="000000"/>
        </w:rPr>
        <w:t xml:space="preserve"> D, at 1.</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MetLife further recognized its “inability to force any type of payout of the [Reeves’] Notes or the Debentures as a result of the buy-out [which] was somewhat disturbing at the time we considered a participation in the new financing. However,” the memorandum continued,</w:t>
      </w:r>
    </w:p>
    <w:p w:rsidR="003E7A82" w:rsidRDefault="003E7A82">
      <w:pPr>
        <w:widowControl w:val="0"/>
        <w:autoSpaceDE w:val="0"/>
        <w:autoSpaceDN w:val="0"/>
        <w:adjustRightInd w:val="0"/>
        <w:spacing w:before="250" w:after="50"/>
        <w:ind w:left="1000" w:right="800"/>
        <w:jc w:val="both"/>
        <w:rPr>
          <w:i/>
          <w:iCs/>
          <w:color w:val="000000"/>
        </w:rPr>
      </w:pPr>
      <w:proofErr w:type="gramStart"/>
      <w:r>
        <w:rPr>
          <w:color w:val="000000"/>
        </w:rPr>
        <w:t>our</w:t>
      </w:r>
      <w:proofErr w:type="gramEnd"/>
      <w:r>
        <w:rPr>
          <w:color w:val="000000"/>
        </w:rPr>
        <w:t xml:space="preserve"> concern was tempered since, as a stockholder in [the holding company used to facilitate the transaction], we would benefit from the increased net income attributable to the continued presence of the low coupon indebtedness. The recent downgrading of the Reeves Debentures and the consequent “loss” in value has again raised questions regarding our ability to have forced a payout. </w:t>
      </w:r>
      <w:r>
        <w:rPr>
          <w:i/>
          <w:iCs/>
          <w:color w:val="000000"/>
        </w:rPr>
        <w:t>Questions have also been raised about our ability to force payouts in similar future situations, particularly when we would not be participating in the buy-out financing.</w:t>
      </w:r>
    </w:p>
    <w:p w:rsidR="003E7A82" w:rsidRDefault="003E7A82">
      <w:pPr>
        <w:widowControl w:val="0"/>
        <w:autoSpaceDE w:val="0"/>
        <w:autoSpaceDN w:val="0"/>
        <w:adjustRightInd w:val="0"/>
        <w:spacing w:before="200"/>
        <w:jc w:val="both"/>
        <w:rPr>
          <w:color w:val="000000"/>
        </w:rPr>
      </w:pPr>
      <w:r>
        <w:rPr>
          <w:color w:val="000000"/>
        </w:rPr>
        <w:t>In the memorandum, MetLife sought to answer those very “questions” about how it might force payouts in “similar future situations.”</w:t>
      </w:r>
    </w:p>
    <w:p w:rsidR="003E7A82" w:rsidRDefault="003E7A82" w:rsidP="003E7A82">
      <w:pPr>
        <w:widowControl w:val="0"/>
        <w:autoSpaceDE w:val="0"/>
        <w:autoSpaceDN w:val="0"/>
        <w:adjustRightInd w:val="0"/>
        <w:spacing w:before="200"/>
        <w:ind w:left="200"/>
        <w:jc w:val="both"/>
        <w:rPr>
          <w:color w:val="000000"/>
        </w:rPr>
      </w:pPr>
      <w:r>
        <w:rPr>
          <w:i/>
          <w:iCs/>
          <w:color w:val="000000"/>
        </w:rPr>
        <w:t>A method of closing this apparent “loophole,” thereby forcing a payout of [MetLife’s] holdings, would be through a covenant dealing with a change in ownership.</w:t>
      </w:r>
      <w:r>
        <w:rPr>
          <w:color w:val="000000"/>
        </w:rPr>
        <w:t xml:space="preserve"> Such a covenant is fairly standard in financings with privately-held companies ... It provides the lender with an option to end a particular borrowing relationship via some type of special </w:t>
      </w:r>
      <w:proofErr w:type="gramStart"/>
      <w:r>
        <w:rPr>
          <w:color w:val="000000"/>
        </w:rPr>
        <w:t>redemption ...</w:t>
      </w:r>
      <w:proofErr w:type="gramEnd"/>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A more comprehensive memorandum, prepared in late 1985, evaluated and explained several aspects of the corporate world’s increasing use of mergers, takeovers and other debt-financed transactions. That memorandum first reviewed the available protection for lenders such as MetLife:</w:t>
      </w:r>
    </w:p>
    <w:p w:rsidR="003E7A82" w:rsidRDefault="003E7A82">
      <w:pPr>
        <w:widowControl w:val="0"/>
        <w:autoSpaceDE w:val="0"/>
        <w:autoSpaceDN w:val="0"/>
        <w:adjustRightInd w:val="0"/>
        <w:spacing w:before="250" w:after="50"/>
        <w:ind w:left="1000" w:right="800"/>
        <w:jc w:val="both"/>
        <w:rPr>
          <w:i/>
          <w:iCs/>
          <w:color w:val="000000"/>
        </w:rPr>
      </w:pPr>
      <w:r>
        <w:rPr>
          <w:color w:val="000000"/>
        </w:rPr>
        <w:t xml:space="preserve">Covenants are incorporated into loan documents to ensure that after a lender makes a loan, the creditworthiness of the borrower and the lender’s ability to reach the borrower’s assets do not deteriorate substantially. </w:t>
      </w:r>
      <w:r>
        <w:rPr>
          <w:i/>
          <w:iCs/>
          <w:color w:val="000000"/>
        </w:rPr>
        <w:t>Restrictions on the incurrence of debt,</w:t>
      </w:r>
      <w:r>
        <w:rPr>
          <w:color w:val="000000"/>
        </w:rPr>
        <w:t xml:space="preserve"> sale of assets, mergers, dividends, restricted payments and loans and advances to affiliates </w:t>
      </w:r>
      <w:r>
        <w:rPr>
          <w:i/>
          <w:iCs/>
          <w:color w:val="000000"/>
        </w:rPr>
        <w:t>are some of the traditional negative covenants that can help protect lenders in the event their obligors become involved in undesirable merger/takeover situations.</w:t>
      </w:r>
    </w:p>
    <w:p w:rsidR="003E7A82" w:rsidRDefault="003E7A82">
      <w:pPr>
        <w:widowControl w:val="0"/>
        <w:autoSpaceDE w:val="0"/>
        <w:autoSpaceDN w:val="0"/>
        <w:adjustRightInd w:val="0"/>
        <w:spacing w:before="200"/>
        <w:jc w:val="both"/>
        <w:rPr>
          <w:color w:val="000000"/>
        </w:rPr>
      </w:pPr>
      <w:r>
        <w:rPr>
          <w:color w:val="000000"/>
        </w:rPr>
        <w:t>The memorandum then surveyed market realities:</w:t>
      </w:r>
    </w:p>
    <w:p w:rsidR="003E7A82" w:rsidRDefault="003E7A82">
      <w:pPr>
        <w:widowControl w:val="0"/>
        <w:autoSpaceDE w:val="0"/>
        <w:autoSpaceDN w:val="0"/>
        <w:adjustRightInd w:val="0"/>
        <w:spacing w:before="250" w:after="50"/>
        <w:ind w:left="1000" w:right="800"/>
        <w:jc w:val="both"/>
        <w:rPr>
          <w:i/>
          <w:iCs/>
          <w:color w:val="000000"/>
        </w:rPr>
      </w:pPr>
      <w:r>
        <w:rPr>
          <w:color w:val="000000"/>
        </w:rPr>
        <w:t xml:space="preserve">Because almost any industrial company is apt to engineer a takeover or be taken over </w:t>
      </w:r>
      <w:proofErr w:type="gramStart"/>
      <w:r>
        <w:rPr>
          <w:color w:val="000000"/>
        </w:rPr>
        <w:t>itself</w:t>
      </w:r>
      <w:proofErr w:type="gramEnd"/>
      <w:r>
        <w:rPr>
          <w:color w:val="000000"/>
        </w:rPr>
        <w:t xml:space="preserve">, </w:t>
      </w:r>
      <w:r>
        <w:rPr>
          <w:i/>
          <w:iCs/>
          <w:color w:val="000000"/>
        </w:rPr>
        <w:t>Business Week</w:t>
      </w:r>
      <w:r>
        <w:rPr>
          <w:color w:val="000000"/>
        </w:rPr>
        <w:t xml:space="preserve"> says that investors are beginning to view debt securities of high grade industrial corporations as Wall Street’s riskiest investments. In addition, </w:t>
      </w:r>
      <w:r>
        <w:rPr>
          <w:i/>
          <w:iCs/>
          <w:color w:val="000000"/>
        </w:rPr>
        <w:t>because public bondholders do not enjoy the protection of any restrictive covenants,</w:t>
      </w:r>
      <w:r>
        <w:rPr>
          <w:color w:val="000000"/>
        </w:rPr>
        <w:t xml:space="preserve"> owners of </w:t>
      </w:r>
      <w:proofErr w:type="gramStart"/>
      <w:r>
        <w:rPr>
          <w:color w:val="000000"/>
        </w:rPr>
        <w:t>high grade</w:t>
      </w:r>
      <w:proofErr w:type="gramEnd"/>
      <w:r>
        <w:rPr>
          <w:color w:val="000000"/>
        </w:rPr>
        <w:t xml:space="preserve"> corporates face substantial losses from takeover situations, if not immediately, then when the bond market finally adjusts.... [</w:t>
      </w:r>
      <w:proofErr w:type="gramStart"/>
      <w:r>
        <w:rPr>
          <w:color w:val="000000"/>
        </w:rPr>
        <w:t>T]here</w:t>
      </w:r>
      <w:proofErr w:type="gramEnd"/>
      <w:r>
        <w:rPr>
          <w:color w:val="000000"/>
        </w:rPr>
        <w:t xml:space="preserve"> have been 10-15 merger/takeover/LBO situations where, </w:t>
      </w:r>
      <w:r>
        <w:rPr>
          <w:i/>
          <w:iCs/>
          <w:color w:val="000000"/>
        </w:rPr>
        <w:t>due to the lack of covenant protection, [MetLife] has had no choice but to remain a lender to a less creditworthy obligor</w:t>
      </w:r>
      <w:r>
        <w:rPr>
          <w:color w:val="000000"/>
        </w:rPr>
        <w:t xml:space="preserve">.... The fact that the quality of our investment portfolio is greater than the other large insurance companies ... may indicate that we have negotiated better covenant protection than other institutions, thus generally being able to require prepayment when situations become too risky ... [However,] a problem exists. And </w:t>
      </w:r>
      <w:r>
        <w:rPr>
          <w:i/>
          <w:iCs/>
          <w:color w:val="000000"/>
        </w:rPr>
        <w:t>because the current merger craze is not likely to decelerate</w:t>
      </w:r>
      <w:r>
        <w:rPr>
          <w:color w:val="000000"/>
        </w:rPr>
        <w:t xml:space="preserve"> and because there exist vehicles to circumvent traditional covenants, the problem will probably continue. Therefore, </w:t>
      </w:r>
      <w:r>
        <w:rPr>
          <w:i/>
          <w:iCs/>
          <w:color w:val="000000"/>
        </w:rPr>
        <w:t>perhaps it is time to institute appropriate language designed to protect Metropolitan from the negative implications of mergers and takeovers.</w:t>
      </w:r>
    </w:p>
    <w:p w:rsidR="003E7A82" w:rsidRDefault="003E7A82">
      <w:pPr>
        <w:widowControl w:val="0"/>
        <w:autoSpaceDE w:val="0"/>
        <w:autoSpaceDN w:val="0"/>
        <w:adjustRightInd w:val="0"/>
        <w:spacing w:before="200"/>
        <w:jc w:val="both"/>
        <w:rPr>
          <w:color w:val="000000"/>
          <w:sz w:val="16"/>
          <w:szCs w:val="16"/>
        </w:rPr>
      </w:pPr>
      <w:proofErr w:type="gramStart"/>
      <w:r>
        <w:rPr>
          <w:i/>
          <w:iCs/>
          <w:color w:val="000000"/>
        </w:rPr>
        <w:t>Id.</w:t>
      </w:r>
      <w:r>
        <w:rPr>
          <w:color w:val="000000"/>
        </w:rPr>
        <w:t xml:space="preserve"> at 2-4 (emphasis added).</w:t>
      </w:r>
      <w:bookmarkStart w:id="24" w:name="co_footnoteReference_B015151989106940_ID"/>
      <w:bookmarkEnd w:id="24"/>
      <w:proofErr w:type="gramEnd"/>
      <w:r>
        <w:rPr>
          <w:color w:val="000000"/>
          <w:sz w:val="16"/>
          <w:szCs w:val="16"/>
        </w:rPr>
        <w:fldChar w:fldCharType="begin"/>
      </w:r>
      <w:r>
        <w:rPr>
          <w:color w:val="000000"/>
          <w:sz w:val="16"/>
          <w:szCs w:val="16"/>
        </w:rPr>
        <w:instrText xml:space="preserve">HYPERLINK "#co_footnote_B015151989106940_1" </w:instrText>
      </w:r>
      <w:r>
        <w:rPr>
          <w:color w:val="000000"/>
          <w:sz w:val="16"/>
          <w:szCs w:val="16"/>
        </w:rPr>
      </w:r>
      <w:r>
        <w:rPr>
          <w:color w:val="000000"/>
          <w:sz w:val="16"/>
          <w:szCs w:val="16"/>
        </w:rPr>
        <w:fldChar w:fldCharType="separate"/>
      </w:r>
      <w:r>
        <w:rPr>
          <w:color w:val="000000"/>
          <w:sz w:val="16"/>
          <w:szCs w:val="16"/>
          <w:vertAlign w:val="superscript"/>
        </w:rPr>
        <w:t>15</w:t>
      </w:r>
      <w:r>
        <w:rPr>
          <w:color w:val="000000"/>
          <w:sz w:val="16"/>
          <w:szCs w:val="16"/>
        </w:rPr>
        <w:fldChar w:fldCharType="end"/>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 xml:space="preserve">Apparently, </w:t>
      </w:r>
      <w:proofErr w:type="gramStart"/>
      <w:r>
        <w:rPr>
          <w:color w:val="000000"/>
        </w:rPr>
        <w:t>that provision-or provisions</w:t>
      </w:r>
      <w:proofErr w:type="gramEnd"/>
      <w:r>
        <w:rPr>
          <w:color w:val="000000"/>
        </w:rPr>
        <w:t xml:space="preserve"> with similar intentions-never went beyond the discussion stage at MetLife. That fact is easily understood; indeed, MetLife’s own documents articulate several reasonable, undisputed explanations:</w:t>
      </w:r>
    </w:p>
    <w:p w:rsidR="003E7A82" w:rsidRDefault="003E7A82">
      <w:pPr>
        <w:widowControl w:val="0"/>
        <w:autoSpaceDE w:val="0"/>
        <w:autoSpaceDN w:val="0"/>
        <w:adjustRightInd w:val="0"/>
        <w:spacing w:before="250" w:after="50"/>
        <w:ind w:left="1000" w:right="800"/>
        <w:jc w:val="both"/>
        <w:rPr>
          <w:color w:val="000000"/>
        </w:rPr>
      </w:pPr>
      <w:r>
        <w:rPr>
          <w:color w:val="000000"/>
        </w:rPr>
        <w:t xml:space="preserve">While it would be possible to broaden the change in ownership covenant to cover any acquisition-oriented transaction, </w:t>
      </w:r>
      <w:r>
        <w:rPr>
          <w:i/>
          <w:iCs/>
          <w:color w:val="000000"/>
        </w:rPr>
        <w:t>we might well encounter significant resistance in implementation with larger public companies ...</w:t>
      </w:r>
      <w:r>
        <w:rPr>
          <w:color w:val="000000"/>
        </w:rPr>
        <w:t xml:space="preserve"> With respect to implementation, we would be faced with the task of imposing a non-standard limitation on potential borrowers, </w:t>
      </w:r>
      <w:r>
        <w:rPr>
          <w:i/>
          <w:iCs/>
          <w:color w:val="000000"/>
        </w:rPr>
        <w:t>which could be a difficult task in today’s highly competitive marketplace. Competitive pressures notwithstanding, it would seem that management of larger public companies would be particularly opposed to such a covenant since its effect would be to increase the cost of an acquisition</w:t>
      </w:r>
      <w:r>
        <w:rPr>
          <w:color w:val="000000"/>
        </w:rPr>
        <w:t xml:space="preserve"> (due to an assumed debt repayment), a factor that could well lower the price of any tender offer (thereby impacting shareholders).</w:t>
      </w:r>
    </w:p>
    <w:p w:rsidR="003E7A82" w:rsidRDefault="003E7A82">
      <w:pPr>
        <w:widowControl w:val="0"/>
        <w:autoSpaceDE w:val="0"/>
        <w:autoSpaceDN w:val="0"/>
        <w:adjustRightInd w:val="0"/>
        <w:spacing w:before="200"/>
        <w:jc w:val="both"/>
        <w:rPr>
          <w:color w:val="000000"/>
        </w:rPr>
      </w:pPr>
      <w:r>
        <w:rPr>
          <w:color w:val="000000"/>
        </w:rPr>
        <w:t>The November 1985 memorandum explained that</w:t>
      </w:r>
    </w:p>
    <w:p w:rsidR="003E7A82" w:rsidRPr="00547B5B" w:rsidRDefault="003E7A82" w:rsidP="00547B5B">
      <w:pPr>
        <w:widowControl w:val="0"/>
        <w:autoSpaceDE w:val="0"/>
        <w:autoSpaceDN w:val="0"/>
        <w:adjustRightInd w:val="0"/>
        <w:spacing w:before="250" w:after="50"/>
        <w:ind w:left="1000" w:right="800"/>
        <w:jc w:val="both"/>
        <w:rPr>
          <w:i/>
          <w:iCs/>
          <w:color w:val="000000"/>
        </w:rPr>
      </w:pPr>
      <w:r>
        <w:rPr>
          <w:color w:val="000000"/>
        </w:rPr>
        <w:t>[</w:t>
      </w:r>
      <w:proofErr w:type="gramStart"/>
      <w:r>
        <w:rPr>
          <w:color w:val="000000"/>
        </w:rPr>
        <w:t>o]</w:t>
      </w:r>
      <w:proofErr w:type="spellStart"/>
      <w:r>
        <w:rPr>
          <w:color w:val="000000"/>
        </w:rPr>
        <w:t>bviously</w:t>
      </w:r>
      <w:proofErr w:type="spellEnd"/>
      <w:proofErr w:type="gramEnd"/>
      <w:r>
        <w:rPr>
          <w:color w:val="000000"/>
        </w:rPr>
        <w:t xml:space="preserve">, our ability to implement methods of takeover protection will vary between the public and private market. In that public securities do not contain any meaningful covenants, it would be very difficult for [MetLife] to demand takeover protection in public bonds. Such a requirement would effectively take us out of the public industrial market. A recent </w:t>
      </w:r>
      <w:r>
        <w:rPr>
          <w:i/>
          <w:iCs/>
          <w:color w:val="000000"/>
        </w:rPr>
        <w:t>Business Week</w:t>
      </w:r>
      <w:r>
        <w:rPr>
          <w:color w:val="000000"/>
        </w:rPr>
        <w:t xml:space="preserve"> article does suggest, however, that there is increasing talk among lending institutions about requiring blue chip companies to compensate them for the growing risk of </w:t>
      </w:r>
      <w:proofErr w:type="spellStart"/>
      <w:r>
        <w:rPr>
          <w:color w:val="000000"/>
        </w:rPr>
        <w:t>downgradings</w:t>
      </w:r>
      <w:proofErr w:type="spellEnd"/>
      <w:r>
        <w:rPr>
          <w:color w:val="000000"/>
        </w:rPr>
        <w:t xml:space="preserve">. </w:t>
      </w:r>
      <w:r>
        <w:rPr>
          <w:i/>
          <w:iCs/>
          <w:color w:val="000000"/>
        </w:rPr>
        <w:t>This talk, regarding such protection as restrictions on future debt financings, is met with skepticism by the investment banking community which feels that CFO’s are not about to give up the option of adding debt and do not really care if their companies’ credit ratings drop a notch or two.</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Rather, the</w:t>
      </w:r>
      <w:r w:rsidR="00547B5B">
        <w:rPr>
          <w:color w:val="000000"/>
        </w:rPr>
        <w:t>se</w:t>
      </w:r>
      <w:r>
        <w:rPr>
          <w:color w:val="000000"/>
        </w:rPr>
        <w:t xml:space="preserve"> documents set forth the background to the present action, and highlight the risks inherent in the market itself, for any investor. Investors as sophisticated as MetLife and Jefferson-Pilot would be hard-pressed to plead ignorance of these market risks. Indeed, MetLife has not disputed the facts asserted in </w:t>
      </w:r>
      <w:proofErr w:type="gramStart"/>
      <w:r>
        <w:rPr>
          <w:color w:val="000000"/>
        </w:rPr>
        <w:t>its own</w:t>
      </w:r>
      <w:proofErr w:type="gramEnd"/>
      <w:r>
        <w:rPr>
          <w:color w:val="000000"/>
        </w:rPr>
        <w:t xml:space="preserve"> internal documents. Nor has Jefferson-Pilot-presumably an institution no less sophisticated than MetLife-offered any reason to believe that its understanding of the securities market differed in any material respect from the description and analysis set forth in the MetLife documents. Those documents, after all, were not born in a vacuum. They are descriptions of, and responses to, the market in which investors like MetLife and Jefferson-Pilot knowingly participated.</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 xml:space="preserve">These documents must be read in conjunction with plaintiffs’ Amended Complaint. That document asserts that the LBO “undermines the foundation of the investment grade debt </w:t>
      </w:r>
      <w:proofErr w:type="gramStart"/>
      <w:r>
        <w:rPr>
          <w:color w:val="000000"/>
        </w:rPr>
        <w:t>market ...</w:t>
      </w:r>
      <w:proofErr w:type="gramEnd"/>
      <w:r>
        <w:rPr>
          <w:color w:val="000000"/>
        </w:rPr>
        <w:t>,”</w:t>
      </w:r>
      <w:r w:rsidR="00547B5B">
        <w:rPr>
          <w:color w:val="000000"/>
        </w:rPr>
        <w:t xml:space="preserve"> </w:t>
      </w:r>
      <w:r>
        <w:rPr>
          <w:color w:val="000000"/>
        </w:rPr>
        <w:t>although “the indentures do not purport to limit dividends or debt ... [s]</w:t>
      </w:r>
      <w:proofErr w:type="spellStart"/>
      <w:r>
        <w:rPr>
          <w:color w:val="000000"/>
        </w:rPr>
        <w:t>uch</w:t>
      </w:r>
      <w:proofErr w:type="spellEnd"/>
      <w:r>
        <w:rPr>
          <w:color w:val="000000"/>
        </w:rPr>
        <w:t xml:space="preserve"> covenants were believed unnecessary with blue chip companies ...”, that “the transaction contradicts the premise of th</w:t>
      </w:r>
      <w:r w:rsidR="00547B5B">
        <w:rPr>
          <w:color w:val="000000"/>
        </w:rPr>
        <w:t xml:space="preserve">e investment grade market ...” </w:t>
      </w:r>
      <w:r>
        <w:rPr>
          <w:color w:val="000000"/>
        </w:rPr>
        <w:t>and, finally, that “[t]his buy-out was not contemplated at the time the debt was issued, contradicts the premise of the investment grade ratings that RJR Nabisco actively solicited and received, and is inconsistent with the understandings of the market ... which [p]</w:t>
      </w:r>
      <w:proofErr w:type="spellStart"/>
      <w:r>
        <w:rPr>
          <w:color w:val="000000"/>
        </w:rPr>
        <w:t>laintiffs</w:t>
      </w:r>
      <w:proofErr w:type="spellEnd"/>
      <w:r>
        <w:rPr>
          <w:color w:val="000000"/>
        </w:rPr>
        <w:t xml:space="preserve"> relied upon.” </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Solely for the purposes of these motions, the Court accepts various factual assertions advanced by plaintiffs: first, that RJR Nabisco actively solicited “investment grade” ratings for its debt; second, that it relied on descriptions of its strong capital structure and earnings record which included prominent display of its ability to pay the interest obligations on its long-term debt several times over, and third, that the company made express or implied representations not contained in the relevant indentures concerning its future creditworthiness. In support of those allegations, plaintiffs have marshaled a number of speeches made by co-defendant Johnson and other executives of RJR Nabisco.</w:t>
      </w:r>
      <w:bookmarkStart w:id="25" w:name="co_footnoteReference_B018181989106940_ID"/>
      <w:bookmarkEnd w:id="25"/>
      <w:r>
        <w:rPr>
          <w:color w:val="000000"/>
          <w:sz w:val="16"/>
          <w:szCs w:val="16"/>
        </w:rPr>
        <w:fldChar w:fldCharType="begin"/>
      </w:r>
      <w:r>
        <w:rPr>
          <w:color w:val="000000"/>
          <w:sz w:val="16"/>
          <w:szCs w:val="16"/>
        </w:rPr>
        <w:instrText xml:space="preserve">HYPERLINK "#co_footnote_B018181989106940_1" </w:instrText>
      </w:r>
      <w:r>
        <w:rPr>
          <w:color w:val="000000"/>
          <w:sz w:val="16"/>
          <w:szCs w:val="16"/>
        </w:rPr>
      </w:r>
      <w:r>
        <w:rPr>
          <w:color w:val="000000"/>
          <w:sz w:val="16"/>
          <w:szCs w:val="16"/>
        </w:rPr>
        <w:fldChar w:fldCharType="separate"/>
      </w:r>
      <w:r>
        <w:rPr>
          <w:color w:val="000000"/>
          <w:sz w:val="16"/>
          <w:szCs w:val="16"/>
          <w:vertAlign w:val="superscript"/>
        </w:rPr>
        <w:t>18</w:t>
      </w:r>
      <w:r>
        <w:rPr>
          <w:color w:val="000000"/>
          <w:sz w:val="16"/>
          <w:szCs w:val="16"/>
        </w:rPr>
        <w:fldChar w:fldCharType="end"/>
      </w:r>
      <w:r>
        <w:rPr>
          <w:color w:val="000000"/>
        </w:rPr>
        <w:t xml:space="preserve"> In addition, plaintiffs rely on an affidavit sworn to by John </w:t>
      </w:r>
      <w:proofErr w:type="spellStart"/>
      <w:r>
        <w:rPr>
          <w:color w:val="000000"/>
        </w:rPr>
        <w:t>Dowdle</w:t>
      </w:r>
      <w:proofErr w:type="spellEnd"/>
      <w:r>
        <w:rPr>
          <w:color w:val="000000"/>
        </w:rPr>
        <w:t>, the former Treasurer and then Senior Vice President of RJR Nabisco from 1970 until 1987. In his opinion, the LBO “clearly undermines the fundamental premise of the [</w:t>
      </w:r>
      <w:proofErr w:type="gramStart"/>
      <w:r>
        <w:rPr>
          <w:color w:val="000000"/>
        </w:rPr>
        <w:t>c]</w:t>
      </w:r>
      <w:proofErr w:type="spellStart"/>
      <w:r>
        <w:rPr>
          <w:color w:val="000000"/>
        </w:rPr>
        <w:t>ompany’s</w:t>
      </w:r>
      <w:proofErr w:type="spellEnd"/>
      <w:proofErr w:type="gramEnd"/>
      <w:r>
        <w:rPr>
          <w:color w:val="000000"/>
        </w:rPr>
        <w:t xml:space="preserve"> bargain with the bondholders, and the commitment that I believe the [c]</w:t>
      </w:r>
      <w:proofErr w:type="spellStart"/>
      <w:r>
        <w:rPr>
          <w:color w:val="000000"/>
        </w:rPr>
        <w:t>ompany</w:t>
      </w:r>
      <w:proofErr w:type="spellEnd"/>
      <w:r>
        <w:rPr>
          <w:color w:val="000000"/>
        </w:rPr>
        <w:t xml:space="preserve"> made to the bondholders ... I firmly believe that the company made commitments ... that require it to redeem [these bonds and notes] before paying out the value to the shareholders.” </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bookmarkStart w:id="26" w:name="co_anchor_I0704dbf0414611e08b05fdf15589d"/>
      <w:bookmarkEnd w:id="26"/>
    </w:p>
    <w:p w:rsidR="003E7A82" w:rsidRDefault="003E7A82">
      <w:pPr>
        <w:widowControl w:val="0"/>
        <w:autoSpaceDE w:val="0"/>
        <w:autoSpaceDN w:val="0"/>
        <w:adjustRightInd w:val="0"/>
        <w:spacing w:before="400" w:after="200"/>
        <w:jc w:val="center"/>
        <w:rPr>
          <w:color w:val="000000"/>
        </w:rPr>
      </w:pPr>
      <w:r>
        <w:rPr>
          <w:color w:val="000000"/>
        </w:rPr>
        <w:t>III. DISCUSSION</w:t>
      </w:r>
    </w:p>
    <w:p w:rsidR="003E7A82" w:rsidRDefault="003E7A82">
      <w:pPr>
        <w:widowControl w:val="0"/>
        <w:autoSpaceDE w:val="0"/>
        <w:autoSpaceDN w:val="0"/>
        <w:adjustRightInd w:val="0"/>
        <w:jc w:val="both"/>
        <w:rPr>
          <w:color w:val="000000"/>
        </w:rPr>
      </w:pPr>
      <w:bookmarkStart w:id="27" w:name="co_anchor_B11989106940_1"/>
      <w:bookmarkEnd w:id="27"/>
      <w:r>
        <w:rPr>
          <w:color w:val="000000"/>
        </w:rPr>
        <w:t xml:space="preserve">At the outset, the Court notes that nothing in its evaluation is substantively altered by the speeches given or remarks made by RJR Nabisco executives, or the opinions of various individuals-what, for instance, former RJR Nabisco Treasurer </w:t>
      </w:r>
      <w:proofErr w:type="spellStart"/>
      <w:r>
        <w:rPr>
          <w:color w:val="000000"/>
        </w:rPr>
        <w:t>Dowdle</w:t>
      </w:r>
      <w:proofErr w:type="spellEnd"/>
      <w:r>
        <w:rPr>
          <w:color w:val="000000"/>
        </w:rPr>
        <w:t xml:space="preserve"> personally did or did not “firmly believe” the indentures meant. </w:t>
      </w:r>
      <w:r w:rsidR="00547B5B">
        <w:rPr>
          <w:i/>
          <w:iCs/>
          <w:color w:val="000000"/>
        </w:rPr>
        <w:t xml:space="preserve"> </w:t>
      </w:r>
      <w:r>
        <w:rPr>
          <w:color w:val="000000"/>
        </w:rPr>
        <w:t xml:space="preserve">The </w:t>
      </w:r>
      <w:proofErr w:type="spellStart"/>
      <w:r>
        <w:rPr>
          <w:color w:val="000000"/>
        </w:rPr>
        <w:t>parol</w:t>
      </w:r>
      <w:proofErr w:type="spellEnd"/>
      <w:r>
        <w:rPr>
          <w:color w:val="000000"/>
        </w:rPr>
        <w:t xml:space="preserve"> evidence rule bars plaintiffs from arguing that the speeches made by company executives </w:t>
      </w:r>
      <w:bookmarkStart w:id="28" w:name="co_pp_sp_345_1515_1"/>
      <w:bookmarkEnd w:id="28"/>
      <w:r>
        <w:rPr>
          <w:color w:val="000000"/>
        </w:rPr>
        <w:t>prove defendants agreed or acquiesced to a term that does not appear in the indentures</w:t>
      </w:r>
      <w:r w:rsidR="00547B5B">
        <w:rPr>
          <w:color w:val="000000"/>
        </w:rPr>
        <w:t>.</w:t>
      </w:r>
      <w:r>
        <w:rPr>
          <w:color w:val="000000"/>
        </w:rPr>
        <w:t xml:space="preserve"> </w:t>
      </w:r>
      <w:r w:rsidR="00547B5B">
        <w:rPr>
          <w:color w:val="000000"/>
        </w:rPr>
        <w:t xml:space="preserve"> </w:t>
      </w:r>
      <w:r>
        <w:rPr>
          <w:color w:val="000000"/>
        </w:rPr>
        <w:t xml:space="preserve">In interpreting these contracts, this Court must be concerned with what the parties intended, but only to the extent that what they intended is evidenced by what is written in the indentures. </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bookmarkStart w:id="29" w:name="co_anchor_B21989106940_1"/>
      <w:bookmarkEnd w:id="29"/>
      <w:r>
        <w:rPr>
          <w:color w:val="000000"/>
        </w:rPr>
        <w:t>The indentures at issue clearly address the eventuality of a merger. They impose certain related restrictions not at issue in this suit, but no restriction that would prevent the recent RJR Nabisco merger transaction. The indentures also explicitly set forth provisions for the adoption of new covenants, if such a course is deemed appropriate. While it may be true that no explicit provision either permits or prohibits an LBO, such contractual silence itself cannot create ambiguity to avoid the dictates of the parole evidence rule, particularly where the indentures impose no debt limitations.</w:t>
      </w:r>
    </w:p>
    <w:p w:rsidR="003E7A82" w:rsidRDefault="003E7A82">
      <w:pPr>
        <w:widowControl w:val="0"/>
        <w:autoSpaceDE w:val="0"/>
        <w:autoSpaceDN w:val="0"/>
        <w:adjustRightInd w:val="0"/>
        <w:jc w:val="both"/>
        <w:rPr>
          <w:color w:val="000000"/>
        </w:rPr>
      </w:pPr>
      <w:r>
        <w:rPr>
          <w:color w:val="000000"/>
        </w:rPr>
        <w:t> </w:t>
      </w:r>
    </w:p>
    <w:p w:rsidR="003E7A82" w:rsidRDefault="003E7A82" w:rsidP="007F2487">
      <w:pPr>
        <w:widowControl w:val="0"/>
        <w:autoSpaceDE w:val="0"/>
        <w:autoSpaceDN w:val="0"/>
        <w:adjustRightInd w:val="0"/>
        <w:jc w:val="both"/>
        <w:rPr>
          <w:color w:val="000000"/>
        </w:rPr>
      </w:pPr>
      <w:r>
        <w:rPr>
          <w:color w:val="000000"/>
        </w:rPr>
        <w:t xml:space="preserve">Under certain circumstances, however, courts will, as plaintiffs note, consider extrinsic evidence to evaluate the scope of an implied covenant of good faith. </w:t>
      </w:r>
      <w:r w:rsidR="007F2487">
        <w:rPr>
          <w:i/>
          <w:iCs/>
          <w:color w:val="000000"/>
        </w:rPr>
        <w:t xml:space="preserve"> </w:t>
      </w:r>
      <w:r>
        <w:rPr>
          <w:color w:val="000000"/>
        </w:rPr>
        <w:t xml:space="preserve">However, the Second Circuit has established a different rule for customary, or boilerplate, provisions of detailed indentures used and relied upon throughout the securities market, such as those at issue. </w:t>
      </w:r>
      <w:r>
        <w:rPr>
          <w:i/>
          <w:iCs/>
          <w:color w:val="000000"/>
        </w:rPr>
        <w:t>Sharon Steel Corporation v.</w:t>
      </w:r>
      <w:r w:rsidR="007F2487">
        <w:rPr>
          <w:i/>
          <w:iCs/>
          <w:color w:val="000000"/>
        </w:rPr>
        <w:t xml:space="preserve"> Chase Manhattan Bank.</w:t>
      </w:r>
    </w:p>
    <w:p w:rsidR="003E7A82" w:rsidRDefault="003E7A82">
      <w:pPr>
        <w:widowControl w:val="0"/>
        <w:autoSpaceDE w:val="0"/>
        <w:autoSpaceDN w:val="0"/>
        <w:adjustRightInd w:val="0"/>
        <w:jc w:val="both"/>
        <w:rPr>
          <w:color w:val="000000"/>
        </w:rPr>
      </w:pPr>
      <w:bookmarkStart w:id="30" w:name="co_anchor_I0704dbf1414611e08b05fdf15589d"/>
      <w:bookmarkEnd w:id="30"/>
    </w:p>
    <w:p w:rsidR="003E7A82" w:rsidRDefault="003E7A82">
      <w:pPr>
        <w:widowControl w:val="0"/>
        <w:autoSpaceDE w:val="0"/>
        <w:autoSpaceDN w:val="0"/>
        <w:adjustRightInd w:val="0"/>
        <w:spacing w:before="200"/>
        <w:jc w:val="center"/>
        <w:rPr>
          <w:i/>
          <w:iCs/>
          <w:color w:val="000000"/>
        </w:rPr>
      </w:pPr>
      <w:r>
        <w:rPr>
          <w:i/>
          <w:iCs/>
          <w:color w:val="000000"/>
        </w:rPr>
        <w:t>A. Plaintiffs’ Case Against the RJR Nabisco LBO:</w:t>
      </w:r>
    </w:p>
    <w:p w:rsidR="003E7A82" w:rsidRDefault="003E7A82">
      <w:pPr>
        <w:widowControl w:val="0"/>
        <w:autoSpaceDE w:val="0"/>
        <w:autoSpaceDN w:val="0"/>
        <w:adjustRightInd w:val="0"/>
        <w:spacing w:before="200"/>
        <w:jc w:val="center"/>
        <w:rPr>
          <w:color w:val="000000"/>
        </w:rPr>
      </w:pPr>
      <w:r>
        <w:rPr>
          <w:color w:val="000000"/>
        </w:rPr>
        <w:t>1. Count One: The implied covenant:</w:t>
      </w:r>
    </w:p>
    <w:p w:rsidR="003E7A82" w:rsidRDefault="003E7A82">
      <w:pPr>
        <w:widowControl w:val="0"/>
        <w:autoSpaceDE w:val="0"/>
        <w:autoSpaceDN w:val="0"/>
        <w:adjustRightInd w:val="0"/>
        <w:jc w:val="both"/>
        <w:rPr>
          <w:color w:val="000000"/>
        </w:rPr>
      </w:pPr>
      <w:r>
        <w:rPr>
          <w:color w:val="000000"/>
        </w:rPr>
        <w:t>In their first count, plaintiffs assert that</w:t>
      </w:r>
    </w:p>
    <w:p w:rsidR="003E7A82" w:rsidRDefault="003E7A82">
      <w:pPr>
        <w:widowControl w:val="0"/>
        <w:autoSpaceDE w:val="0"/>
        <w:autoSpaceDN w:val="0"/>
        <w:adjustRightInd w:val="0"/>
        <w:spacing w:before="200"/>
        <w:ind w:left="200"/>
        <w:jc w:val="both"/>
        <w:rPr>
          <w:color w:val="000000"/>
        </w:rPr>
      </w:pPr>
      <w:r>
        <w:rPr>
          <w:color w:val="000000"/>
        </w:rPr>
        <w:t>[</w:t>
      </w:r>
      <w:proofErr w:type="gramStart"/>
      <w:r>
        <w:rPr>
          <w:color w:val="000000"/>
        </w:rPr>
        <w:t>d]</w:t>
      </w:r>
      <w:proofErr w:type="spellStart"/>
      <w:r>
        <w:rPr>
          <w:color w:val="000000"/>
        </w:rPr>
        <w:t>efendant</w:t>
      </w:r>
      <w:proofErr w:type="spellEnd"/>
      <w:proofErr w:type="gramEnd"/>
      <w:r>
        <w:rPr>
          <w:color w:val="000000"/>
        </w:rPr>
        <w:t xml:space="preserve"> RJR Nabisco owes a continuing duty of good faith and fair dealing in connection with the contract [i.e., the indentures] through which it borrowed money from MetLife, Jefferson-Pilot and other holders of its debt, including a duty not to frustrate the purpose of the contracts to the </w:t>
      </w:r>
      <w:proofErr w:type="spellStart"/>
      <w:r>
        <w:rPr>
          <w:color w:val="000000"/>
        </w:rPr>
        <w:t>debtholders</w:t>
      </w:r>
      <w:proofErr w:type="spellEnd"/>
      <w:r>
        <w:rPr>
          <w:color w:val="000000"/>
        </w:rPr>
        <w:t xml:space="preserve"> or to deprive the </w:t>
      </w:r>
      <w:proofErr w:type="spellStart"/>
      <w:r>
        <w:rPr>
          <w:color w:val="000000"/>
        </w:rPr>
        <w:t>debtholders</w:t>
      </w:r>
      <w:proofErr w:type="spellEnd"/>
      <w:r>
        <w:rPr>
          <w:color w:val="000000"/>
        </w:rPr>
        <w:t xml:space="preserve"> of the intended object of the contracts-purchase of investment-grade securities.</w:t>
      </w:r>
    </w:p>
    <w:p w:rsidR="003E7A82" w:rsidRDefault="003E7A82">
      <w:pPr>
        <w:widowControl w:val="0"/>
        <w:autoSpaceDE w:val="0"/>
        <w:autoSpaceDN w:val="0"/>
        <w:adjustRightInd w:val="0"/>
        <w:spacing w:before="200"/>
        <w:ind w:left="200"/>
        <w:jc w:val="both"/>
        <w:rPr>
          <w:color w:val="000000"/>
        </w:rPr>
      </w:pPr>
      <w:r>
        <w:rPr>
          <w:color w:val="000000"/>
        </w:rPr>
        <w:t>In the “buy-out,” the [</w:t>
      </w:r>
      <w:proofErr w:type="gramStart"/>
      <w:r>
        <w:rPr>
          <w:color w:val="000000"/>
        </w:rPr>
        <w:t>c]</w:t>
      </w:r>
      <w:proofErr w:type="spellStart"/>
      <w:r>
        <w:rPr>
          <w:color w:val="000000"/>
        </w:rPr>
        <w:t>ompany</w:t>
      </w:r>
      <w:proofErr w:type="spellEnd"/>
      <w:proofErr w:type="gramEnd"/>
      <w:r>
        <w:rPr>
          <w:color w:val="000000"/>
        </w:rPr>
        <w:t xml:space="preserve"> breaches the duty [or implied covenant] of good faith and fair dealing by, </w:t>
      </w:r>
      <w:r>
        <w:rPr>
          <w:i/>
          <w:iCs/>
          <w:color w:val="000000"/>
        </w:rPr>
        <w:t>inter alia,</w:t>
      </w:r>
      <w:r>
        <w:rPr>
          <w:color w:val="000000"/>
        </w:rPr>
        <w:t xml:space="preserve"> destroying the investment grade quality of the debt and transferring that value to the “buy-out” proponents and to the shareholders.</w:t>
      </w:r>
    </w:p>
    <w:p w:rsidR="003E7A82" w:rsidRDefault="003E7A82">
      <w:pPr>
        <w:widowControl w:val="0"/>
        <w:autoSpaceDE w:val="0"/>
        <w:autoSpaceDN w:val="0"/>
        <w:adjustRightInd w:val="0"/>
        <w:spacing w:before="200"/>
        <w:jc w:val="both"/>
        <w:rPr>
          <w:color w:val="000000"/>
        </w:rPr>
      </w:pPr>
      <w:r>
        <w:rPr>
          <w:color w:val="000000"/>
        </w:rPr>
        <w:t xml:space="preserve">In effect, plaintiffs contend that express covenants were not necessary because an </w:t>
      </w:r>
      <w:r>
        <w:rPr>
          <w:i/>
          <w:iCs/>
          <w:color w:val="000000"/>
        </w:rPr>
        <w:t>implied</w:t>
      </w:r>
      <w:r>
        <w:rPr>
          <w:color w:val="000000"/>
        </w:rPr>
        <w:t xml:space="preserve"> covenant would prevent what defendants have now done.</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bookmarkStart w:id="31" w:name="co_anchor_B31989106940_1"/>
      <w:bookmarkEnd w:id="31"/>
      <w:r>
        <w:rPr>
          <w:color w:val="000000"/>
        </w:rPr>
        <w:t xml:space="preserve">A plaintiff always can allege a violation of an express covenant. If there has been such a violation, of course, the court need not reach the question of whether or not an </w:t>
      </w:r>
      <w:r>
        <w:rPr>
          <w:i/>
          <w:iCs/>
          <w:color w:val="000000"/>
        </w:rPr>
        <w:t>implied</w:t>
      </w:r>
      <w:r>
        <w:rPr>
          <w:color w:val="000000"/>
        </w:rPr>
        <w:t xml:space="preserve"> covenant has been violated. </w:t>
      </w:r>
      <w:bookmarkStart w:id="32" w:name="co_pp_sp_345_1517_1"/>
      <w:bookmarkEnd w:id="32"/>
      <w:r>
        <w:rPr>
          <w:color w:val="000000"/>
        </w:rPr>
        <w:t xml:space="preserve">That inquiry surfaces where, while the express terms may not have been technically breached, one party has nonetheless effectively deprived the other of those express, explicitly bargained-for benefits. In such a case, a court will read an implied covenant of good faith and fair dealing into a contract to ensure that neither party deprives the other of “the fruits of the agreement.” Such a covenant is implied only where the implied term “is consistent with other mutually agreed upon terms in the contract.” </w:t>
      </w:r>
      <w:proofErr w:type="spellStart"/>
      <w:proofErr w:type="gramStart"/>
      <w:r>
        <w:rPr>
          <w:i/>
          <w:iCs/>
          <w:color w:val="000000"/>
        </w:rPr>
        <w:t>Sabetay</w:t>
      </w:r>
      <w:proofErr w:type="spellEnd"/>
      <w:r>
        <w:rPr>
          <w:i/>
          <w:iCs/>
          <w:color w:val="000000"/>
        </w:rPr>
        <w:t xml:space="preserve"> v. Sterling Drug, Inc.</w:t>
      </w:r>
      <w:proofErr w:type="gramEnd"/>
      <w:r w:rsidR="007F2487">
        <w:rPr>
          <w:i/>
          <w:iCs/>
          <w:color w:val="000000"/>
        </w:rPr>
        <w:t xml:space="preserve">  </w:t>
      </w:r>
      <w:r>
        <w:rPr>
          <w:color w:val="000000"/>
        </w:rPr>
        <w:t xml:space="preserve">In other words, the implied covenant will only aid and further the explicit terms of the agreement and will never impose an obligation “ ‘which would be inconsistent with other terms of the contractual relationship.’ ” </w:t>
      </w:r>
      <w:hyperlink r:id="rId8" w:history="1">
        <w:r>
          <w:rPr>
            <w:i/>
            <w:iCs/>
            <w:color w:val="000000"/>
          </w:rPr>
          <w:t>Id.</w:t>
        </w:r>
      </w:hyperlink>
      <w:r>
        <w:rPr>
          <w:color w:val="000000"/>
        </w:rPr>
        <w:t xml:space="preserve"> (citation omitted). Viewed another way, the implied covenant of good faith is breached only when one party seeks to prevent the contract’s performance or to withhold its benefits. </w:t>
      </w:r>
      <w:r w:rsidR="007F2487">
        <w:rPr>
          <w:i/>
          <w:iCs/>
          <w:color w:val="000000"/>
        </w:rPr>
        <w:t xml:space="preserve"> </w:t>
      </w:r>
      <w:r>
        <w:rPr>
          <w:color w:val="000000"/>
        </w:rPr>
        <w:t xml:space="preserve">As a result, it thus ensures that parties to a contract perform the substantive, bargained-for terms of their agreement. </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 xml:space="preserve">In contracts like bond indentures, “an implied covenant ... derives its substance directly from the language of the Indenture, and ‘cannot give the holders of Debentures any rights inconsistent with those set out in the Indenture.’ </w:t>
      </w:r>
      <w:r>
        <w:rPr>
          <w:i/>
          <w:iCs/>
          <w:color w:val="000000"/>
        </w:rPr>
        <w:t xml:space="preserve">[Where] plaintiffs’ contractual rights [have not been] violated, there can have been no breach of an implied covenant.” </w:t>
      </w:r>
      <w:proofErr w:type="gramStart"/>
      <w:r>
        <w:rPr>
          <w:i/>
          <w:iCs/>
          <w:color w:val="000000"/>
        </w:rPr>
        <w:t>Gardner &amp; Florence Call Cowles Foundation v. Empire Inc</w:t>
      </w:r>
      <w:r w:rsidR="006D0EB4">
        <w:rPr>
          <w:i/>
          <w:iCs/>
          <w:color w:val="000000"/>
        </w:rPr>
        <w:t>.</w:t>
      </w:r>
      <w:proofErr w:type="gramEnd"/>
      <w:r>
        <w:rPr>
          <w:color w:val="000000"/>
        </w:rPr>
        <w:t xml:space="preserve"> </w:t>
      </w:r>
    </w:p>
    <w:p w:rsidR="003E7A82" w:rsidRDefault="003E7A82">
      <w:pPr>
        <w:widowControl w:val="0"/>
        <w:autoSpaceDE w:val="0"/>
        <w:autoSpaceDN w:val="0"/>
        <w:adjustRightInd w:val="0"/>
        <w:jc w:val="both"/>
        <w:rPr>
          <w:color w:val="000000"/>
        </w:rPr>
      </w:pPr>
      <w:r>
        <w:rPr>
          <w:color w:val="000000"/>
        </w:rPr>
        <w:t> </w:t>
      </w:r>
    </w:p>
    <w:p w:rsidR="003E7A82" w:rsidRDefault="003E7A82" w:rsidP="006D0EB4">
      <w:pPr>
        <w:widowControl w:val="0"/>
        <w:autoSpaceDE w:val="0"/>
        <w:autoSpaceDN w:val="0"/>
        <w:adjustRightInd w:val="0"/>
        <w:jc w:val="both"/>
        <w:rPr>
          <w:color w:val="000000"/>
        </w:rPr>
      </w:pPr>
      <w:r>
        <w:rPr>
          <w:color w:val="000000"/>
        </w:rPr>
        <w:t xml:space="preserve">Thus, in cases like </w:t>
      </w:r>
      <w:hyperlink r:id="rId9" w:history="1">
        <w:r>
          <w:rPr>
            <w:i/>
            <w:iCs/>
            <w:color w:val="000000"/>
          </w:rPr>
          <w:t xml:space="preserve">Van </w:t>
        </w:r>
        <w:proofErr w:type="spellStart"/>
        <w:r>
          <w:rPr>
            <w:i/>
            <w:iCs/>
            <w:color w:val="000000"/>
          </w:rPr>
          <w:t>Gemert</w:t>
        </w:r>
        <w:proofErr w:type="spellEnd"/>
        <w:r>
          <w:rPr>
            <w:i/>
            <w:iCs/>
            <w:color w:val="000000"/>
          </w:rPr>
          <w:t xml:space="preserve"> v. Boeing Co.,</w:t>
        </w:r>
        <w:r>
          <w:rPr>
            <w:color w:val="000000"/>
          </w:rPr>
          <w:t xml:space="preserve"> 520 F.2d 1373 (2d Cir.)</w:t>
        </w:r>
      </w:hyperlink>
      <w:r>
        <w:rPr>
          <w:color w:val="000000"/>
        </w:rPr>
        <w:t xml:space="preserve">, </w:t>
      </w:r>
      <w:r>
        <w:rPr>
          <w:i/>
          <w:iCs/>
          <w:color w:val="000000"/>
        </w:rPr>
        <w:t>cert. denied,</w:t>
      </w:r>
      <w:r>
        <w:rPr>
          <w:color w:val="000000"/>
        </w:rPr>
        <w:t xml:space="preserve"> </w:t>
      </w:r>
      <w:hyperlink r:id="rId10" w:history="1">
        <w:r>
          <w:rPr>
            <w:color w:val="000000"/>
          </w:rPr>
          <w:t xml:space="preserve">423 U.S. 947, 96 </w:t>
        </w:r>
        <w:proofErr w:type="spellStart"/>
        <w:r>
          <w:rPr>
            <w:color w:val="000000"/>
          </w:rPr>
          <w:t>S.Ct</w:t>
        </w:r>
        <w:proofErr w:type="spellEnd"/>
        <w:r>
          <w:rPr>
            <w:color w:val="000000"/>
          </w:rPr>
          <w:t>. 364, 46 L.Ed.2d 282 (1975)</w:t>
        </w:r>
      </w:hyperlink>
      <w:r>
        <w:rPr>
          <w:color w:val="000000"/>
        </w:rPr>
        <w:t xml:space="preserve"> </w:t>
      </w:r>
      <w:hyperlink r:id="rId11" w:history="1">
        <w:r>
          <w:rPr>
            <w:color w:val="000000"/>
          </w:rPr>
          <w:t>(“</w:t>
        </w:r>
        <w:r>
          <w:rPr>
            <w:i/>
            <w:iCs/>
            <w:color w:val="000000"/>
          </w:rPr>
          <w:t xml:space="preserve">Van </w:t>
        </w:r>
        <w:proofErr w:type="spellStart"/>
        <w:r>
          <w:rPr>
            <w:i/>
            <w:iCs/>
            <w:color w:val="000000"/>
          </w:rPr>
          <w:t>Gemert</w:t>
        </w:r>
        <w:proofErr w:type="spellEnd"/>
        <w:r>
          <w:rPr>
            <w:i/>
            <w:iCs/>
            <w:color w:val="000000"/>
          </w:rPr>
          <w:t xml:space="preserve"> I</w:t>
        </w:r>
        <w:r>
          <w:rPr>
            <w:color w:val="000000"/>
          </w:rPr>
          <w:t xml:space="preserve"> ”),</w:t>
        </w:r>
      </w:hyperlink>
      <w:r>
        <w:rPr>
          <w:color w:val="000000"/>
        </w:rPr>
        <w:t xml:space="preserve"> and </w:t>
      </w:r>
      <w:hyperlink r:id="rId12" w:history="1">
        <w:r>
          <w:rPr>
            <w:i/>
            <w:iCs/>
            <w:color w:val="000000"/>
          </w:rPr>
          <w:t>Pittsburgh Terminal Corp. v. Baltimore &amp; Ohio Ry. Co.,</w:t>
        </w:r>
        <w:r>
          <w:rPr>
            <w:color w:val="000000"/>
          </w:rPr>
          <w:t xml:space="preserve"> 680 F.2d 933 (3d Cir.)</w:t>
        </w:r>
      </w:hyperlink>
      <w:r>
        <w:rPr>
          <w:color w:val="000000"/>
        </w:rPr>
        <w:t xml:space="preserve">, </w:t>
      </w:r>
      <w:r>
        <w:rPr>
          <w:i/>
          <w:iCs/>
          <w:color w:val="000000"/>
        </w:rPr>
        <w:t>cert. denied,</w:t>
      </w:r>
      <w:r>
        <w:rPr>
          <w:color w:val="000000"/>
        </w:rPr>
        <w:t xml:space="preserve"> </w:t>
      </w:r>
      <w:hyperlink r:id="rId13" w:history="1">
        <w:r>
          <w:rPr>
            <w:color w:val="000000"/>
          </w:rPr>
          <w:t xml:space="preserve">459 U.S. 1056, 103 </w:t>
        </w:r>
        <w:proofErr w:type="spellStart"/>
        <w:r>
          <w:rPr>
            <w:color w:val="000000"/>
          </w:rPr>
          <w:t>S.Ct</w:t>
        </w:r>
        <w:proofErr w:type="spellEnd"/>
        <w:r>
          <w:rPr>
            <w:color w:val="000000"/>
          </w:rPr>
          <w:t>. 475, 74 L.Ed.2d 621 (1982)</w:t>
        </w:r>
      </w:hyperlink>
      <w:r>
        <w:rPr>
          <w:color w:val="000000"/>
        </w:rPr>
        <w:t xml:space="preserve">-both relied upon by plaintiffs-the courts used the implied covenant of good faith and fair dealing to ensure that the bondholders received the benefit of their bargain as determined from the face of the contracts at issue. In </w:t>
      </w:r>
      <w:hyperlink r:id="rId14" w:history="1">
        <w:r>
          <w:rPr>
            <w:i/>
            <w:iCs/>
            <w:color w:val="000000"/>
          </w:rPr>
          <w:t xml:space="preserve">Van </w:t>
        </w:r>
        <w:proofErr w:type="spellStart"/>
        <w:r>
          <w:rPr>
            <w:i/>
            <w:iCs/>
            <w:color w:val="000000"/>
          </w:rPr>
          <w:t>Gemert</w:t>
        </w:r>
        <w:proofErr w:type="spellEnd"/>
        <w:r>
          <w:rPr>
            <w:i/>
            <w:iCs/>
            <w:color w:val="000000"/>
          </w:rPr>
          <w:t xml:space="preserve"> I,</w:t>
        </w:r>
      </w:hyperlink>
      <w:r>
        <w:rPr>
          <w:color w:val="000000"/>
        </w:rPr>
        <w:t xml:space="preserve"> the plaintiff bondholders alleged inadequate notice to them of defendant’s intention to redeem the debentures in question and hence an inability to exercise their conversion rights before the applicable deadline. The contract itself provided that notice would be given in the first place. Faced with those provisions, defendants in that case unsurprisingly admitted that the indentures specifically required the company to provide the bondholders with notice. While defendant there issued a press release that mentioned the possible redemption of outstanding convertible debentures, that limited release did not “mention even the tentative dates for redemption and expiration of the conversion rights of debenture holders.” Moreover, defendant did not issue any general publicity or news release. Through an implied covenant, then, the court fleshed out the full extent of the more skeletal right that appeared in the contract itself, and thus protected plaintiff’s bargained-for right of conversion.</w:t>
      </w:r>
      <w:bookmarkStart w:id="33" w:name="co_footnoteReference_B021211989106940_ID"/>
      <w:bookmarkEnd w:id="33"/>
      <w:r>
        <w:rPr>
          <w:color w:val="000000"/>
          <w:sz w:val="16"/>
          <w:szCs w:val="16"/>
        </w:rPr>
        <w:fldChar w:fldCharType="begin"/>
      </w:r>
      <w:r>
        <w:rPr>
          <w:color w:val="000000"/>
          <w:sz w:val="16"/>
          <w:szCs w:val="16"/>
        </w:rPr>
        <w:instrText xml:space="preserve">HYPERLINK "#co_footnote_B021211989106940_1" </w:instrText>
      </w:r>
      <w:r>
        <w:rPr>
          <w:color w:val="000000"/>
          <w:sz w:val="16"/>
          <w:szCs w:val="16"/>
        </w:rPr>
      </w:r>
      <w:r>
        <w:rPr>
          <w:color w:val="000000"/>
          <w:sz w:val="16"/>
          <w:szCs w:val="16"/>
        </w:rPr>
        <w:fldChar w:fldCharType="separate"/>
      </w:r>
      <w:r>
        <w:rPr>
          <w:color w:val="000000"/>
          <w:sz w:val="16"/>
          <w:szCs w:val="16"/>
          <w:vertAlign w:val="superscript"/>
        </w:rPr>
        <w:t>21</w:t>
      </w:r>
      <w:r>
        <w:rPr>
          <w:color w:val="000000"/>
          <w:sz w:val="16"/>
          <w:szCs w:val="16"/>
        </w:rPr>
        <w:fldChar w:fldCharType="end"/>
      </w:r>
      <w:r>
        <w:rPr>
          <w:color w:val="000000"/>
        </w:rPr>
        <w:t xml:space="preserve"> </w:t>
      </w:r>
    </w:p>
    <w:p w:rsidR="006D0EB4" w:rsidRDefault="006D0EB4">
      <w:pPr>
        <w:widowControl w:val="0"/>
        <w:autoSpaceDE w:val="0"/>
        <w:autoSpaceDN w:val="0"/>
        <w:adjustRightInd w:val="0"/>
        <w:ind w:left="200"/>
        <w:jc w:val="both"/>
        <w:rPr>
          <w:color w:val="000000"/>
        </w:rPr>
      </w:pPr>
      <w:bookmarkStart w:id="34" w:name="co_pp_sp_345_1518_1"/>
      <w:bookmarkEnd w:id="34"/>
    </w:p>
    <w:p w:rsidR="003E7A82" w:rsidRDefault="003E7A82">
      <w:pPr>
        <w:widowControl w:val="0"/>
        <w:autoSpaceDE w:val="0"/>
        <w:autoSpaceDN w:val="0"/>
        <w:adjustRightInd w:val="0"/>
        <w:ind w:left="200"/>
        <w:jc w:val="both"/>
        <w:rPr>
          <w:color w:val="000000"/>
        </w:rPr>
      </w:pPr>
      <w:r>
        <w:rPr>
          <w:color w:val="000000"/>
        </w:rPr>
        <w:t xml:space="preserve">I also note, in passing, that </w:t>
      </w:r>
      <w:hyperlink r:id="rId15" w:history="1">
        <w:r>
          <w:rPr>
            <w:i/>
            <w:iCs/>
            <w:color w:val="000000"/>
          </w:rPr>
          <w:t xml:space="preserve">Van </w:t>
        </w:r>
        <w:proofErr w:type="spellStart"/>
        <w:r>
          <w:rPr>
            <w:i/>
            <w:iCs/>
            <w:color w:val="000000"/>
          </w:rPr>
          <w:t>Gemert</w:t>
        </w:r>
        <w:proofErr w:type="spellEnd"/>
        <w:r>
          <w:rPr>
            <w:i/>
            <w:iCs/>
            <w:color w:val="000000"/>
          </w:rPr>
          <w:t xml:space="preserve"> I</w:t>
        </w:r>
      </w:hyperlink>
      <w:r>
        <w:rPr>
          <w:color w:val="000000"/>
        </w:rPr>
        <w:t xml:space="preserve"> presented the Second Circuit with “less sophisticated investors.” Similarly, the court in </w:t>
      </w:r>
      <w:hyperlink r:id="rId16" w:history="1">
        <w:r>
          <w:rPr>
            <w:i/>
            <w:iCs/>
            <w:color w:val="000000"/>
          </w:rPr>
          <w:t>Pittsburgh Terminal</w:t>
        </w:r>
      </w:hyperlink>
      <w:r>
        <w:rPr>
          <w:color w:val="000000"/>
        </w:rPr>
        <w:t xml:space="preserve"> applied an implied covenant to the indentures at issue because defendants there “took steps to prevent the Bondholders from receiving information which they needed </w:t>
      </w:r>
      <w:r>
        <w:rPr>
          <w:i/>
          <w:iCs/>
          <w:color w:val="000000"/>
        </w:rPr>
        <w:t>in order to receive the fruits of their conversion option should they choose to exercise it.</w:t>
      </w:r>
      <w:r>
        <w:rPr>
          <w:color w:val="000000"/>
        </w:rPr>
        <w:t xml:space="preserve">” </w:t>
      </w:r>
      <w:hyperlink r:id="rId17" w:history="1">
        <w:r>
          <w:rPr>
            <w:i/>
            <w:iCs/>
            <w:color w:val="000000"/>
          </w:rPr>
          <w:t>Pittsburgh Terminal,</w:t>
        </w:r>
        <w:r>
          <w:rPr>
            <w:color w:val="000000"/>
          </w:rPr>
          <w:t xml:space="preserve"> 680 F.2d at 941</w:t>
        </w:r>
      </w:hyperlink>
      <w:r>
        <w:rPr>
          <w:color w:val="000000"/>
        </w:rPr>
        <w:t xml:space="preserve"> (emphasis added).</w:t>
      </w:r>
    </w:p>
    <w:p w:rsidR="003E7A82" w:rsidRDefault="003E7A82">
      <w:pPr>
        <w:widowControl w:val="0"/>
        <w:autoSpaceDE w:val="0"/>
        <w:autoSpaceDN w:val="0"/>
        <w:adjustRightInd w:val="0"/>
        <w:jc w:val="both"/>
        <w:rPr>
          <w:color w:val="000000"/>
        </w:rPr>
      </w:pPr>
      <w:r>
        <w:rPr>
          <w:color w:val="000000"/>
        </w:rPr>
        <w:t>The appropriate analysis, then, is first to examine the indentures to determine “the fruits of the agreement” between the parties, and then to decide whether those “fruits” have been spoiled-which is to say, whether plaintiffs’ contractual rights have been violated by defendants.</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 xml:space="preserve">The American Bar Foundation’s </w:t>
      </w:r>
      <w:r>
        <w:rPr>
          <w:i/>
          <w:iCs/>
          <w:color w:val="000000"/>
        </w:rPr>
        <w:t>Commentaries on Indentures</w:t>
      </w:r>
      <w:r>
        <w:rPr>
          <w:color w:val="000000"/>
        </w:rPr>
        <w:t xml:space="preserve"> (“the </w:t>
      </w:r>
      <w:r>
        <w:rPr>
          <w:i/>
          <w:iCs/>
          <w:color w:val="000000"/>
        </w:rPr>
        <w:t>Commentaries</w:t>
      </w:r>
      <w:r>
        <w:rPr>
          <w:color w:val="000000"/>
        </w:rPr>
        <w:t xml:space="preserve"> ”), relied upon and respected by both plaintiffs and defendants, describes the rights and risks generally found in bond indentures like those at issue:</w:t>
      </w:r>
    </w:p>
    <w:p w:rsidR="003E7A82" w:rsidRDefault="003E7A82">
      <w:pPr>
        <w:widowControl w:val="0"/>
        <w:autoSpaceDE w:val="0"/>
        <w:autoSpaceDN w:val="0"/>
        <w:adjustRightInd w:val="0"/>
        <w:spacing w:before="250" w:after="50"/>
        <w:ind w:left="1000" w:right="800"/>
        <w:jc w:val="both"/>
        <w:rPr>
          <w:i/>
          <w:iCs/>
          <w:color w:val="000000"/>
        </w:rPr>
      </w:pPr>
      <w:r>
        <w:rPr>
          <w:color w:val="000000"/>
        </w:rPr>
        <w:t>The most obvious and important characteristic of long-term debt financing is that the holder ordinarily has not bargained for and does not expect any substantial gain in the value of the security to compensate for the risk of loss ... [</w:t>
      </w:r>
      <w:proofErr w:type="gramStart"/>
      <w:r>
        <w:rPr>
          <w:color w:val="000000"/>
        </w:rPr>
        <w:t>T]he</w:t>
      </w:r>
      <w:proofErr w:type="gramEnd"/>
      <w:r>
        <w:rPr>
          <w:color w:val="000000"/>
        </w:rPr>
        <w:t xml:space="preserve"> significant fact, </w:t>
      </w:r>
      <w:r>
        <w:rPr>
          <w:i/>
          <w:iCs/>
          <w:color w:val="000000"/>
        </w:rPr>
        <w:t>which accounts in part for the detailed protective provisions of the typical long-term debt financing instrument,</w:t>
      </w:r>
      <w:r>
        <w:rPr>
          <w:color w:val="000000"/>
        </w:rPr>
        <w:t xml:space="preserve"> is that </w:t>
      </w:r>
      <w:r>
        <w:rPr>
          <w:i/>
          <w:iCs/>
          <w:color w:val="000000"/>
        </w:rPr>
        <w:t>the lender (the purchaser of the debt security) can expect only interest at the prescribed rate plus the eventual return of the principal.</w:t>
      </w:r>
      <w:r>
        <w:rPr>
          <w:color w:val="000000"/>
        </w:rPr>
        <w:t xml:space="preserve"> Except for possible increases in the market value of the debt security because of changes in interest rates, the debt security will seldom be worth more than the lender paid for it ... It may, of course, become worth much less. Accordingly, the typical investor in a long-term debt security is primarily interested in every reasonable assurance that the principal and interest will be paid when due.... Short of bankruptcy, </w:t>
      </w:r>
      <w:r>
        <w:rPr>
          <w:i/>
          <w:iCs/>
          <w:color w:val="000000"/>
        </w:rPr>
        <w:t>the debt security holder can do nothing to protect himself against actions of the borrower which jeopardize its ability to pay the debt unless he ... establishes his rights through contractual provisions set forth in the debt agreement or indenture.</w:t>
      </w:r>
    </w:p>
    <w:p w:rsidR="003E7A82" w:rsidRDefault="003E7A82">
      <w:pPr>
        <w:widowControl w:val="0"/>
        <w:autoSpaceDE w:val="0"/>
        <w:autoSpaceDN w:val="0"/>
        <w:adjustRightInd w:val="0"/>
        <w:spacing w:before="200"/>
        <w:jc w:val="both"/>
        <w:rPr>
          <w:color w:val="000000"/>
        </w:rPr>
      </w:pPr>
      <w:proofErr w:type="gramStart"/>
      <w:r>
        <w:rPr>
          <w:i/>
          <w:iCs/>
          <w:color w:val="000000"/>
        </w:rPr>
        <w:t>Id.</w:t>
      </w:r>
      <w:r>
        <w:rPr>
          <w:color w:val="000000"/>
        </w:rPr>
        <w:t xml:space="preserve"> at 1-2 (1971) (emphasis added).</w:t>
      </w:r>
      <w:proofErr w:type="gramEnd"/>
    </w:p>
    <w:p w:rsidR="006D0EB4" w:rsidRDefault="003E7A82">
      <w:pPr>
        <w:widowControl w:val="0"/>
        <w:autoSpaceDE w:val="0"/>
        <w:autoSpaceDN w:val="0"/>
        <w:adjustRightInd w:val="0"/>
        <w:jc w:val="both"/>
        <w:rPr>
          <w:color w:val="000000"/>
        </w:rPr>
      </w:pPr>
      <w:r>
        <w:rPr>
          <w:color w:val="000000"/>
        </w:rPr>
        <w:t> </w:t>
      </w:r>
      <w:bookmarkStart w:id="35" w:name="co_anchor_B41989106940_1"/>
      <w:bookmarkEnd w:id="35"/>
    </w:p>
    <w:p w:rsidR="003E7A82" w:rsidRPr="006D0EB4" w:rsidRDefault="003E7A82">
      <w:pPr>
        <w:widowControl w:val="0"/>
        <w:autoSpaceDE w:val="0"/>
        <w:autoSpaceDN w:val="0"/>
        <w:adjustRightInd w:val="0"/>
        <w:jc w:val="both"/>
        <w:rPr>
          <w:color w:val="000000"/>
        </w:rPr>
      </w:pPr>
      <w:r>
        <w:rPr>
          <w:color w:val="000000"/>
        </w:rPr>
        <w:t>A review of the parties’ submissions and the indentures themselves satisfies the Court that the substantive “fruits” guaranteed by those contracts and relevant to the present motions include the periodic and regular payment of interest and the eventual repayment of principal. According to a typical indenture, a default shall occur if the company either (1) fails to pay principal when due; (2) fails to make a timely sinking fund payment; (3) fails to pay within 30 days of the due date thereof any interest on the date; or (4) fails duly to observe or perform any of the express covenants or agreements set forth in the agreement. Plaintiffs’</w:t>
      </w:r>
      <w:bookmarkStart w:id="36" w:name="co_pp_sp_345_1519_1"/>
      <w:bookmarkEnd w:id="36"/>
      <w:r w:rsidR="006D0EB4">
        <w:rPr>
          <w:color w:val="000000"/>
        </w:rPr>
        <w:t xml:space="preserve"> </w:t>
      </w:r>
      <w:r>
        <w:rPr>
          <w:color w:val="000000"/>
        </w:rPr>
        <w:t>Amended Complaint nowhere alleges that RJR Nabisco has breached these contractual obligations</w:t>
      </w:r>
      <w:proofErr w:type="gramStart"/>
      <w:r>
        <w:rPr>
          <w:color w:val="000000"/>
        </w:rPr>
        <w:t>;</w:t>
      </w:r>
      <w:proofErr w:type="gramEnd"/>
      <w:r>
        <w:rPr>
          <w:color w:val="000000"/>
        </w:rPr>
        <w:t xml:space="preserve"> interest payments continue and there is no reason to believe that the principal will not be paid when due.</w:t>
      </w:r>
      <w:bookmarkStart w:id="37" w:name="co_footnoteReference_B024241989106940_ID"/>
      <w:bookmarkEnd w:id="37"/>
      <w:r>
        <w:rPr>
          <w:color w:val="000000"/>
          <w:sz w:val="16"/>
          <w:szCs w:val="16"/>
        </w:rPr>
        <w:fldChar w:fldCharType="begin"/>
      </w:r>
      <w:r>
        <w:rPr>
          <w:color w:val="000000"/>
          <w:sz w:val="16"/>
          <w:szCs w:val="16"/>
        </w:rPr>
        <w:instrText xml:space="preserve">HYPERLINK "#co_footnote_B024241989106940_1" </w:instrText>
      </w:r>
      <w:r>
        <w:rPr>
          <w:color w:val="000000"/>
          <w:sz w:val="16"/>
          <w:szCs w:val="16"/>
        </w:rPr>
      </w:r>
      <w:r>
        <w:rPr>
          <w:color w:val="000000"/>
          <w:sz w:val="16"/>
          <w:szCs w:val="16"/>
        </w:rPr>
        <w:fldChar w:fldCharType="separate"/>
      </w:r>
      <w:r>
        <w:rPr>
          <w:color w:val="000000"/>
          <w:sz w:val="16"/>
          <w:szCs w:val="16"/>
          <w:vertAlign w:val="superscript"/>
        </w:rPr>
        <w:t>24</w:t>
      </w:r>
      <w:r>
        <w:rPr>
          <w:color w:val="000000"/>
          <w:sz w:val="16"/>
          <w:szCs w:val="16"/>
        </w:rPr>
        <w:fldChar w:fldCharType="end"/>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bookmarkStart w:id="38" w:name="co_anchor_B51989106940_1"/>
      <w:bookmarkEnd w:id="38"/>
      <w:r>
        <w:rPr>
          <w:color w:val="000000"/>
        </w:rPr>
        <w:t xml:space="preserve">It is not necessary to decide that indentures like those at issue could never support a finding of additional benefits, under different circumstances with different parties. Rather, for present purposes, it is sufficient to conclude what obligation is </w:t>
      </w:r>
      <w:r>
        <w:rPr>
          <w:i/>
          <w:iCs/>
          <w:color w:val="000000"/>
        </w:rPr>
        <w:t>not</w:t>
      </w:r>
      <w:r>
        <w:rPr>
          <w:color w:val="000000"/>
        </w:rPr>
        <w:t xml:space="preserve"> covered, either explicitly or implicitly, by these contracts held by these plaintiffs. Accordingly, this Court holds that the “fruits” of these indentures do not include an implied restrictive covenant that would prevent the incurrence of new debt to facilitate the recent LBO. To hold otherwise would permit these plaintiffs to straightjacket the company in order to guarantee their investment. These plaintiffs do not invoke an implied covenant of good faith to protect a legitimate, mutually contemplated benefit of the indentures; rather, they seek to have this Court create an additional benefit for which they did not bargain.</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sz w:val="16"/>
          <w:szCs w:val="16"/>
        </w:rPr>
      </w:pPr>
      <w:r>
        <w:rPr>
          <w:color w:val="000000"/>
        </w:rPr>
        <w:t xml:space="preserve">Although the indentures generally permit mergers and the incurrence of new debt, there admittedly is not an explicit indenture provision to the contrary of what plaintiffs now claim the implied covenant requires. That absence, however, does </w:t>
      </w:r>
      <w:r>
        <w:rPr>
          <w:i/>
          <w:iCs/>
          <w:color w:val="000000"/>
        </w:rPr>
        <w:t>not</w:t>
      </w:r>
      <w:r>
        <w:rPr>
          <w:color w:val="000000"/>
        </w:rPr>
        <w:t xml:space="preserve"> mean that the Court should imply into those very same indentures a covenant of good faith so broad that it imposes a new, substantive term of enormous scope. This is so particularly where, as here, that very term-a limitation on the incurrence of additional debt-has in other past contexts been expressly bargained for; particularly where the indentures grant the company broad discretion in the management of it</w:t>
      </w:r>
      <w:r w:rsidR="006D0EB4">
        <w:rPr>
          <w:color w:val="000000"/>
        </w:rPr>
        <w:t xml:space="preserve">s affairs, as plaintiffs admit, </w:t>
      </w:r>
      <w:r>
        <w:rPr>
          <w:color w:val="000000"/>
        </w:rPr>
        <w:t xml:space="preserve">particularly where the indentures explicitly set forth specific provisions for the adoption of new covenants and restrictions; and </w:t>
      </w:r>
      <w:r>
        <w:rPr>
          <w:i/>
          <w:iCs/>
          <w:color w:val="000000"/>
        </w:rPr>
        <w:t>especially</w:t>
      </w:r>
      <w:r>
        <w:rPr>
          <w:color w:val="000000"/>
        </w:rPr>
        <w:t xml:space="preserve"> where there has been no breach of the parties’ bargained-for contractual rights on which the implied covenant necessarily is based. While the Court stands ready to employ an implied covenant of good faith to ensure that such bargained-for rights are performed and upheld, it will not, however, permit an implied covenant to shoehorn into an indenture additional terms plaintiffs now wish had been included. </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bookmarkStart w:id="39" w:name="co_pp_sp_345_1520_1"/>
      <w:bookmarkEnd w:id="39"/>
      <w:r>
        <w:rPr>
          <w:color w:val="000000"/>
        </w:rPr>
        <w:t xml:space="preserve">Plaintiffs argue in the most general terms that the fundamental basis of all these indentures was that an LBO along the lines of the recent RJR Nabisco transaction would never be undertaken, that indeed </w:t>
      </w:r>
      <w:r>
        <w:rPr>
          <w:i/>
          <w:iCs/>
          <w:color w:val="000000"/>
        </w:rPr>
        <w:t>no</w:t>
      </w:r>
      <w:r>
        <w:rPr>
          <w:color w:val="000000"/>
        </w:rPr>
        <w:t xml:space="preserve"> action would be taken, intentionally or not, that would significantly deplete the company’s assets. Accepting plaintiffs’ theory, their fundamental bargain with defendants dictated that nothing would be done to jeopardize the extremely high probability that the company would remain able to make interest payments and repay principal over the 20 to 30 year indenture term-and perhaps by logical extension even included the right to ask a court “to make sure that plaintiffs had made a good investment.” </w:t>
      </w:r>
      <w:hyperlink r:id="rId18" w:history="1">
        <w:r>
          <w:rPr>
            <w:i/>
            <w:iCs/>
            <w:color w:val="000000"/>
          </w:rPr>
          <w:t>Gardner,</w:t>
        </w:r>
        <w:r>
          <w:rPr>
            <w:color w:val="000000"/>
          </w:rPr>
          <w:t xml:space="preserve"> 589 </w:t>
        </w:r>
        <w:proofErr w:type="spellStart"/>
        <w:r>
          <w:rPr>
            <w:color w:val="000000"/>
          </w:rPr>
          <w:t>F.Supp</w:t>
        </w:r>
        <w:proofErr w:type="spellEnd"/>
        <w:r>
          <w:rPr>
            <w:color w:val="000000"/>
          </w:rPr>
          <w:t xml:space="preserve">. </w:t>
        </w:r>
        <w:proofErr w:type="gramStart"/>
        <w:r>
          <w:rPr>
            <w:color w:val="000000"/>
          </w:rPr>
          <w:t>at</w:t>
        </w:r>
        <w:proofErr w:type="gramEnd"/>
        <w:r>
          <w:rPr>
            <w:color w:val="000000"/>
          </w:rPr>
          <w:t xml:space="preserve"> 674.</w:t>
        </w:r>
      </w:hyperlink>
      <w:r>
        <w:rPr>
          <w:color w:val="000000"/>
        </w:rPr>
        <w:t xml:space="preserve"> But as Judge Knapp aptly concluded in </w:t>
      </w:r>
      <w:hyperlink r:id="rId19" w:history="1">
        <w:r>
          <w:rPr>
            <w:i/>
            <w:iCs/>
            <w:color w:val="000000"/>
          </w:rPr>
          <w:t>Gardner,</w:t>
        </w:r>
      </w:hyperlink>
      <w:r>
        <w:rPr>
          <w:color w:val="000000"/>
        </w:rPr>
        <w:t xml:space="preserve"> “Defendants ... were under a duty to carry out the terms of the contract, but not to make sure that plaintiffs had made a good investment. The former they have done; the latter we have no jurisdiction over.” </w:t>
      </w:r>
      <w:hyperlink r:id="rId20" w:history="1">
        <w:r>
          <w:rPr>
            <w:i/>
            <w:iCs/>
            <w:color w:val="000000"/>
          </w:rPr>
          <w:t>Id.</w:t>
        </w:r>
      </w:hyperlink>
      <w:r>
        <w:rPr>
          <w:color w:val="000000"/>
        </w:rPr>
        <w:t xml:space="preserve"> Plaintiffs’ submissions and MetLife’s previous undisputed internal memoranda remind the Court that a “fundamental basis” or a “fruit of an agreement” is often in the eye of the beholder, whose vision may well change along with the market, and who may, with hindsight, imagine a different bargain than the one he actually and initially accepted with open eyes.</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 xml:space="preserve">The sort of unbounded and one-sided elasticity urged by plaintiffs would interfere with and destabilize the market. And this Court, like the parties to these contracts, cannot ignore or disavow the marketplace in which the contract is performed. Nor can it ignore the expectations of </w:t>
      </w:r>
      <w:proofErr w:type="gramStart"/>
      <w:r>
        <w:rPr>
          <w:color w:val="000000"/>
        </w:rPr>
        <w:t>that</w:t>
      </w:r>
      <w:proofErr w:type="gramEnd"/>
      <w:r>
        <w:rPr>
          <w:color w:val="000000"/>
        </w:rPr>
        <w:t xml:space="preserve"> market-expectations, for instance, that the terms of an indenture will be upheld, and that a court will not, </w:t>
      </w:r>
      <w:proofErr w:type="spellStart"/>
      <w:r>
        <w:rPr>
          <w:i/>
          <w:iCs/>
          <w:color w:val="000000"/>
        </w:rPr>
        <w:t>sua</w:t>
      </w:r>
      <w:proofErr w:type="spellEnd"/>
      <w:r>
        <w:rPr>
          <w:i/>
          <w:iCs/>
          <w:color w:val="000000"/>
        </w:rPr>
        <w:t xml:space="preserve"> </w:t>
      </w:r>
      <w:proofErr w:type="spellStart"/>
      <w:r>
        <w:rPr>
          <w:i/>
          <w:iCs/>
          <w:color w:val="000000"/>
        </w:rPr>
        <w:t>sponte</w:t>
      </w:r>
      <w:proofErr w:type="spellEnd"/>
      <w:r>
        <w:rPr>
          <w:i/>
          <w:iCs/>
          <w:color w:val="000000"/>
        </w:rPr>
        <w:t>,</w:t>
      </w:r>
      <w:r>
        <w:rPr>
          <w:color w:val="000000"/>
        </w:rPr>
        <w:t xml:space="preserve"> add new substantive terms to that indenture as it sees fit.</w:t>
      </w:r>
      <w:bookmarkStart w:id="40" w:name="co_footnoteReference_B026261989106940_ID"/>
      <w:bookmarkEnd w:id="40"/>
      <w:r>
        <w:rPr>
          <w:color w:val="000000"/>
          <w:sz w:val="16"/>
          <w:szCs w:val="16"/>
        </w:rPr>
        <w:fldChar w:fldCharType="begin"/>
      </w:r>
      <w:r>
        <w:rPr>
          <w:color w:val="000000"/>
          <w:sz w:val="16"/>
          <w:szCs w:val="16"/>
        </w:rPr>
        <w:instrText xml:space="preserve">HYPERLINK "#co_footnote_B026261989106940_1" </w:instrText>
      </w:r>
      <w:r>
        <w:rPr>
          <w:color w:val="000000"/>
          <w:sz w:val="16"/>
          <w:szCs w:val="16"/>
        </w:rPr>
      </w:r>
      <w:r>
        <w:rPr>
          <w:color w:val="000000"/>
          <w:sz w:val="16"/>
          <w:szCs w:val="16"/>
        </w:rPr>
        <w:fldChar w:fldCharType="separate"/>
      </w:r>
      <w:r>
        <w:rPr>
          <w:color w:val="000000"/>
          <w:sz w:val="16"/>
          <w:szCs w:val="16"/>
          <w:vertAlign w:val="superscript"/>
        </w:rPr>
        <w:t>26</w:t>
      </w:r>
      <w:r>
        <w:rPr>
          <w:color w:val="000000"/>
          <w:sz w:val="16"/>
          <w:szCs w:val="16"/>
        </w:rPr>
        <w:fldChar w:fldCharType="end"/>
      </w:r>
      <w:r>
        <w:rPr>
          <w:color w:val="000000"/>
        </w:rPr>
        <w:t xml:space="preserve"> The Court has no reason to believe that the market, in evaluating bonds such as those at issue here, did not discount for the possibility that any company, even one the size of RJR Nabisco, might engage in an LBO heavily financed by debt. That the bonds did not lose any of their value until the October 20, 1988 announcement of a possible RJR Nabisco LBO only suggests that the market had theretofore evaluated the risks of such a transaction as slight.</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 xml:space="preserve">The Court recognizes that the market is not a static entity, but instead involves what </w:t>
      </w:r>
      <w:proofErr w:type="gramStart"/>
      <w:r>
        <w:rPr>
          <w:color w:val="000000"/>
        </w:rPr>
        <w:t>plaintiffs</w:t>
      </w:r>
      <w:proofErr w:type="gramEnd"/>
      <w:r>
        <w:rPr>
          <w:color w:val="000000"/>
        </w:rPr>
        <w:t xml:space="preserve"> call “evolving understanding[s].” Just as the growing prevalence of LBO’s has helped change certain ground rules and expectations in the field of mergers and acquisitions, so too it has obviously affected the bond market, a fact no one disputes. To support their argument that defendants have violated an implied </w:t>
      </w:r>
      <w:bookmarkStart w:id="41" w:name="co_pp_sp_345_1521_1"/>
      <w:bookmarkEnd w:id="41"/>
      <w:r>
        <w:rPr>
          <w:color w:val="000000"/>
        </w:rPr>
        <w:t>covenant, plaintiffs contend that, since the October 20, 1988 announcement, the bond market has “stopped functioning.” They argue that if they had “sold and abandoned the market [before October 20, 1988], the market, if everyone had the same attitude, would have disappeared.” What plaintiffs term “stopped functioning” or “disappeared,” however, are properly seen as natural responses and adjustments to market realities. Plaintiffs of course do not contend that no new issues are being sold, or that existing issues are no longer being traded or have become worthless.</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To respond to changed market forces, new indenture provisions can be negotiated, such as provisions that were in fact once included in the 8.9 percent and 10.25 percent debentures implicated by this action. New provisions could include special debt restrictions or change-of-control covenants. There is no guarantee, of course, that companies like RJR Nabisco would accept such new covenants; parties retain the freedom to enter into contracts as they choose. But presumably, multi-billion dollar investors like plaintiffs have some say in the terms of the investments they make and continue to hold. And, presumably, companies like RJR Nabisco need the infusions of capital such investors are capable of providing.</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 xml:space="preserve">Whatever else may be true about this case, it certainly does not present an example of the classic sort of form contract or contract of adhesion often frowned upon by courts. In those cases, what motivates a court is the strikingly inequitable nature of the parties’ respective bargaining positions. Plaintiffs here entered this “liquid trading market,” with their eyes open and were free to leave at any time. Instead they remained there notwithstanding its </w:t>
      </w:r>
      <w:proofErr w:type="gramStart"/>
      <w:r>
        <w:rPr>
          <w:color w:val="000000"/>
        </w:rPr>
        <w:t>well understood</w:t>
      </w:r>
      <w:proofErr w:type="gramEnd"/>
      <w:r>
        <w:rPr>
          <w:color w:val="000000"/>
        </w:rPr>
        <w:t xml:space="preserve"> risks.</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Ultimately, plaintiffs cannot escape the inherent illogic of their argument. On the one hand, it is undisputed that investors like plaintiffs recognized that companies like RJR Nabisco strenuously opposed additional restrictive covenants that might limit the incurrence of new debt or the company’s ability to engage in a merger.</w:t>
      </w:r>
      <w:bookmarkStart w:id="42" w:name="co_footnoteReference_B027271989106940_ID"/>
      <w:bookmarkEnd w:id="42"/>
      <w:r>
        <w:rPr>
          <w:color w:val="000000"/>
          <w:sz w:val="16"/>
          <w:szCs w:val="16"/>
        </w:rPr>
        <w:fldChar w:fldCharType="begin"/>
      </w:r>
      <w:r>
        <w:rPr>
          <w:color w:val="000000"/>
          <w:sz w:val="16"/>
          <w:szCs w:val="16"/>
        </w:rPr>
        <w:instrText xml:space="preserve">HYPERLINK "#co_footnote_B027271989106940_1" </w:instrText>
      </w:r>
      <w:r>
        <w:rPr>
          <w:color w:val="000000"/>
          <w:sz w:val="16"/>
          <w:szCs w:val="16"/>
        </w:rPr>
      </w:r>
      <w:r>
        <w:rPr>
          <w:color w:val="000000"/>
          <w:sz w:val="16"/>
          <w:szCs w:val="16"/>
        </w:rPr>
        <w:fldChar w:fldCharType="separate"/>
      </w:r>
      <w:r>
        <w:rPr>
          <w:color w:val="000000"/>
          <w:sz w:val="16"/>
          <w:szCs w:val="16"/>
          <w:vertAlign w:val="superscript"/>
        </w:rPr>
        <w:t>27</w:t>
      </w:r>
      <w:r>
        <w:rPr>
          <w:color w:val="000000"/>
          <w:sz w:val="16"/>
          <w:szCs w:val="16"/>
        </w:rPr>
        <w:fldChar w:fldCharType="end"/>
      </w:r>
      <w:r>
        <w:rPr>
          <w:color w:val="000000"/>
        </w:rPr>
        <w:t xml:space="preserve"> Furthermore, plaintiffs argue that they had no choice other than to accept the indentures as written, without additional restrictive covenants, or to “abandon” the market. </w:t>
      </w:r>
    </w:p>
    <w:p w:rsidR="003E7A82" w:rsidRDefault="003E7A82">
      <w:pPr>
        <w:widowControl w:val="0"/>
        <w:autoSpaceDE w:val="0"/>
        <w:autoSpaceDN w:val="0"/>
        <w:adjustRightInd w:val="0"/>
        <w:jc w:val="both"/>
        <w:rPr>
          <w:color w:val="000000"/>
        </w:rPr>
      </w:pPr>
      <w:r>
        <w:rPr>
          <w:color w:val="000000"/>
        </w:rPr>
        <w:t> </w:t>
      </w:r>
    </w:p>
    <w:p w:rsidR="003E7A82" w:rsidRDefault="003E7A82" w:rsidP="006D0EB4">
      <w:pPr>
        <w:widowControl w:val="0"/>
        <w:autoSpaceDE w:val="0"/>
        <w:autoSpaceDN w:val="0"/>
        <w:adjustRightInd w:val="0"/>
        <w:jc w:val="both"/>
        <w:rPr>
          <w:color w:val="000000"/>
        </w:rPr>
      </w:pPr>
      <w:r>
        <w:rPr>
          <w:color w:val="000000"/>
        </w:rPr>
        <w:t>Yet on the other hand, plaintiffs ask this Court to imply a covenant that would have just that restrictive effect because, they contend, it reflects precisely the fundamental assumption of the market and the fundamental basis of their bargain with defendants. If that truly were the case here, it is difficult to imagine why an insistence on that term would have forced the plaintiffs to abandon the market. The Second Circuit has offered a better explanation: “[a] promise by the defendant should be implied only if the court may rightfully assume that the parties would have included it in their written agreement had their attention been called to it</w:t>
      </w:r>
      <w:r w:rsidR="006D0EB4">
        <w:rPr>
          <w:color w:val="000000"/>
        </w:rPr>
        <w:t>.</w:t>
      </w:r>
    </w:p>
    <w:p w:rsidR="006D0EB4" w:rsidRDefault="006D0EB4" w:rsidP="006D0EB4">
      <w:pPr>
        <w:widowControl w:val="0"/>
        <w:autoSpaceDE w:val="0"/>
        <w:autoSpaceDN w:val="0"/>
        <w:adjustRightInd w:val="0"/>
        <w:jc w:val="both"/>
        <w:rPr>
          <w:color w:val="000000"/>
        </w:rPr>
      </w:pPr>
    </w:p>
    <w:p w:rsidR="003E7A82" w:rsidRDefault="003E7A82">
      <w:pPr>
        <w:widowControl w:val="0"/>
        <w:autoSpaceDE w:val="0"/>
        <w:autoSpaceDN w:val="0"/>
        <w:adjustRightInd w:val="0"/>
        <w:jc w:val="both"/>
        <w:rPr>
          <w:color w:val="000000"/>
        </w:rPr>
      </w:pPr>
      <w:r>
        <w:rPr>
          <w:color w:val="000000"/>
        </w:rPr>
        <w:t>In the final analysis, plaintiffs offer no objective or reasonable standard for a court to use in its effort to define the sort of actions their “implied covenant” would permit a corporation to take, and those it would not.</w:t>
      </w:r>
      <w:bookmarkStart w:id="43" w:name="co_footnoteReference_B028281989106940_ID"/>
      <w:bookmarkEnd w:id="43"/>
      <w:r>
        <w:rPr>
          <w:color w:val="000000"/>
          <w:sz w:val="16"/>
          <w:szCs w:val="16"/>
        </w:rPr>
        <w:fldChar w:fldCharType="begin"/>
      </w:r>
      <w:r>
        <w:rPr>
          <w:color w:val="000000"/>
          <w:sz w:val="16"/>
          <w:szCs w:val="16"/>
        </w:rPr>
        <w:instrText xml:space="preserve">HYPERLINK "#co_footnote_B028281989106940_1" </w:instrText>
      </w:r>
      <w:r>
        <w:rPr>
          <w:color w:val="000000"/>
          <w:sz w:val="16"/>
          <w:szCs w:val="16"/>
        </w:rPr>
      </w:r>
      <w:r>
        <w:rPr>
          <w:color w:val="000000"/>
          <w:sz w:val="16"/>
          <w:szCs w:val="16"/>
        </w:rPr>
        <w:fldChar w:fldCharType="separate"/>
      </w:r>
      <w:r>
        <w:rPr>
          <w:color w:val="000000"/>
          <w:sz w:val="16"/>
          <w:szCs w:val="16"/>
          <w:vertAlign w:val="superscript"/>
        </w:rPr>
        <w:t>28</w:t>
      </w:r>
      <w:r>
        <w:rPr>
          <w:color w:val="000000"/>
          <w:sz w:val="16"/>
          <w:szCs w:val="16"/>
        </w:rPr>
        <w:fldChar w:fldCharType="end"/>
      </w:r>
      <w:r>
        <w:rPr>
          <w:color w:val="000000"/>
        </w:rPr>
        <w:t xml:space="preserve"> Plaintiffs say only that investors like themselves rely upon the “skill” and “good faith” of a company’s board and </w:t>
      </w:r>
      <w:proofErr w:type="gramStart"/>
      <w:r>
        <w:rPr>
          <w:color w:val="000000"/>
        </w:rPr>
        <w:t>management,</w:t>
      </w:r>
      <w:proofErr w:type="gramEnd"/>
      <w:r>
        <w:rPr>
          <w:color w:val="000000"/>
        </w:rPr>
        <w:t xml:space="preserve"> </w:t>
      </w:r>
      <w:r>
        <w:rPr>
          <w:i/>
          <w:iCs/>
          <w:color w:val="000000"/>
        </w:rPr>
        <w:t>see, e.g.</w:t>
      </w:r>
      <w:r w:rsidR="00B93A81">
        <w:rPr>
          <w:i/>
          <w:iCs/>
          <w:color w:val="000000"/>
        </w:rPr>
        <w:t xml:space="preserve">, </w:t>
      </w:r>
      <w:r>
        <w:rPr>
          <w:color w:val="000000"/>
        </w:rPr>
        <w:t xml:space="preserve">and that their covenant would prevent the company </w:t>
      </w:r>
      <w:bookmarkStart w:id="44" w:name="co_pp_sp_345_1522_1"/>
      <w:bookmarkEnd w:id="44"/>
      <w:r>
        <w:rPr>
          <w:color w:val="000000"/>
        </w:rPr>
        <w:t>from “destroy [</w:t>
      </w:r>
      <w:proofErr w:type="spellStart"/>
      <w:r>
        <w:rPr>
          <w:color w:val="000000"/>
        </w:rPr>
        <w:t>ing</w:t>
      </w:r>
      <w:proofErr w:type="spellEnd"/>
      <w:r>
        <w:rPr>
          <w:color w:val="000000"/>
        </w:rPr>
        <w:t xml:space="preserve">] ... the legitimate expectations of its long-term bondholders.” As is clear from the preceding discussion, however, plaintiffs have failed to convince the Court that by upholding the explicit, bargained-for terms of the indenture, RJR Nabisco has either exhibited bad faith or destroyed plaintiffs’ </w:t>
      </w:r>
      <w:r>
        <w:rPr>
          <w:i/>
          <w:iCs/>
          <w:color w:val="000000"/>
        </w:rPr>
        <w:t>legitimate,</w:t>
      </w:r>
      <w:r>
        <w:rPr>
          <w:color w:val="000000"/>
        </w:rPr>
        <w:t xml:space="preserve"> protected expectations.</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Yet this Court need not address whether plaintiffs are at fault, or whether they assumed a risk in any tort sense, or whether they should never have agreed to exchange the specific debt provisions in at least two of the covenants at issue for alternative benefits and public covenants. Instead, it concludes that courts are properly reluctant to imply into an integrated agreement terms that have been and remain subject to specific, explicit provisions, where the parties are sophisticated investors, well versed in the market’s assumptions, and do not stand in a fiduciary relationship with one another.</w:t>
      </w:r>
    </w:p>
    <w:p w:rsidR="003E7A82" w:rsidRDefault="003E7A82">
      <w:pPr>
        <w:widowControl w:val="0"/>
        <w:autoSpaceDE w:val="0"/>
        <w:autoSpaceDN w:val="0"/>
        <w:adjustRightInd w:val="0"/>
        <w:jc w:val="both"/>
        <w:rPr>
          <w:color w:val="000000"/>
        </w:rPr>
      </w:pPr>
      <w:r>
        <w:rPr>
          <w:color w:val="000000"/>
        </w:rPr>
        <w:t>  </w:t>
      </w:r>
      <w:bookmarkStart w:id="45" w:name="co_anchor_I0704dbf2414611e08b05fdf15589d"/>
      <w:bookmarkEnd w:id="45"/>
    </w:p>
    <w:p w:rsidR="003E7A82" w:rsidRDefault="003E7A82">
      <w:pPr>
        <w:widowControl w:val="0"/>
        <w:autoSpaceDE w:val="0"/>
        <w:autoSpaceDN w:val="0"/>
        <w:adjustRightInd w:val="0"/>
        <w:spacing w:before="200"/>
        <w:jc w:val="center"/>
        <w:rPr>
          <w:color w:val="000000"/>
        </w:rPr>
      </w:pPr>
      <w:r>
        <w:rPr>
          <w:color w:val="000000"/>
        </w:rPr>
        <w:t>2. Count Five: In Equity:</w:t>
      </w:r>
    </w:p>
    <w:p w:rsidR="003E7A82" w:rsidRDefault="003E7A82">
      <w:pPr>
        <w:widowControl w:val="0"/>
        <w:autoSpaceDE w:val="0"/>
        <w:autoSpaceDN w:val="0"/>
        <w:adjustRightInd w:val="0"/>
        <w:jc w:val="both"/>
        <w:rPr>
          <w:color w:val="000000"/>
        </w:rPr>
      </w:pPr>
      <w:r>
        <w:rPr>
          <w:color w:val="000000"/>
        </w:rPr>
        <w:t xml:space="preserve">Count Five substantially restates and </w:t>
      </w:r>
      <w:proofErr w:type="spellStart"/>
      <w:r>
        <w:rPr>
          <w:color w:val="000000"/>
        </w:rPr>
        <w:t>realleges</w:t>
      </w:r>
      <w:proofErr w:type="spellEnd"/>
      <w:r>
        <w:rPr>
          <w:color w:val="000000"/>
        </w:rPr>
        <w:t xml:space="preserve"> the contract claims advanced in Count I. Along with these repetitions, plaintiffs blend in allegations that the transaction “frustrates the commercial purpose” of the parties, under “circumstances [that] are outrageous, and ... it would [therefore] be unconscionable to allow the ‘buy-out’ to </w:t>
      </w:r>
      <w:proofErr w:type="gramStart"/>
      <w:r>
        <w:rPr>
          <w:color w:val="000000"/>
        </w:rPr>
        <w:t>proceed ...</w:t>
      </w:r>
      <w:proofErr w:type="gramEnd"/>
      <w:r>
        <w:rPr>
          <w:color w:val="000000"/>
        </w:rPr>
        <w:t xml:space="preserve">” Those very issues-frustration of purpose and </w:t>
      </w:r>
      <w:proofErr w:type="spellStart"/>
      <w:r>
        <w:rPr>
          <w:color w:val="000000"/>
        </w:rPr>
        <w:t>unconscionability</w:t>
      </w:r>
      <w:proofErr w:type="spellEnd"/>
      <w:r>
        <w:rPr>
          <w:color w:val="000000"/>
        </w:rPr>
        <w:t xml:space="preserve">-are equally matters of contract law, of course, and plaintiffs could just as easily have advanced them in Count I. </w:t>
      </w:r>
      <w:r w:rsidR="00B93A81">
        <w:rPr>
          <w:color w:val="000000"/>
        </w:rPr>
        <w:t xml:space="preserve"> </w:t>
      </w:r>
      <w:r>
        <w:rPr>
          <w:color w:val="000000"/>
        </w:rPr>
        <w:t>For present purposes, it makes no difference how plaintiffs characterize their arguments.</w:t>
      </w:r>
      <w:bookmarkStart w:id="46" w:name="co_footnoteReference_B031311989106940_ID"/>
      <w:bookmarkEnd w:id="46"/>
      <w:r>
        <w:rPr>
          <w:color w:val="000000"/>
          <w:sz w:val="16"/>
          <w:szCs w:val="16"/>
        </w:rPr>
        <w:fldChar w:fldCharType="begin"/>
      </w:r>
      <w:r>
        <w:rPr>
          <w:color w:val="000000"/>
          <w:sz w:val="16"/>
          <w:szCs w:val="16"/>
        </w:rPr>
        <w:instrText xml:space="preserve">HYPERLINK "#co_footnote_B031311989106940_1" </w:instrText>
      </w:r>
      <w:r>
        <w:rPr>
          <w:color w:val="000000"/>
          <w:sz w:val="16"/>
          <w:szCs w:val="16"/>
        </w:rPr>
      </w:r>
      <w:r>
        <w:rPr>
          <w:color w:val="000000"/>
          <w:sz w:val="16"/>
          <w:szCs w:val="16"/>
        </w:rPr>
        <w:fldChar w:fldCharType="separate"/>
      </w:r>
      <w:r>
        <w:rPr>
          <w:color w:val="000000"/>
          <w:sz w:val="16"/>
          <w:szCs w:val="16"/>
          <w:vertAlign w:val="superscript"/>
        </w:rPr>
        <w:t>31</w:t>
      </w:r>
      <w:r>
        <w:rPr>
          <w:color w:val="000000"/>
          <w:sz w:val="16"/>
          <w:szCs w:val="16"/>
        </w:rPr>
        <w:fldChar w:fldCharType="end"/>
      </w:r>
      <w:r>
        <w:rPr>
          <w:color w:val="000000"/>
        </w:rPr>
        <w:t xml:space="preserve"> Their equity claims cannot survive</w:t>
      </w:r>
      <w:bookmarkStart w:id="47" w:name="co_pp_sp_345_1523_1"/>
      <w:bookmarkEnd w:id="47"/>
      <w:r w:rsidR="00B93A81">
        <w:rPr>
          <w:color w:val="000000"/>
        </w:rPr>
        <w:t xml:space="preserve"> </w:t>
      </w:r>
      <w:r>
        <w:rPr>
          <w:color w:val="000000"/>
        </w:rPr>
        <w:t>defendants’ motion for summary judgment.</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bookmarkStart w:id="48" w:name="co_anchor_B61989106940_1"/>
      <w:bookmarkStart w:id="49" w:name="co_anchor_B71989106940_1"/>
      <w:bookmarkEnd w:id="48"/>
      <w:bookmarkEnd w:id="49"/>
      <w:r>
        <w:rPr>
          <w:color w:val="000000"/>
        </w:rPr>
        <w:t xml:space="preserve">In their papers, plaintiffs variously attempt to justify Count V as being based on unjust enrichment, frustration of purpose, an alleged breach of something approaching a fiduciary duty, or a general claim of </w:t>
      </w:r>
      <w:proofErr w:type="spellStart"/>
      <w:r>
        <w:rPr>
          <w:color w:val="000000"/>
        </w:rPr>
        <w:t>unconscionability</w:t>
      </w:r>
      <w:proofErr w:type="spellEnd"/>
      <w:r>
        <w:rPr>
          <w:color w:val="000000"/>
        </w:rPr>
        <w:t>. Each claim fails. First, as even plaintiffs recognize, an unjust enrichment claim requires a court first to find that “the circumstances [are] such that in equity and good conscience the defendant should make restitution.” Plaintiffs have not alleged a violation of a single explicit term of the indentures at issue, and on the facts alleged this Court has determined that an implicit covenant of good faith and fair dealing has not been violated. Under these circumstances, this Court concludes that defendants need not, “in equity and good conscience,” make restitution.</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bookmarkStart w:id="50" w:name="co_anchor_B81989106940_1"/>
      <w:bookmarkEnd w:id="50"/>
      <w:r>
        <w:rPr>
          <w:color w:val="000000"/>
        </w:rPr>
        <w:t>Second, in support of their motions plaintiffs claim frustration of purpose. Yet even resolving all ambiguities and drawing all reasonable inferences in plaintiffs’ favor, their claim cannot stand. A claim of frustration of purpose has three elements:</w:t>
      </w:r>
    </w:p>
    <w:p w:rsidR="003E7A82" w:rsidRDefault="003E7A82">
      <w:pPr>
        <w:widowControl w:val="0"/>
        <w:autoSpaceDE w:val="0"/>
        <w:autoSpaceDN w:val="0"/>
        <w:adjustRightInd w:val="0"/>
        <w:spacing w:before="250" w:after="50"/>
        <w:ind w:left="1000" w:right="800"/>
        <w:jc w:val="both"/>
        <w:rPr>
          <w:color w:val="000000"/>
        </w:rPr>
      </w:pPr>
      <w:r>
        <w:rPr>
          <w:color w:val="000000"/>
        </w:rPr>
        <w:t>First, the purpose that is frustrated must have been a principal purpose of that party in making the contract.... The object must be so completely the basis of the contract that, as both parties understand, without it the transaction would make little sense. Second, the frustration must be substantial. It is not enough that the transaction has become less profitable for the affected party or even that he will sustain a loss. The frustration must be so severe that it is not fairly to be regarded as within the risks that he assumed under the contract. Third, the non-occurrence of the frustrating event must have been a basic assumption on which the contract was made.</w:t>
      </w:r>
    </w:p>
    <w:p w:rsidR="003E7A82" w:rsidRDefault="003E7A82">
      <w:pPr>
        <w:widowControl w:val="0"/>
        <w:autoSpaceDE w:val="0"/>
        <w:autoSpaceDN w:val="0"/>
        <w:adjustRightInd w:val="0"/>
        <w:spacing w:before="200"/>
        <w:jc w:val="both"/>
        <w:rPr>
          <w:color w:val="000000"/>
          <w:sz w:val="16"/>
          <w:szCs w:val="16"/>
        </w:rPr>
      </w:pPr>
      <w:hyperlink r:id="rId21" w:history="1">
        <w:r>
          <w:rPr>
            <w:i/>
            <w:iCs/>
            <w:color w:val="000000"/>
          </w:rPr>
          <w:t>Restatement (Second) of Contracts,</w:t>
        </w:r>
        <w:r>
          <w:rPr>
            <w:color w:val="000000"/>
          </w:rPr>
          <w:t xml:space="preserve"> 265</w:t>
        </w:r>
      </w:hyperlink>
      <w:r>
        <w:rPr>
          <w:color w:val="000000"/>
        </w:rPr>
        <w:t xml:space="preserve"> comment a (1981). Similarly, there is no indication here that an alleged refusal to incur debt to facilitate an LBO was the “essence” or “principal purpose” of the indentures, and no mention of such an alleged restriction is made in the agreements. Further, while plaintiffs’ bonds may have lost some of their value, “[</w:t>
      </w:r>
      <w:proofErr w:type="gramStart"/>
      <w:r>
        <w:rPr>
          <w:color w:val="000000"/>
        </w:rPr>
        <w:t>d]</w:t>
      </w:r>
      <w:proofErr w:type="spellStart"/>
      <w:r>
        <w:rPr>
          <w:color w:val="000000"/>
        </w:rPr>
        <w:t>ischarge</w:t>
      </w:r>
      <w:proofErr w:type="spellEnd"/>
      <w:proofErr w:type="gramEnd"/>
      <w:r>
        <w:rPr>
          <w:color w:val="000000"/>
        </w:rPr>
        <w:t xml:space="preserve"> under this doctrine has been limited to instances where a virtually cataclysmic, wholly unforeseeable event </w:t>
      </w:r>
      <w:r>
        <w:rPr>
          <w:i/>
          <w:iCs/>
          <w:color w:val="000000"/>
        </w:rPr>
        <w:t>renders the contract valueless to one party.</w:t>
      </w:r>
      <w:r>
        <w:rPr>
          <w:color w:val="000000"/>
        </w:rPr>
        <w:t xml:space="preserve">” That is not the case here. Moreover, “the frustration of purpose defense is not available where, as here, the event which allegedly frustrated the purpose of the contract ... was clearly foreseeable.” Faced with MetLife’s internal memoranda, plaintiffs cannot but </w:t>
      </w:r>
      <w:proofErr w:type="gramStart"/>
      <w:r>
        <w:rPr>
          <w:color w:val="000000"/>
        </w:rPr>
        <w:t>admit that</w:t>
      </w:r>
      <w:proofErr w:type="gramEnd"/>
      <w:r>
        <w:rPr>
          <w:color w:val="000000"/>
        </w:rPr>
        <w:t xml:space="preserve"> “MetLife has been concerned about ‘buy-outs’ for several years.” Nor do plaintiffs provide any reasonable basis for believing that a party as sophisticated as Jefferson-Pilot was any less cognizant of the market around it.</w:t>
      </w:r>
      <w:bookmarkStart w:id="51" w:name="co_footnoteReference_B032321989106940_ID"/>
      <w:bookmarkEnd w:id="51"/>
      <w:r>
        <w:rPr>
          <w:color w:val="000000"/>
          <w:sz w:val="16"/>
          <w:szCs w:val="16"/>
        </w:rPr>
        <w:fldChar w:fldCharType="begin"/>
      </w:r>
      <w:r>
        <w:rPr>
          <w:color w:val="000000"/>
          <w:sz w:val="16"/>
          <w:szCs w:val="16"/>
        </w:rPr>
        <w:instrText xml:space="preserve">HYPERLINK "#co_footnote_B032321989106940_1" </w:instrText>
      </w:r>
      <w:r>
        <w:rPr>
          <w:color w:val="000000"/>
          <w:sz w:val="16"/>
          <w:szCs w:val="16"/>
        </w:rPr>
      </w:r>
      <w:r>
        <w:rPr>
          <w:color w:val="000000"/>
          <w:sz w:val="16"/>
          <w:szCs w:val="16"/>
        </w:rPr>
        <w:fldChar w:fldCharType="separate"/>
      </w:r>
      <w:r>
        <w:rPr>
          <w:color w:val="000000"/>
          <w:sz w:val="16"/>
          <w:szCs w:val="16"/>
          <w:vertAlign w:val="superscript"/>
        </w:rPr>
        <w:t>32</w:t>
      </w:r>
      <w:r>
        <w:rPr>
          <w:color w:val="000000"/>
          <w:sz w:val="16"/>
          <w:szCs w:val="16"/>
        </w:rPr>
        <w:fldChar w:fldCharType="end"/>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sz w:val="16"/>
          <w:szCs w:val="16"/>
        </w:rPr>
      </w:pPr>
      <w:bookmarkStart w:id="52" w:name="co_pp_sp_345_1524_1"/>
      <w:bookmarkEnd w:id="52"/>
      <w:r>
        <w:rPr>
          <w:color w:val="000000"/>
        </w:rPr>
        <w:t>Third, plaintiffs advance a claim that remains based, their assertions to the contrary notwithstanding, on an alleged breach of a fiduciary duty.</w:t>
      </w:r>
      <w:bookmarkStart w:id="53" w:name="co_footnoteReference_B033331989106940_ID"/>
      <w:bookmarkEnd w:id="53"/>
      <w:r>
        <w:rPr>
          <w:color w:val="000000"/>
          <w:sz w:val="16"/>
          <w:szCs w:val="16"/>
        </w:rPr>
        <w:fldChar w:fldCharType="begin"/>
      </w:r>
      <w:r>
        <w:rPr>
          <w:color w:val="000000"/>
          <w:sz w:val="16"/>
          <w:szCs w:val="16"/>
        </w:rPr>
        <w:instrText xml:space="preserve">HYPERLINK "#co_footnote_B033331989106940_1" </w:instrText>
      </w:r>
      <w:r>
        <w:rPr>
          <w:color w:val="000000"/>
          <w:sz w:val="16"/>
          <w:szCs w:val="16"/>
        </w:rPr>
      </w:r>
      <w:r>
        <w:rPr>
          <w:color w:val="000000"/>
          <w:sz w:val="16"/>
          <w:szCs w:val="16"/>
        </w:rPr>
        <w:fldChar w:fldCharType="separate"/>
      </w:r>
      <w:r>
        <w:rPr>
          <w:color w:val="000000"/>
          <w:sz w:val="16"/>
          <w:szCs w:val="16"/>
          <w:vertAlign w:val="superscript"/>
        </w:rPr>
        <w:t>33</w:t>
      </w:r>
      <w:r>
        <w:rPr>
          <w:color w:val="000000"/>
          <w:sz w:val="16"/>
          <w:szCs w:val="16"/>
        </w:rPr>
        <w:fldChar w:fldCharType="end"/>
      </w:r>
      <w:r>
        <w:rPr>
          <w:color w:val="000000"/>
        </w:rPr>
        <w:t xml:space="preserve"> Defendants go to great lengths to prove that the law of Delaware, and not New York, governs this question. Defendants’ attempt to rely on Delaware law is readily explained by even a cursory reading of </w:t>
      </w:r>
      <w:hyperlink r:id="rId22" w:history="1">
        <w:r>
          <w:rPr>
            <w:i/>
            <w:iCs/>
            <w:color w:val="000000"/>
          </w:rPr>
          <w:t>Simons v. Cogan,</w:t>
        </w:r>
        <w:r>
          <w:rPr>
            <w:color w:val="000000"/>
          </w:rPr>
          <w:t xml:space="preserve"> 549 A.2d 300, 303 (Del.1988)</w:t>
        </w:r>
      </w:hyperlink>
      <w:r>
        <w:rPr>
          <w:color w:val="000000"/>
        </w:rPr>
        <w:t xml:space="preserve">, the recent Delaware Supreme Court ruling which held, </w:t>
      </w:r>
      <w:r>
        <w:rPr>
          <w:i/>
          <w:iCs/>
          <w:color w:val="000000"/>
        </w:rPr>
        <w:t>inter alia,</w:t>
      </w:r>
      <w:r>
        <w:rPr>
          <w:color w:val="000000"/>
        </w:rPr>
        <w:t xml:space="preserve"> that a corporate bond “represents a contractual entitlement to the repayment of a debt and does not represent an equitable interest in the issuing corporation necessary for the imposition of a trust relationship with concomitant fiduciary duties.” Before such a fiduciary duty arises, “an existing property right or equitable interest supporting such a duty must exist.” </w:t>
      </w:r>
      <w:hyperlink r:id="rId23" w:history="1">
        <w:proofErr w:type="gramStart"/>
        <w:r>
          <w:rPr>
            <w:i/>
            <w:iCs/>
            <w:color w:val="000000"/>
          </w:rPr>
          <w:t>Id.</w:t>
        </w:r>
        <w:r>
          <w:rPr>
            <w:color w:val="000000"/>
          </w:rPr>
          <w:t xml:space="preserve"> at 304.</w:t>
        </w:r>
        <w:proofErr w:type="gramEnd"/>
      </w:hyperlink>
      <w:r>
        <w:rPr>
          <w:color w:val="000000"/>
        </w:rPr>
        <w:t xml:space="preserve"> A bondholder, that court concluded, “acquires no equitable interest, and remains a creditor of the corporation whose interests are protected by the contractual terms of the indenture.” </w:t>
      </w:r>
      <w:hyperlink r:id="rId24" w:history="1">
        <w:r>
          <w:rPr>
            <w:i/>
            <w:iCs/>
            <w:color w:val="000000"/>
          </w:rPr>
          <w:t>Id.</w:t>
        </w:r>
      </w:hyperlink>
      <w:r>
        <w:rPr>
          <w:color w:val="000000"/>
        </w:rPr>
        <w:t xml:space="preserve"> Defendants argue that New York law is not to the contrary, but the single Supreme Court case they cite-a case decided over fifty years ago that was not squarely presented with the issue addressed by the </w:t>
      </w:r>
      <w:hyperlink r:id="rId25" w:history="1">
        <w:r>
          <w:rPr>
            <w:i/>
            <w:iCs/>
            <w:color w:val="000000"/>
          </w:rPr>
          <w:t>Simons</w:t>
        </w:r>
      </w:hyperlink>
      <w:r>
        <w:rPr>
          <w:color w:val="000000"/>
        </w:rPr>
        <w:t xml:space="preserve"> court-provides something less than dispositive support. For their part, plaintiffs more convincingly demonstrate that New York law applies than that New York law recognizes their claim.</w:t>
      </w:r>
      <w:bookmarkStart w:id="54" w:name="co_footnoteReference_B034341989106940_ID"/>
      <w:bookmarkEnd w:id="54"/>
      <w:r>
        <w:rPr>
          <w:color w:val="000000"/>
          <w:sz w:val="16"/>
          <w:szCs w:val="16"/>
        </w:rPr>
        <w:fldChar w:fldCharType="begin"/>
      </w:r>
      <w:r>
        <w:rPr>
          <w:color w:val="000000"/>
          <w:sz w:val="16"/>
          <w:szCs w:val="16"/>
        </w:rPr>
        <w:instrText xml:space="preserve">HYPERLINK "#co_footnote_B034341989106940_1" </w:instrText>
      </w:r>
      <w:r>
        <w:rPr>
          <w:color w:val="000000"/>
          <w:sz w:val="16"/>
          <w:szCs w:val="16"/>
        </w:rPr>
      </w:r>
      <w:r>
        <w:rPr>
          <w:color w:val="000000"/>
          <w:sz w:val="16"/>
          <w:szCs w:val="16"/>
        </w:rPr>
        <w:fldChar w:fldCharType="separate"/>
      </w:r>
      <w:r>
        <w:rPr>
          <w:color w:val="000000"/>
          <w:sz w:val="16"/>
          <w:szCs w:val="16"/>
          <w:vertAlign w:val="superscript"/>
        </w:rPr>
        <w:t>34</w:t>
      </w:r>
      <w:r>
        <w:rPr>
          <w:color w:val="000000"/>
          <w:sz w:val="16"/>
          <w:szCs w:val="16"/>
        </w:rPr>
        <w:fldChar w:fldCharType="end"/>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 xml:space="preserve">Regardless, this Court finds </w:t>
      </w:r>
      <w:hyperlink r:id="rId26" w:history="1">
        <w:r>
          <w:rPr>
            <w:i/>
            <w:iCs/>
            <w:color w:val="000000"/>
          </w:rPr>
          <w:t>Simons</w:t>
        </w:r>
      </w:hyperlink>
      <w:r>
        <w:rPr>
          <w:color w:val="000000"/>
        </w:rPr>
        <w:t xml:space="preserve"> persuasive, and believes that a New York court would agree with that conclusion. In the venerable case of </w:t>
      </w:r>
      <w:hyperlink r:id="rId27" w:history="1">
        <w:proofErr w:type="spellStart"/>
        <w:r>
          <w:rPr>
            <w:i/>
            <w:iCs/>
            <w:color w:val="000000"/>
          </w:rPr>
          <w:t>Meinhard</w:t>
        </w:r>
        <w:proofErr w:type="spellEnd"/>
        <w:r>
          <w:rPr>
            <w:i/>
            <w:iCs/>
            <w:color w:val="000000"/>
          </w:rPr>
          <w:t xml:space="preserve"> v. Salmon,</w:t>
        </w:r>
        <w:r>
          <w:rPr>
            <w:color w:val="000000"/>
          </w:rPr>
          <w:t xml:space="preserve"> 249 N.Y. 458, 164 N.E. 545 (1928)</w:t>
        </w:r>
      </w:hyperlink>
      <w:r>
        <w:rPr>
          <w:color w:val="000000"/>
        </w:rPr>
        <w:t>, then Chief Judge Cardozo explained the obligations imposed on a fiduciary, and why those obligations are so special and rare:</w:t>
      </w:r>
    </w:p>
    <w:p w:rsidR="003E7A82" w:rsidRDefault="003E7A82">
      <w:pPr>
        <w:widowControl w:val="0"/>
        <w:autoSpaceDE w:val="0"/>
        <w:autoSpaceDN w:val="0"/>
        <w:adjustRightInd w:val="0"/>
        <w:spacing w:before="250" w:after="50"/>
        <w:ind w:left="1000" w:right="800"/>
        <w:jc w:val="both"/>
        <w:rPr>
          <w:color w:val="000000"/>
        </w:rPr>
      </w:pPr>
      <w:r>
        <w:rPr>
          <w:color w:val="000000"/>
        </w:rPr>
        <w:t xml:space="preserve">Many forms of conduct permissible in a workaday world for those acting at arm’s </w:t>
      </w:r>
      <w:proofErr w:type="gramStart"/>
      <w:r>
        <w:rPr>
          <w:color w:val="000000"/>
        </w:rPr>
        <w:t>length,</w:t>
      </w:r>
      <w:proofErr w:type="gramEnd"/>
      <w:r>
        <w:rPr>
          <w:color w:val="000000"/>
        </w:rPr>
        <w:t xml:space="preserve"> are forbidden to those bound by fiduciary ties. A trustee is held to something stricter than the morals of the market </w:t>
      </w:r>
      <w:bookmarkStart w:id="55" w:name="co_pp_sp_345_1525_1"/>
      <w:bookmarkEnd w:id="55"/>
      <w:r>
        <w:rPr>
          <w:b/>
          <w:bCs/>
          <w:color w:val="000000"/>
        </w:rPr>
        <w:t>*1525</w:t>
      </w:r>
      <w:r>
        <w:rPr>
          <w:color w:val="000000"/>
        </w:rPr>
        <w:t xml:space="preserve"> place. Not honesty alone, but the punctilio of an honor the most sensitive, is then the standard of behavior. As to this there has developed a tradition that is unbending and inveterate. Uncompromising rigidity has been the attitude of courts of equity when petitioned to undermine the rule of undivided loyalty ... Only thus has the level of conduct for fiduciaries been kept at a level higher than that trodden by the crowd.</w:t>
      </w:r>
    </w:p>
    <w:p w:rsidR="003E7A82" w:rsidRDefault="003E7A82">
      <w:pPr>
        <w:widowControl w:val="0"/>
        <w:autoSpaceDE w:val="0"/>
        <w:autoSpaceDN w:val="0"/>
        <w:adjustRightInd w:val="0"/>
        <w:spacing w:before="200"/>
        <w:jc w:val="both"/>
        <w:rPr>
          <w:color w:val="000000"/>
        </w:rPr>
      </w:pPr>
      <w:hyperlink r:id="rId28" w:history="1">
        <w:proofErr w:type="gramStart"/>
        <w:r>
          <w:rPr>
            <w:i/>
            <w:iCs/>
            <w:color w:val="000000"/>
          </w:rPr>
          <w:t>Id.</w:t>
        </w:r>
        <w:r>
          <w:rPr>
            <w:color w:val="000000"/>
          </w:rPr>
          <w:t xml:space="preserve"> at 464</w:t>
        </w:r>
      </w:hyperlink>
      <w:r>
        <w:rPr>
          <w:color w:val="000000"/>
        </w:rPr>
        <w:t xml:space="preserve"> (citation omitted).</w:t>
      </w:r>
      <w:proofErr w:type="gramEnd"/>
      <w:r>
        <w:rPr>
          <w:color w:val="000000"/>
        </w:rPr>
        <w:t xml:space="preserve"> Before a court recognizes the duty of a “punctilio of an honor the most sensitive,” it must be certain that the complainant is entitled to more than the “morals of the market place,” and the protections offered by actions based on fraud, state statutes or the panoply of available federal securities laws. This Court has concluded that the plaintiffs presently before it-sophisticated investors who are unsecured creditors-are not entitled to such additional protections.</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Equally important, plaintiffs’ position on this issue-that “A Company May Not Deliberately Deplete its Assets to the Injury of</w:t>
      </w:r>
      <w:r w:rsidR="00B93A81">
        <w:rPr>
          <w:color w:val="000000"/>
        </w:rPr>
        <w:t xml:space="preserve"> its </w:t>
      </w:r>
      <w:proofErr w:type="spellStart"/>
      <w:r w:rsidR="00B93A81">
        <w:rPr>
          <w:color w:val="000000"/>
        </w:rPr>
        <w:t>Debtholders</w:t>
      </w:r>
      <w:proofErr w:type="spellEnd"/>
      <w:r w:rsidR="00B93A81">
        <w:rPr>
          <w:color w:val="000000"/>
        </w:rPr>
        <w:t xml:space="preserve">,” </w:t>
      </w:r>
      <w:r>
        <w:rPr>
          <w:color w:val="000000"/>
        </w:rPr>
        <w:t>provides no reasonable or workable limits, and is thus reminiscent of their implied covenant of good faith. Indeed, many indisputably legitimate corporate transactions would not survive plaintiffs’ theory. With no workable limits, plaintiffs’ envisioned duty would extend equally to trade creditors, employees, and every other person to whom the defendants are liable in any way. Of all such parties, these informed plaintiffs least require a Court’s equitable protection; not only are they willing participants in a largely impersonal market, but they also possess the financial sophistication and size to secure their own protection.</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 xml:space="preserve">Finally, plaintiffs cannot seriously allege </w:t>
      </w:r>
      <w:proofErr w:type="spellStart"/>
      <w:r>
        <w:rPr>
          <w:color w:val="000000"/>
        </w:rPr>
        <w:t>unconscionability</w:t>
      </w:r>
      <w:proofErr w:type="spellEnd"/>
      <w:r>
        <w:rPr>
          <w:color w:val="000000"/>
        </w:rPr>
        <w:t xml:space="preserve">, given their sophistication and, at least judging from this action, the sophistication of their legal counsel as well. Under the undisputed facts of this case, </w:t>
      </w:r>
      <w:r>
        <w:rPr>
          <w:i/>
          <w:iCs/>
          <w:color w:val="000000"/>
        </w:rPr>
        <w:t>see supra</w:t>
      </w:r>
      <w:r>
        <w:rPr>
          <w:color w:val="000000"/>
        </w:rPr>
        <w:t xml:space="preserve"> at 13-20, this Court finds no actionable </w:t>
      </w:r>
      <w:proofErr w:type="spellStart"/>
      <w:r>
        <w:rPr>
          <w:color w:val="000000"/>
        </w:rPr>
        <w:t>unconscionability</w:t>
      </w:r>
      <w:proofErr w:type="spellEnd"/>
      <w:r>
        <w:rPr>
          <w:color w:val="000000"/>
        </w:rPr>
        <w:t>.</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bookmarkStart w:id="56" w:name="co_anchor_I0704dbf3414611e08b05fdf15589d"/>
      <w:bookmarkStart w:id="57" w:name="co_anchor_I0704dbf4414611e08b05fdf15589d"/>
      <w:bookmarkEnd w:id="56"/>
      <w:bookmarkEnd w:id="57"/>
    </w:p>
    <w:p w:rsidR="003E7A82" w:rsidRDefault="003E7A82">
      <w:pPr>
        <w:widowControl w:val="0"/>
        <w:autoSpaceDE w:val="0"/>
        <w:autoSpaceDN w:val="0"/>
        <w:adjustRightInd w:val="0"/>
        <w:spacing w:before="400" w:after="200"/>
        <w:jc w:val="center"/>
        <w:rPr>
          <w:color w:val="000000"/>
        </w:rPr>
      </w:pPr>
      <w:r>
        <w:rPr>
          <w:color w:val="000000"/>
        </w:rPr>
        <w:t>III. CONCLUSION</w:t>
      </w:r>
    </w:p>
    <w:p w:rsidR="003E7A82" w:rsidRDefault="003E7A82">
      <w:pPr>
        <w:widowControl w:val="0"/>
        <w:autoSpaceDE w:val="0"/>
        <w:autoSpaceDN w:val="0"/>
        <w:adjustRightInd w:val="0"/>
        <w:jc w:val="both"/>
        <w:rPr>
          <w:color w:val="000000"/>
        </w:rPr>
      </w:pPr>
      <w:r>
        <w:rPr>
          <w:color w:val="000000"/>
        </w:rPr>
        <w:t xml:space="preserve">For the reasons set forth above, the Court grants defendants summary judgment on Counts I and V, judgment on the pleadings for certain of the securities at issue in Count III, and dismisses for want of requisite particularity Counts II, III, and IX. All remaining motions made by the parties are denied in all respects. Plaintiffs shall have twenty days to </w:t>
      </w:r>
      <w:proofErr w:type="spellStart"/>
      <w:r>
        <w:rPr>
          <w:color w:val="000000"/>
        </w:rPr>
        <w:t>replead</w:t>
      </w:r>
      <w:proofErr w:type="spellEnd"/>
      <w:r>
        <w:rPr>
          <w:color w:val="000000"/>
        </w:rPr>
        <w:t>.</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jc w:val="both"/>
        <w:rPr>
          <w:color w:val="000000"/>
        </w:rPr>
      </w:pPr>
      <w:r>
        <w:rPr>
          <w:color w:val="000000"/>
        </w:rPr>
        <w:t>SO ORDERED.</w:t>
      </w:r>
    </w:p>
    <w:p w:rsidR="003E7A82" w:rsidRDefault="003E7A82">
      <w:pPr>
        <w:widowControl w:val="0"/>
        <w:autoSpaceDE w:val="0"/>
        <w:autoSpaceDN w:val="0"/>
        <w:adjustRightInd w:val="0"/>
        <w:jc w:val="both"/>
        <w:rPr>
          <w:color w:val="000000"/>
        </w:rPr>
      </w:pPr>
      <w:r>
        <w:rPr>
          <w:color w:val="000000"/>
        </w:rPr>
        <w:t> </w:t>
      </w:r>
    </w:p>
    <w:p w:rsidR="003E7A82" w:rsidRDefault="003E7A82">
      <w:pPr>
        <w:widowControl w:val="0"/>
        <w:autoSpaceDE w:val="0"/>
        <w:autoSpaceDN w:val="0"/>
        <w:adjustRightInd w:val="0"/>
        <w:rPr>
          <w:rFonts w:ascii="Arial" w:hAnsi="Arial" w:cs="Arial"/>
          <w:sz w:val="24"/>
          <w:szCs w:val="24"/>
        </w:rPr>
        <w:sectPr w:rsidR="003E7A82">
          <w:footerReference w:type="default" r:id="rId29"/>
          <w:type w:val="continuous"/>
          <w:pgSz w:w="12240" w:h="15840"/>
          <w:pgMar w:top="1800" w:right="1080" w:bottom="1080" w:left="1080" w:header="720" w:footer="720" w:gutter="0"/>
          <w:cols w:num="2" w:space="720"/>
          <w:noEndnote/>
        </w:sectPr>
      </w:pPr>
      <w:bookmarkStart w:id="58" w:name="co_allCitations_1"/>
      <w:bookmarkEnd w:id="58"/>
    </w:p>
    <w:tbl>
      <w:tblPr>
        <w:tblW w:w="0" w:type="auto"/>
        <w:tblLayout w:type="fixed"/>
        <w:tblCellMar>
          <w:left w:w="0" w:type="dxa"/>
          <w:right w:w="0" w:type="dxa"/>
        </w:tblCellMar>
        <w:tblLook w:val="0000" w:firstRow="0" w:lastRow="0" w:firstColumn="0" w:lastColumn="0" w:noHBand="0" w:noVBand="0"/>
      </w:tblPr>
      <w:tblGrid>
        <w:gridCol w:w="600"/>
        <w:gridCol w:w="9480"/>
      </w:tblGrid>
      <w:tr w:rsidR="003E7A82" w:rsidTr="009C15BC">
        <w:tblPrEx>
          <w:tblCellMar>
            <w:top w:w="0" w:type="dxa"/>
            <w:left w:w="0" w:type="dxa"/>
            <w:bottom w:w="0" w:type="dxa"/>
            <w:right w:w="0" w:type="dxa"/>
          </w:tblCellMar>
        </w:tblPrEx>
        <w:tc>
          <w:tcPr>
            <w:tcW w:w="10080" w:type="dxa"/>
            <w:gridSpan w:val="2"/>
            <w:tcBorders>
              <w:top w:val="nil"/>
              <w:left w:val="nil"/>
              <w:bottom w:val="nil"/>
              <w:right w:val="nil"/>
            </w:tcBorders>
            <w:tcMar>
              <w:top w:w="200" w:type="dxa"/>
            </w:tcMar>
          </w:tcPr>
          <w:p w:rsidR="003E7A82" w:rsidRDefault="003E7A82">
            <w:pPr>
              <w:widowControl w:val="0"/>
              <w:autoSpaceDE w:val="0"/>
              <w:autoSpaceDN w:val="0"/>
              <w:adjustRightInd w:val="0"/>
              <w:rPr>
                <w:rFonts w:ascii="sans-serif" w:hAnsi="sans-serif" w:cs="sans-serif"/>
                <w:color w:val="000000"/>
              </w:rPr>
            </w:pPr>
            <w:r>
              <w:rPr>
                <w:rFonts w:ascii="sans-serif" w:hAnsi="sans-serif" w:cs="sans-serif"/>
                <w:color w:val="000000"/>
              </w:rPr>
              <w:t>Footnotes</w:t>
            </w:r>
          </w:p>
          <w:p w:rsidR="003E7A82" w:rsidRDefault="003E7A82">
            <w:pPr>
              <w:widowControl w:val="0"/>
              <w:autoSpaceDE w:val="0"/>
              <w:autoSpaceDN w:val="0"/>
              <w:adjustRightInd w:val="0"/>
              <w:rPr>
                <w:rFonts w:ascii="sans-serif" w:hAnsi="sans-serif" w:cs="sans-serif"/>
                <w:color w:val="000000"/>
              </w:rPr>
            </w:pPr>
          </w:p>
        </w:tc>
      </w:tr>
      <w:bookmarkStart w:id="59" w:name="co_footnote_B00111989106940_1"/>
      <w:bookmarkEnd w:id="59"/>
      <w:tr w:rsidR="003E7A82" w:rsidTr="009C15BC">
        <w:tblPrEx>
          <w:tblCellMar>
            <w:top w:w="0" w:type="dxa"/>
            <w:left w:w="0" w:type="dxa"/>
            <w:bottom w:w="0" w:type="dxa"/>
            <w:right w:w="0" w:type="dxa"/>
          </w:tblCellMar>
        </w:tblPrEx>
        <w:tc>
          <w:tcPr>
            <w:tcW w:w="600" w:type="dxa"/>
            <w:tcBorders>
              <w:top w:val="nil"/>
              <w:left w:val="nil"/>
              <w:bottom w:val="nil"/>
              <w:right w:val="nil"/>
            </w:tcBorders>
          </w:tcPr>
          <w:p w:rsidR="003E7A82" w:rsidRDefault="003E7A82">
            <w:pPr>
              <w:widowControl w:val="0"/>
              <w:autoSpaceDE w:val="0"/>
              <w:autoSpaceDN w:val="0"/>
              <w:adjustRightInd w:val="0"/>
              <w:rPr>
                <w:rFonts w:ascii="sans-serif" w:hAnsi="sans-serif" w:cs="sans-serif"/>
                <w:color w:val="000000"/>
                <w:sz w:val="24"/>
                <w:szCs w:val="24"/>
              </w:rPr>
            </w:pPr>
            <w:r>
              <w:rPr>
                <w:rFonts w:ascii="sans-serif" w:hAnsi="sans-serif" w:cs="sans-serif"/>
                <w:color w:val="000000"/>
                <w:sz w:val="24"/>
                <w:szCs w:val="24"/>
              </w:rPr>
              <w:fldChar w:fldCharType="begin"/>
            </w:r>
            <w:r>
              <w:rPr>
                <w:rFonts w:ascii="sans-serif" w:hAnsi="sans-serif" w:cs="sans-serif"/>
                <w:color w:val="000000"/>
                <w:sz w:val="24"/>
                <w:szCs w:val="24"/>
              </w:rPr>
              <w:instrText xml:space="preserve">HYPERLINK "#co_footnoteReference_B00111989106940_ID0" </w:instrText>
            </w:r>
            <w:r>
              <w:rPr>
                <w:rFonts w:ascii="sans-serif" w:hAnsi="sans-serif" w:cs="sans-serif"/>
                <w:color w:val="000000"/>
                <w:sz w:val="24"/>
                <w:szCs w:val="24"/>
              </w:rPr>
            </w:r>
            <w:r>
              <w:rPr>
                <w:rFonts w:ascii="sans-serif" w:hAnsi="sans-serif" w:cs="sans-serif"/>
                <w:color w:val="000000"/>
                <w:sz w:val="24"/>
                <w:szCs w:val="24"/>
              </w:rPr>
              <w:fldChar w:fldCharType="separate"/>
            </w:r>
            <w:r>
              <w:rPr>
                <w:rFonts w:ascii="sans-serif" w:hAnsi="sans-serif" w:cs="sans-serif"/>
                <w:color w:val="000000"/>
                <w:sz w:val="24"/>
                <w:szCs w:val="24"/>
                <w:vertAlign w:val="superscript"/>
              </w:rPr>
              <w:t>1</w:t>
            </w:r>
            <w:r>
              <w:rPr>
                <w:rFonts w:ascii="sans-serif" w:hAnsi="sans-serif" w:cs="sans-serif"/>
                <w:color w:val="000000"/>
                <w:sz w:val="24"/>
                <w:szCs w:val="24"/>
              </w:rPr>
              <w:fldChar w:fldCharType="end"/>
            </w:r>
          </w:p>
          <w:p w:rsidR="003E7A82" w:rsidRDefault="003E7A82">
            <w:pPr>
              <w:widowControl w:val="0"/>
              <w:autoSpaceDE w:val="0"/>
              <w:autoSpaceDN w:val="0"/>
              <w:adjustRightInd w:val="0"/>
              <w:rPr>
                <w:rFonts w:ascii="sans-serif" w:hAnsi="sans-serif" w:cs="sans-serif"/>
                <w:color w:val="000000"/>
                <w:sz w:val="24"/>
                <w:szCs w:val="24"/>
              </w:rPr>
            </w:pPr>
          </w:p>
        </w:tc>
        <w:tc>
          <w:tcPr>
            <w:tcW w:w="9480" w:type="dxa"/>
            <w:tcBorders>
              <w:top w:val="nil"/>
              <w:left w:val="nil"/>
              <w:bottom w:val="nil"/>
              <w:right w:val="nil"/>
            </w:tcBorders>
          </w:tcPr>
          <w:p w:rsidR="003E7A82" w:rsidRDefault="003E7A82">
            <w:pPr>
              <w:widowControl w:val="0"/>
              <w:autoSpaceDE w:val="0"/>
              <w:autoSpaceDN w:val="0"/>
              <w:adjustRightInd w:val="0"/>
              <w:jc w:val="both"/>
              <w:rPr>
                <w:rFonts w:ascii="sans-serif" w:hAnsi="sans-serif" w:cs="sans-serif"/>
                <w:color w:val="000000"/>
                <w:sz w:val="18"/>
                <w:szCs w:val="18"/>
              </w:rPr>
            </w:pPr>
            <w:r>
              <w:rPr>
                <w:rFonts w:ascii="sans-serif" w:hAnsi="sans-serif" w:cs="sans-serif"/>
                <w:color w:val="000000"/>
                <w:sz w:val="18"/>
                <w:szCs w:val="18"/>
              </w:rPr>
              <w:t xml:space="preserve">A leveraged buy-out occurs when a group of investors, usually including members of a company’s management team, buy the company under financial arrangements that include little equity and significant new debt. The necessary debt financing typically includes mortgages or high risk/high yield bonds, popularly known as “junk bonds.” Additionally, </w:t>
            </w:r>
            <w:proofErr w:type="gramStart"/>
            <w:r>
              <w:rPr>
                <w:rFonts w:ascii="sans-serif" w:hAnsi="sans-serif" w:cs="sans-serif"/>
                <w:color w:val="000000"/>
                <w:sz w:val="18"/>
                <w:szCs w:val="18"/>
              </w:rPr>
              <w:t>a portion of this debt is generally secured by the company’s assets</w:t>
            </w:r>
            <w:proofErr w:type="gramEnd"/>
            <w:r>
              <w:rPr>
                <w:rFonts w:ascii="sans-serif" w:hAnsi="sans-serif" w:cs="sans-serif"/>
                <w:color w:val="000000"/>
                <w:sz w:val="18"/>
                <w:szCs w:val="18"/>
              </w:rPr>
              <w:t>. Some of the acquired company’s assets are usually sold after the transaction is completed in order to reduce the debt incurred in the acquisition.</w:t>
            </w:r>
          </w:p>
          <w:p w:rsidR="003E7A82" w:rsidRDefault="003E7A82">
            <w:pPr>
              <w:widowControl w:val="0"/>
              <w:autoSpaceDE w:val="0"/>
              <w:autoSpaceDN w:val="0"/>
              <w:adjustRightInd w:val="0"/>
              <w:jc w:val="both"/>
              <w:rPr>
                <w:rFonts w:ascii="sans-serif" w:hAnsi="sans-serif" w:cs="sans-serif"/>
                <w:color w:val="000000"/>
                <w:sz w:val="18"/>
                <w:szCs w:val="18"/>
              </w:rPr>
            </w:pPr>
          </w:p>
        </w:tc>
      </w:tr>
      <w:bookmarkStart w:id="60" w:name="co_footnote_B00221989106940_1"/>
      <w:bookmarkStart w:id="61" w:name="co_footnote_B00441989106940_1"/>
      <w:bookmarkEnd w:id="60"/>
      <w:bookmarkEnd w:id="61"/>
      <w:tr w:rsidR="003E7A82" w:rsidTr="009C15BC">
        <w:tblPrEx>
          <w:tblCellMar>
            <w:top w:w="0" w:type="dxa"/>
            <w:left w:w="0" w:type="dxa"/>
            <w:bottom w:w="0" w:type="dxa"/>
            <w:right w:w="0" w:type="dxa"/>
          </w:tblCellMar>
        </w:tblPrEx>
        <w:tc>
          <w:tcPr>
            <w:tcW w:w="600" w:type="dxa"/>
            <w:tcBorders>
              <w:top w:val="nil"/>
              <w:left w:val="nil"/>
              <w:bottom w:val="nil"/>
              <w:right w:val="nil"/>
            </w:tcBorders>
          </w:tcPr>
          <w:p w:rsidR="003E7A82" w:rsidRDefault="003E7A82">
            <w:pPr>
              <w:widowControl w:val="0"/>
              <w:autoSpaceDE w:val="0"/>
              <w:autoSpaceDN w:val="0"/>
              <w:adjustRightInd w:val="0"/>
              <w:rPr>
                <w:rFonts w:ascii="sans-serif" w:hAnsi="sans-serif" w:cs="sans-serif"/>
                <w:color w:val="000000"/>
                <w:sz w:val="24"/>
                <w:szCs w:val="24"/>
              </w:rPr>
            </w:pPr>
            <w:r>
              <w:rPr>
                <w:rFonts w:ascii="sans-serif" w:hAnsi="sans-serif" w:cs="sans-serif"/>
                <w:color w:val="000000"/>
                <w:sz w:val="24"/>
                <w:szCs w:val="24"/>
              </w:rPr>
              <w:fldChar w:fldCharType="begin"/>
            </w:r>
            <w:r>
              <w:rPr>
                <w:rFonts w:ascii="sans-serif" w:hAnsi="sans-serif" w:cs="sans-serif"/>
                <w:color w:val="000000"/>
                <w:sz w:val="24"/>
                <w:szCs w:val="24"/>
              </w:rPr>
              <w:instrText xml:space="preserve">HYPERLINK "#co_footnoteReference_B00441989106940_ID0" </w:instrText>
            </w:r>
            <w:r>
              <w:rPr>
                <w:rFonts w:ascii="sans-serif" w:hAnsi="sans-serif" w:cs="sans-serif"/>
                <w:color w:val="000000"/>
                <w:sz w:val="24"/>
                <w:szCs w:val="24"/>
              </w:rPr>
            </w:r>
            <w:r>
              <w:rPr>
                <w:rFonts w:ascii="sans-serif" w:hAnsi="sans-serif" w:cs="sans-serif"/>
                <w:color w:val="000000"/>
                <w:sz w:val="24"/>
                <w:szCs w:val="24"/>
              </w:rPr>
              <w:fldChar w:fldCharType="separate"/>
            </w:r>
            <w:r>
              <w:rPr>
                <w:rFonts w:ascii="sans-serif" w:hAnsi="sans-serif" w:cs="sans-serif"/>
                <w:color w:val="000000"/>
                <w:sz w:val="24"/>
                <w:szCs w:val="24"/>
                <w:vertAlign w:val="superscript"/>
              </w:rPr>
              <w:t>4</w:t>
            </w:r>
            <w:r>
              <w:rPr>
                <w:rFonts w:ascii="sans-serif" w:hAnsi="sans-serif" w:cs="sans-serif"/>
                <w:color w:val="000000"/>
                <w:sz w:val="24"/>
                <w:szCs w:val="24"/>
              </w:rPr>
              <w:fldChar w:fldCharType="end"/>
            </w:r>
          </w:p>
          <w:p w:rsidR="003E7A82" w:rsidRDefault="003E7A82">
            <w:pPr>
              <w:widowControl w:val="0"/>
              <w:autoSpaceDE w:val="0"/>
              <w:autoSpaceDN w:val="0"/>
              <w:adjustRightInd w:val="0"/>
              <w:rPr>
                <w:rFonts w:ascii="sans-serif" w:hAnsi="sans-serif" w:cs="sans-serif"/>
                <w:color w:val="000000"/>
                <w:sz w:val="24"/>
                <w:szCs w:val="24"/>
              </w:rPr>
            </w:pPr>
          </w:p>
        </w:tc>
        <w:tc>
          <w:tcPr>
            <w:tcW w:w="9480" w:type="dxa"/>
            <w:tcBorders>
              <w:top w:val="nil"/>
              <w:left w:val="nil"/>
              <w:bottom w:val="nil"/>
              <w:right w:val="nil"/>
            </w:tcBorders>
          </w:tcPr>
          <w:p w:rsidR="003E7A82" w:rsidRDefault="003E7A82">
            <w:pPr>
              <w:widowControl w:val="0"/>
              <w:autoSpaceDE w:val="0"/>
              <w:autoSpaceDN w:val="0"/>
              <w:adjustRightInd w:val="0"/>
              <w:jc w:val="both"/>
              <w:rPr>
                <w:rFonts w:ascii="sans-serif" w:hAnsi="sans-serif" w:cs="sans-serif"/>
                <w:color w:val="000000"/>
                <w:sz w:val="18"/>
                <w:szCs w:val="18"/>
              </w:rPr>
            </w:pPr>
            <w:r>
              <w:rPr>
                <w:rFonts w:ascii="sans-serif" w:hAnsi="sans-serif" w:cs="sans-serif"/>
                <w:color w:val="000000"/>
                <w:sz w:val="18"/>
                <w:szCs w:val="18"/>
              </w:rPr>
              <w:t xml:space="preserve">Agencies like Standard &amp; Poor’s and Moody’s generally rate bonds in two broad categories: investment grade and speculative grade. Standard &amp; Poor’s rates investment grade bonds from “AAA” to “BBB.” Moody’s rates those bonds from “AAA” to “Baa3.” </w:t>
            </w:r>
            <w:proofErr w:type="gramStart"/>
            <w:r>
              <w:rPr>
                <w:rFonts w:ascii="sans-serif" w:hAnsi="sans-serif" w:cs="sans-serif"/>
                <w:color w:val="000000"/>
                <w:sz w:val="18"/>
                <w:szCs w:val="18"/>
              </w:rPr>
              <w:t>Speculative grade bonds are rated either “BB” and lower, or “Ba1” and lower, by Standard &amp; Poor’s and Moody’s</w:t>
            </w:r>
            <w:proofErr w:type="gramEnd"/>
            <w:r>
              <w:rPr>
                <w:rFonts w:ascii="sans-serif" w:hAnsi="sans-serif" w:cs="sans-serif"/>
                <w:color w:val="000000"/>
                <w:sz w:val="18"/>
                <w:szCs w:val="18"/>
              </w:rPr>
              <w:t xml:space="preserve">, respectively. </w:t>
            </w:r>
            <w:r>
              <w:rPr>
                <w:rFonts w:ascii="sans-serif" w:hAnsi="sans-serif" w:cs="sans-serif"/>
                <w:i/>
                <w:iCs/>
                <w:color w:val="000000"/>
                <w:sz w:val="18"/>
                <w:szCs w:val="18"/>
              </w:rPr>
              <w:t>See, e.g., Standard and Poor’s Debt Rating Criteria</w:t>
            </w:r>
            <w:r>
              <w:rPr>
                <w:rFonts w:ascii="sans-serif" w:hAnsi="sans-serif" w:cs="sans-serif"/>
                <w:color w:val="000000"/>
                <w:sz w:val="18"/>
                <w:szCs w:val="18"/>
              </w:rPr>
              <w:t xml:space="preserve"> at 10-11. No one disputes that, subsequent to the announcement of the LBO, the RJR Nabisco bonds lost their “A” ratings.</w:t>
            </w:r>
          </w:p>
          <w:p w:rsidR="003E7A82" w:rsidRDefault="003E7A82">
            <w:pPr>
              <w:widowControl w:val="0"/>
              <w:autoSpaceDE w:val="0"/>
              <w:autoSpaceDN w:val="0"/>
              <w:adjustRightInd w:val="0"/>
              <w:jc w:val="both"/>
              <w:rPr>
                <w:rFonts w:ascii="sans-serif" w:hAnsi="sans-serif" w:cs="sans-serif"/>
                <w:color w:val="000000"/>
                <w:sz w:val="18"/>
                <w:szCs w:val="18"/>
              </w:rPr>
            </w:pPr>
          </w:p>
        </w:tc>
      </w:tr>
      <w:bookmarkStart w:id="62" w:name="co_footnote_B00551989106940_1"/>
      <w:bookmarkStart w:id="63" w:name="co_footnote_B00661989106940_1"/>
      <w:bookmarkEnd w:id="62"/>
      <w:bookmarkEnd w:id="63"/>
      <w:tr w:rsidR="009C15BC" w:rsidTr="009C15BC">
        <w:tblPrEx>
          <w:tblCellMar>
            <w:top w:w="0" w:type="dxa"/>
            <w:left w:w="0" w:type="dxa"/>
            <w:bottom w:w="0" w:type="dxa"/>
            <w:right w:w="0" w:type="dxa"/>
          </w:tblCellMar>
        </w:tblPrEx>
        <w:tc>
          <w:tcPr>
            <w:tcW w:w="600" w:type="dxa"/>
            <w:tcBorders>
              <w:top w:val="nil"/>
              <w:left w:val="nil"/>
              <w:bottom w:val="nil"/>
              <w:right w:val="nil"/>
            </w:tcBorders>
          </w:tcPr>
          <w:p w:rsidR="009C15BC" w:rsidRDefault="009C15BC">
            <w:pPr>
              <w:widowControl w:val="0"/>
              <w:autoSpaceDE w:val="0"/>
              <w:autoSpaceDN w:val="0"/>
              <w:adjustRightInd w:val="0"/>
              <w:rPr>
                <w:rFonts w:ascii="sans-serif" w:hAnsi="sans-serif" w:cs="sans-serif"/>
                <w:color w:val="000000"/>
                <w:sz w:val="24"/>
                <w:szCs w:val="24"/>
              </w:rPr>
            </w:pPr>
            <w:r>
              <w:rPr>
                <w:rFonts w:ascii="sans-serif" w:hAnsi="sans-serif" w:cs="sans-serif"/>
                <w:color w:val="000000"/>
                <w:sz w:val="24"/>
                <w:szCs w:val="24"/>
              </w:rPr>
              <w:fldChar w:fldCharType="begin"/>
            </w:r>
            <w:r>
              <w:rPr>
                <w:rFonts w:ascii="sans-serif" w:hAnsi="sans-serif" w:cs="sans-serif"/>
                <w:color w:val="000000"/>
                <w:sz w:val="24"/>
                <w:szCs w:val="24"/>
              </w:rPr>
              <w:instrText xml:space="preserve">HYPERLINK "#co_footnoteReference_B00661989106940_ID0" </w:instrText>
            </w:r>
            <w:r>
              <w:rPr>
                <w:rFonts w:ascii="sans-serif" w:hAnsi="sans-serif" w:cs="sans-serif"/>
                <w:color w:val="000000"/>
                <w:sz w:val="24"/>
                <w:szCs w:val="24"/>
              </w:rPr>
            </w:r>
            <w:r>
              <w:rPr>
                <w:rFonts w:ascii="sans-serif" w:hAnsi="sans-serif" w:cs="sans-serif"/>
                <w:color w:val="000000"/>
                <w:sz w:val="24"/>
                <w:szCs w:val="24"/>
              </w:rPr>
              <w:fldChar w:fldCharType="separate"/>
            </w:r>
            <w:r>
              <w:rPr>
                <w:rFonts w:ascii="sans-serif" w:hAnsi="sans-serif" w:cs="sans-serif"/>
                <w:color w:val="000000"/>
                <w:sz w:val="24"/>
                <w:szCs w:val="24"/>
                <w:vertAlign w:val="superscript"/>
              </w:rPr>
              <w:t>6</w:t>
            </w:r>
            <w:r>
              <w:rPr>
                <w:rFonts w:ascii="sans-serif" w:hAnsi="sans-serif" w:cs="sans-serif"/>
                <w:color w:val="000000"/>
                <w:sz w:val="24"/>
                <w:szCs w:val="24"/>
              </w:rPr>
              <w:fldChar w:fldCharType="end"/>
            </w:r>
          </w:p>
          <w:p w:rsidR="009C15BC" w:rsidRDefault="009C15BC">
            <w:pPr>
              <w:widowControl w:val="0"/>
              <w:autoSpaceDE w:val="0"/>
              <w:autoSpaceDN w:val="0"/>
              <w:adjustRightInd w:val="0"/>
              <w:rPr>
                <w:rFonts w:ascii="sans-serif" w:hAnsi="sans-serif" w:cs="sans-serif"/>
                <w:color w:val="000000"/>
                <w:sz w:val="24"/>
                <w:szCs w:val="24"/>
              </w:rPr>
            </w:pPr>
          </w:p>
        </w:tc>
        <w:tc>
          <w:tcPr>
            <w:tcW w:w="9480" w:type="dxa"/>
            <w:tcBorders>
              <w:top w:val="nil"/>
              <w:left w:val="nil"/>
              <w:bottom w:val="nil"/>
              <w:right w:val="nil"/>
            </w:tcBorders>
          </w:tcPr>
          <w:p w:rsidR="009C15BC" w:rsidRDefault="009C15BC">
            <w:pPr>
              <w:widowControl w:val="0"/>
              <w:autoSpaceDE w:val="0"/>
              <w:autoSpaceDN w:val="0"/>
              <w:adjustRightInd w:val="0"/>
              <w:jc w:val="both"/>
              <w:rPr>
                <w:rFonts w:ascii="sans-serif" w:hAnsi="sans-serif" w:cs="sans-serif"/>
                <w:color w:val="000000"/>
                <w:sz w:val="18"/>
                <w:szCs w:val="18"/>
              </w:rPr>
            </w:pPr>
            <w:r>
              <w:rPr>
                <w:rFonts w:ascii="sans-serif" w:hAnsi="sans-serif" w:cs="sans-serif"/>
                <w:color w:val="000000"/>
                <w:sz w:val="18"/>
                <w:szCs w:val="18"/>
              </w:rPr>
              <w:t xml:space="preserve">On February 9, 1989, KKR completed its tender offer for roughly 74 percent of RJR Nabisco’s common stock (of which approximately 97% of the outstanding shares were tendered) and all of its Series B Cumulative Preferred Stock (of which approximately 95% of the outstanding shares were tendered). Approximately $18 billion in cash was paid out to these stockholders. KKR acquired the remaining stock in the late April merger through the issuance of roughly $4.1 billion of pay-in-kind exchangeable preferred stock and roughly $1.8 billion in face amount of convertible debentures. </w:t>
            </w:r>
            <w:r>
              <w:rPr>
                <w:rFonts w:ascii="sans-serif" w:hAnsi="sans-serif" w:cs="sans-serif"/>
                <w:i/>
                <w:iCs/>
                <w:color w:val="000000"/>
                <w:sz w:val="18"/>
                <w:szCs w:val="18"/>
              </w:rPr>
              <w:t>See</w:t>
            </w:r>
            <w:r>
              <w:rPr>
                <w:rFonts w:ascii="sans-serif" w:hAnsi="sans-serif" w:cs="sans-serif"/>
                <w:color w:val="000000"/>
                <w:sz w:val="18"/>
                <w:szCs w:val="18"/>
              </w:rPr>
              <w:t xml:space="preserve"> Bradley Reply </w:t>
            </w:r>
            <w:proofErr w:type="spellStart"/>
            <w:r>
              <w:rPr>
                <w:rFonts w:ascii="sans-serif" w:hAnsi="sans-serif" w:cs="sans-serif"/>
                <w:color w:val="000000"/>
                <w:sz w:val="18"/>
                <w:szCs w:val="18"/>
              </w:rPr>
              <w:t>Aff</w:t>
            </w:r>
            <w:proofErr w:type="spellEnd"/>
            <w:r>
              <w:rPr>
                <w:rFonts w:ascii="sans-serif" w:hAnsi="sans-serif" w:cs="sans-serif"/>
                <w:color w:val="000000"/>
                <w:sz w:val="18"/>
                <w:szCs w:val="18"/>
              </w:rPr>
              <w:t>. ¶ 2.</w:t>
            </w:r>
          </w:p>
          <w:p w:rsidR="009C15BC" w:rsidRDefault="009C15BC">
            <w:pPr>
              <w:widowControl w:val="0"/>
              <w:autoSpaceDE w:val="0"/>
              <w:autoSpaceDN w:val="0"/>
              <w:adjustRightInd w:val="0"/>
              <w:jc w:val="both"/>
              <w:rPr>
                <w:rFonts w:ascii="sans-serif" w:hAnsi="sans-serif" w:cs="sans-serif"/>
                <w:color w:val="000000"/>
                <w:sz w:val="18"/>
                <w:szCs w:val="18"/>
              </w:rPr>
            </w:pPr>
          </w:p>
        </w:tc>
      </w:tr>
      <w:bookmarkStart w:id="64" w:name="co_footnote_B00771989106940_1"/>
      <w:bookmarkEnd w:id="64"/>
      <w:tr w:rsidR="009C15BC" w:rsidTr="009C15BC">
        <w:tblPrEx>
          <w:tblCellMar>
            <w:top w:w="0" w:type="dxa"/>
            <w:left w:w="0" w:type="dxa"/>
            <w:bottom w:w="0" w:type="dxa"/>
            <w:right w:w="0" w:type="dxa"/>
          </w:tblCellMar>
        </w:tblPrEx>
        <w:tc>
          <w:tcPr>
            <w:tcW w:w="600" w:type="dxa"/>
            <w:tcBorders>
              <w:top w:val="nil"/>
              <w:left w:val="nil"/>
              <w:bottom w:val="nil"/>
              <w:right w:val="nil"/>
            </w:tcBorders>
          </w:tcPr>
          <w:p w:rsidR="009C15BC" w:rsidRDefault="009C15BC">
            <w:pPr>
              <w:widowControl w:val="0"/>
              <w:autoSpaceDE w:val="0"/>
              <w:autoSpaceDN w:val="0"/>
              <w:adjustRightInd w:val="0"/>
              <w:rPr>
                <w:rFonts w:ascii="sans-serif" w:hAnsi="sans-serif" w:cs="sans-serif"/>
                <w:color w:val="000000"/>
                <w:sz w:val="24"/>
                <w:szCs w:val="24"/>
              </w:rPr>
            </w:pPr>
            <w:r>
              <w:rPr>
                <w:rFonts w:ascii="sans-serif" w:hAnsi="sans-serif" w:cs="sans-serif"/>
                <w:color w:val="000000"/>
                <w:sz w:val="24"/>
                <w:szCs w:val="24"/>
              </w:rPr>
              <w:fldChar w:fldCharType="begin"/>
            </w:r>
            <w:r>
              <w:rPr>
                <w:rFonts w:ascii="sans-serif" w:hAnsi="sans-serif" w:cs="sans-serif"/>
                <w:color w:val="000000"/>
                <w:sz w:val="24"/>
                <w:szCs w:val="24"/>
              </w:rPr>
              <w:instrText xml:space="preserve">HYPERLINK "#co_footnoteReference_B00771989106940_ID0" </w:instrText>
            </w:r>
            <w:r>
              <w:rPr>
                <w:rFonts w:ascii="sans-serif" w:hAnsi="sans-serif" w:cs="sans-serif"/>
                <w:color w:val="000000"/>
                <w:sz w:val="24"/>
                <w:szCs w:val="24"/>
              </w:rPr>
            </w:r>
            <w:r>
              <w:rPr>
                <w:rFonts w:ascii="sans-serif" w:hAnsi="sans-serif" w:cs="sans-serif"/>
                <w:color w:val="000000"/>
                <w:sz w:val="24"/>
                <w:szCs w:val="24"/>
              </w:rPr>
              <w:fldChar w:fldCharType="separate"/>
            </w:r>
            <w:r>
              <w:rPr>
                <w:rFonts w:ascii="sans-serif" w:hAnsi="sans-serif" w:cs="sans-serif"/>
                <w:color w:val="000000"/>
                <w:sz w:val="24"/>
                <w:szCs w:val="24"/>
                <w:vertAlign w:val="superscript"/>
              </w:rPr>
              <w:t>7</w:t>
            </w:r>
            <w:r>
              <w:rPr>
                <w:rFonts w:ascii="sans-serif" w:hAnsi="sans-serif" w:cs="sans-serif"/>
                <w:color w:val="000000"/>
                <w:sz w:val="24"/>
                <w:szCs w:val="24"/>
              </w:rPr>
              <w:fldChar w:fldCharType="end"/>
            </w:r>
          </w:p>
          <w:p w:rsidR="009C15BC" w:rsidRDefault="009C15BC">
            <w:pPr>
              <w:widowControl w:val="0"/>
              <w:autoSpaceDE w:val="0"/>
              <w:autoSpaceDN w:val="0"/>
              <w:adjustRightInd w:val="0"/>
              <w:rPr>
                <w:rFonts w:ascii="sans-serif" w:hAnsi="sans-serif" w:cs="sans-serif"/>
                <w:color w:val="000000"/>
                <w:sz w:val="24"/>
                <w:szCs w:val="24"/>
              </w:rPr>
            </w:pPr>
          </w:p>
        </w:tc>
        <w:tc>
          <w:tcPr>
            <w:tcW w:w="9480" w:type="dxa"/>
            <w:tcBorders>
              <w:top w:val="nil"/>
              <w:left w:val="nil"/>
              <w:bottom w:val="nil"/>
              <w:right w:val="nil"/>
            </w:tcBorders>
          </w:tcPr>
          <w:p w:rsidR="009C15BC" w:rsidRDefault="009C15BC">
            <w:pPr>
              <w:widowControl w:val="0"/>
              <w:autoSpaceDE w:val="0"/>
              <w:autoSpaceDN w:val="0"/>
              <w:adjustRightInd w:val="0"/>
              <w:jc w:val="both"/>
              <w:rPr>
                <w:rFonts w:ascii="sans-serif" w:hAnsi="sans-serif" w:cs="sans-serif"/>
                <w:color w:val="000000"/>
                <w:sz w:val="18"/>
                <w:szCs w:val="18"/>
              </w:rPr>
            </w:pPr>
            <w:r>
              <w:rPr>
                <w:rFonts w:ascii="sans-serif" w:hAnsi="sans-serif" w:cs="sans-serif"/>
                <w:color w:val="000000"/>
                <w:sz w:val="18"/>
                <w:szCs w:val="18"/>
              </w:rPr>
              <w:t>For the purposes of this Opinion, the terms “bonds,” “debentures,” and “notes” will be used interchangeably. Any distinctions among these terms are not relevant to the present motions.</w:t>
            </w:r>
          </w:p>
          <w:p w:rsidR="009C15BC" w:rsidRDefault="009C15BC">
            <w:pPr>
              <w:widowControl w:val="0"/>
              <w:autoSpaceDE w:val="0"/>
              <w:autoSpaceDN w:val="0"/>
              <w:adjustRightInd w:val="0"/>
              <w:jc w:val="both"/>
              <w:rPr>
                <w:rFonts w:ascii="sans-serif" w:hAnsi="sans-serif" w:cs="sans-serif"/>
                <w:color w:val="000000"/>
                <w:sz w:val="18"/>
                <w:szCs w:val="18"/>
              </w:rPr>
            </w:pPr>
          </w:p>
        </w:tc>
      </w:tr>
      <w:bookmarkStart w:id="65" w:name="co_footnote_B00881989106940_1"/>
      <w:bookmarkEnd w:id="65"/>
      <w:tr w:rsidR="009C15BC" w:rsidTr="009C15BC">
        <w:tblPrEx>
          <w:tblCellMar>
            <w:top w:w="0" w:type="dxa"/>
            <w:left w:w="0" w:type="dxa"/>
            <w:bottom w:w="0" w:type="dxa"/>
            <w:right w:w="0" w:type="dxa"/>
          </w:tblCellMar>
        </w:tblPrEx>
        <w:tc>
          <w:tcPr>
            <w:tcW w:w="600" w:type="dxa"/>
            <w:tcBorders>
              <w:top w:val="nil"/>
              <w:left w:val="nil"/>
              <w:bottom w:val="nil"/>
              <w:right w:val="nil"/>
            </w:tcBorders>
          </w:tcPr>
          <w:p w:rsidR="009C15BC" w:rsidRDefault="009C15BC">
            <w:pPr>
              <w:widowControl w:val="0"/>
              <w:autoSpaceDE w:val="0"/>
              <w:autoSpaceDN w:val="0"/>
              <w:adjustRightInd w:val="0"/>
              <w:rPr>
                <w:rFonts w:ascii="sans-serif" w:hAnsi="sans-serif" w:cs="sans-serif"/>
                <w:color w:val="000000"/>
                <w:sz w:val="24"/>
                <w:szCs w:val="24"/>
              </w:rPr>
            </w:pPr>
            <w:r>
              <w:rPr>
                <w:rFonts w:ascii="sans-serif" w:hAnsi="sans-serif" w:cs="sans-serif"/>
                <w:color w:val="000000"/>
                <w:sz w:val="24"/>
                <w:szCs w:val="24"/>
              </w:rPr>
              <w:fldChar w:fldCharType="begin"/>
            </w:r>
            <w:r>
              <w:rPr>
                <w:rFonts w:ascii="sans-serif" w:hAnsi="sans-serif" w:cs="sans-serif"/>
                <w:color w:val="000000"/>
                <w:sz w:val="24"/>
                <w:szCs w:val="24"/>
              </w:rPr>
              <w:instrText xml:space="preserve">HYPERLINK "#co_footnoteReference_B00881989106940_ID0" </w:instrText>
            </w:r>
            <w:r>
              <w:rPr>
                <w:rFonts w:ascii="sans-serif" w:hAnsi="sans-serif" w:cs="sans-serif"/>
                <w:color w:val="000000"/>
                <w:sz w:val="24"/>
                <w:szCs w:val="24"/>
              </w:rPr>
            </w:r>
            <w:r>
              <w:rPr>
                <w:rFonts w:ascii="sans-serif" w:hAnsi="sans-serif" w:cs="sans-serif"/>
                <w:color w:val="000000"/>
                <w:sz w:val="24"/>
                <w:szCs w:val="24"/>
              </w:rPr>
              <w:fldChar w:fldCharType="separate"/>
            </w:r>
            <w:r>
              <w:rPr>
                <w:rFonts w:ascii="sans-serif" w:hAnsi="sans-serif" w:cs="sans-serif"/>
                <w:color w:val="000000"/>
                <w:sz w:val="24"/>
                <w:szCs w:val="24"/>
                <w:vertAlign w:val="superscript"/>
              </w:rPr>
              <w:t>8</w:t>
            </w:r>
            <w:r>
              <w:rPr>
                <w:rFonts w:ascii="sans-serif" w:hAnsi="sans-serif" w:cs="sans-serif"/>
                <w:color w:val="000000"/>
                <w:sz w:val="24"/>
                <w:szCs w:val="24"/>
              </w:rPr>
              <w:fldChar w:fldCharType="end"/>
            </w:r>
          </w:p>
          <w:p w:rsidR="009C15BC" w:rsidRDefault="009C15BC">
            <w:pPr>
              <w:widowControl w:val="0"/>
              <w:autoSpaceDE w:val="0"/>
              <w:autoSpaceDN w:val="0"/>
              <w:adjustRightInd w:val="0"/>
              <w:rPr>
                <w:rFonts w:ascii="sans-serif" w:hAnsi="sans-serif" w:cs="sans-serif"/>
                <w:color w:val="000000"/>
                <w:sz w:val="24"/>
                <w:szCs w:val="24"/>
              </w:rPr>
            </w:pPr>
          </w:p>
        </w:tc>
        <w:tc>
          <w:tcPr>
            <w:tcW w:w="9480" w:type="dxa"/>
            <w:tcBorders>
              <w:top w:val="nil"/>
              <w:left w:val="nil"/>
              <w:bottom w:val="nil"/>
              <w:right w:val="nil"/>
            </w:tcBorders>
          </w:tcPr>
          <w:p w:rsidR="009C15BC" w:rsidRDefault="009C15BC">
            <w:pPr>
              <w:widowControl w:val="0"/>
              <w:autoSpaceDE w:val="0"/>
              <w:autoSpaceDN w:val="0"/>
              <w:adjustRightInd w:val="0"/>
              <w:jc w:val="both"/>
              <w:rPr>
                <w:rFonts w:ascii="sans-serif" w:hAnsi="sans-serif" w:cs="sans-serif"/>
                <w:color w:val="000000"/>
                <w:sz w:val="18"/>
                <w:szCs w:val="18"/>
              </w:rPr>
            </w:pPr>
            <w:r>
              <w:rPr>
                <w:rFonts w:ascii="sans-serif" w:hAnsi="sans-serif" w:cs="sans-serif"/>
                <w:color w:val="000000"/>
                <w:sz w:val="18"/>
                <w:szCs w:val="18"/>
              </w:rPr>
              <w:t xml:space="preserve">Both sides agree that New York law controls this Court’s interpretation of the indentures, which contain explicit designations to that effect. </w:t>
            </w:r>
            <w:r>
              <w:rPr>
                <w:rFonts w:ascii="sans-serif" w:hAnsi="sans-serif" w:cs="sans-serif"/>
                <w:i/>
                <w:iCs/>
                <w:color w:val="000000"/>
                <w:sz w:val="18"/>
                <w:szCs w:val="18"/>
              </w:rPr>
              <w:t>See, e.g.,</w:t>
            </w:r>
            <w:r>
              <w:rPr>
                <w:rFonts w:ascii="sans-serif" w:hAnsi="sans-serif" w:cs="sans-serif"/>
                <w:color w:val="000000"/>
                <w:sz w:val="18"/>
                <w:szCs w:val="18"/>
              </w:rPr>
              <w:t xml:space="preserve"> </w:t>
            </w:r>
            <w:proofErr w:type="spellStart"/>
            <w:r>
              <w:rPr>
                <w:rFonts w:ascii="sans-serif" w:hAnsi="sans-serif" w:cs="sans-serif"/>
                <w:color w:val="000000"/>
                <w:sz w:val="18"/>
                <w:szCs w:val="18"/>
              </w:rPr>
              <w:t>P.Mem</w:t>
            </w:r>
            <w:proofErr w:type="spellEnd"/>
            <w:r>
              <w:rPr>
                <w:rFonts w:ascii="sans-serif" w:hAnsi="sans-serif" w:cs="sans-serif"/>
                <w:color w:val="000000"/>
                <w:sz w:val="18"/>
                <w:szCs w:val="18"/>
              </w:rPr>
              <w:t xml:space="preserve">. </w:t>
            </w:r>
            <w:proofErr w:type="gramStart"/>
            <w:r>
              <w:rPr>
                <w:rFonts w:ascii="sans-serif" w:hAnsi="sans-serif" w:cs="sans-serif"/>
                <w:color w:val="000000"/>
                <w:sz w:val="18"/>
                <w:szCs w:val="18"/>
              </w:rPr>
              <w:t>at</w:t>
            </w:r>
            <w:proofErr w:type="gramEnd"/>
            <w:r>
              <w:rPr>
                <w:rFonts w:ascii="sans-serif" w:hAnsi="sans-serif" w:cs="sans-serif"/>
                <w:color w:val="000000"/>
                <w:sz w:val="18"/>
                <w:szCs w:val="18"/>
              </w:rPr>
              <w:t xml:space="preserve"> 26; D. </w:t>
            </w:r>
            <w:proofErr w:type="spellStart"/>
            <w:r>
              <w:rPr>
                <w:rFonts w:ascii="sans-serif" w:hAnsi="sans-serif" w:cs="sans-serif"/>
                <w:color w:val="000000"/>
                <w:sz w:val="18"/>
                <w:szCs w:val="18"/>
              </w:rPr>
              <w:t>Mem</w:t>
            </w:r>
            <w:proofErr w:type="spellEnd"/>
            <w:r>
              <w:rPr>
                <w:rFonts w:ascii="sans-serif" w:hAnsi="sans-serif" w:cs="sans-serif"/>
                <w:color w:val="000000"/>
                <w:sz w:val="18"/>
                <w:szCs w:val="18"/>
              </w:rPr>
              <w:t xml:space="preserve"> at 15 n. 23. The indentures themselves provide that they “shall be deemed to be a contract under the laws of the State of New York, and for all purposes shall be construed in accordance with the laws of said State, except as may otherwise be required by mandatory provisions of law.” Bradley </w:t>
            </w:r>
            <w:proofErr w:type="spellStart"/>
            <w:r>
              <w:rPr>
                <w:rFonts w:ascii="sans-serif" w:hAnsi="sans-serif" w:cs="sans-serif"/>
                <w:color w:val="000000"/>
                <w:sz w:val="18"/>
                <w:szCs w:val="18"/>
              </w:rPr>
              <w:t>Aff</w:t>
            </w:r>
            <w:proofErr w:type="spellEnd"/>
            <w:proofErr w:type="gramStart"/>
            <w:r>
              <w:rPr>
                <w:rFonts w:ascii="sans-serif" w:hAnsi="sans-serif" w:cs="sans-serif"/>
                <w:color w:val="000000"/>
                <w:sz w:val="18"/>
                <w:szCs w:val="18"/>
              </w:rPr>
              <w:t>.,</w:t>
            </w:r>
            <w:proofErr w:type="gramEnd"/>
            <w:r>
              <w:rPr>
                <w:rFonts w:ascii="sans-serif" w:hAnsi="sans-serif" w:cs="sans-serif"/>
                <w:color w:val="000000"/>
                <w:sz w:val="18"/>
                <w:szCs w:val="18"/>
              </w:rPr>
              <w:t xml:space="preserve"> </w:t>
            </w:r>
            <w:proofErr w:type="spellStart"/>
            <w:r>
              <w:rPr>
                <w:rFonts w:ascii="sans-serif" w:hAnsi="sans-serif" w:cs="sans-serif"/>
                <w:color w:val="000000"/>
                <w:sz w:val="18"/>
                <w:szCs w:val="18"/>
              </w:rPr>
              <w:t>Exh</w:t>
            </w:r>
            <w:proofErr w:type="spellEnd"/>
            <w:r>
              <w:rPr>
                <w:rFonts w:ascii="sans-serif" w:hAnsi="sans-serif" w:cs="sans-serif"/>
                <w:color w:val="000000"/>
                <w:sz w:val="18"/>
                <w:szCs w:val="18"/>
              </w:rPr>
              <w:t>. L, § 12.8.</w:t>
            </w:r>
          </w:p>
          <w:p w:rsidR="009C15BC" w:rsidRDefault="009C15BC">
            <w:pPr>
              <w:widowControl w:val="0"/>
              <w:autoSpaceDE w:val="0"/>
              <w:autoSpaceDN w:val="0"/>
              <w:adjustRightInd w:val="0"/>
              <w:jc w:val="both"/>
              <w:rPr>
                <w:rFonts w:ascii="sans-serif" w:hAnsi="sans-serif" w:cs="sans-serif"/>
                <w:color w:val="000000"/>
                <w:sz w:val="18"/>
                <w:szCs w:val="18"/>
              </w:rPr>
            </w:pPr>
          </w:p>
        </w:tc>
      </w:tr>
      <w:bookmarkStart w:id="66" w:name="co_footnote_B00991989106940_1"/>
      <w:bookmarkEnd w:id="66"/>
      <w:tr w:rsidR="009C15BC" w:rsidTr="009C15BC">
        <w:tblPrEx>
          <w:tblCellMar>
            <w:top w:w="0" w:type="dxa"/>
            <w:left w:w="0" w:type="dxa"/>
            <w:bottom w:w="0" w:type="dxa"/>
            <w:right w:w="0" w:type="dxa"/>
          </w:tblCellMar>
        </w:tblPrEx>
        <w:tc>
          <w:tcPr>
            <w:tcW w:w="600" w:type="dxa"/>
            <w:tcBorders>
              <w:top w:val="nil"/>
              <w:left w:val="nil"/>
              <w:bottom w:val="nil"/>
              <w:right w:val="nil"/>
            </w:tcBorders>
          </w:tcPr>
          <w:p w:rsidR="009C15BC" w:rsidRDefault="009C15BC">
            <w:pPr>
              <w:widowControl w:val="0"/>
              <w:autoSpaceDE w:val="0"/>
              <w:autoSpaceDN w:val="0"/>
              <w:adjustRightInd w:val="0"/>
              <w:rPr>
                <w:rFonts w:ascii="sans-serif" w:hAnsi="sans-serif" w:cs="sans-serif"/>
                <w:color w:val="000000"/>
                <w:sz w:val="24"/>
                <w:szCs w:val="24"/>
              </w:rPr>
            </w:pPr>
            <w:r>
              <w:rPr>
                <w:rFonts w:ascii="sans-serif" w:hAnsi="sans-serif" w:cs="sans-serif"/>
                <w:color w:val="000000"/>
                <w:sz w:val="24"/>
                <w:szCs w:val="24"/>
              </w:rPr>
              <w:fldChar w:fldCharType="begin"/>
            </w:r>
            <w:r>
              <w:rPr>
                <w:rFonts w:ascii="sans-serif" w:hAnsi="sans-serif" w:cs="sans-serif"/>
                <w:color w:val="000000"/>
                <w:sz w:val="24"/>
                <w:szCs w:val="24"/>
              </w:rPr>
              <w:instrText xml:space="preserve">HYPERLINK "#co_footnoteReference_B00991989106940_ID0" </w:instrText>
            </w:r>
            <w:r>
              <w:rPr>
                <w:rFonts w:ascii="sans-serif" w:hAnsi="sans-serif" w:cs="sans-serif"/>
                <w:color w:val="000000"/>
                <w:sz w:val="24"/>
                <w:szCs w:val="24"/>
              </w:rPr>
            </w:r>
            <w:r>
              <w:rPr>
                <w:rFonts w:ascii="sans-serif" w:hAnsi="sans-serif" w:cs="sans-serif"/>
                <w:color w:val="000000"/>
                <w:sz w:val="24"/>
                <w:szCs w:val="24"/>
              </w:rPr>
              <w:fldChar w:fldCharType="separate"/>
            </w:r>
            <w:r>
              <w:rPr>
                <w:rFonts w:ascii="sans-serif" w:hAnsi="sans-serif" w:cs="sans-serif"/>
                <w:color w:val="000000"/>
                <w:sz w:val="24"/>
                <w:szCs w:val="24"/>
                <w:vertAlign w:val="superscript"/>
              </w:rPr>
              <w:t>9</w:t>
            </w:r>
            <w:r>
              <w:rPr>
                <w:rFonts w:ascii="sans-serif" w:hAnsi="sans-serif" w:cs="sans-serif"/>
                <w:color w:val="000000"/>
                <w:sz w:val="24"/>
                <w:szCs w:val="24"/>
              </w:rPr>
              <w:fldChar w:fldCharType="end"/>
            </w:r>
          </w:p>
          <w:p w:rsidR="009C15BC" w:rsidRDefault="009C15BC">
            <w:pPr>
              <w:widowControl w:val="0"/>
              <w:autoSpaceDE w:val="0"/>
              <w:autoSpaceDN w:val="0"/>
              <w:adjustRightInd w:val="0"/>
              <w:rPr>
                <w:rFonts w:ascii="sans-serif" w:hAnsi="sans-serif" w:cs="sans-serif"/>
                <w:color w:val="000000"/>
                <w:sz w:val="24"/>
                <w:szCs w:val="24"/>
              </w:rPr>
            </w:pPr>
          </w:p>
        </w:tc>
        <w:tc>
          <w:tcPr>
            <w:tcW w:w="9480" w:type="dxa"/>
            <w:tcBorders>
              <w:top w:val="nil"/>
              <w:left w:val="nil"/>
              <w:bottom w:val="nil"/>
              <w:right w:val="nil"/>
            </w:tcBorders>
          </w:tcPr>
          <w:p w:rsidR="009C15BC" w:rsidRDefault="009C15BC">
            <w:pPr>
              <w:widowControl w:val="0"/>
              <w:autoSpaceDE w:val="0"/>
              <w:autoSpaceDN w:val="0"/>
              <w:adjustRightInd w:val="0"/>
              <w:jc w:val="both"/>
              <w:rPr>
                <w:rFonts w:ascii="sans-serif" w:hAnsi="sans-serif" w:cs="sans-serif"/>
                <w:color w:val="000000"/>
                <w:sz w:val="18"/>
                <w:szCs w:val="18"/>
              </w:rPr>
            </w:pPr>
            <w:r>
              <w:rPr>
                <w:rFonts w:ascii="sans-serif" w:hAnsi="sans-serif" w:cs="sans-serif"/>
                <w:color w:val="000000"/>
                <w:sz w:val="18"/>
                <w:szCs w:val="18"/>
              </w:rPr>
              <w:t xml:space="preserve">During discovery, MetLife produced from its files an article that appeared in </w:t>
            </w:r>
            <w:r>
              <w:rPr>
                <w:rFonts w:ascii="sans-serif" w:hAnsi="sans-serif" w:cs="sans-serif"/>
                <w:i/>
                <w:iCs/>
                <w:color w:val="000000"/>
                <w:sz w:val="18"/>
                <w:szCs w:val="18"/>
              </w:rPr>
              <w:t>The New York Times</w:t>
            </w:r>
            <w:r>
              <w:rPr>
                <w:rFonts w:ascii="sans-serif" w:hAnsi="sans-serif" w:cs="sans-serif"/>
                <w:color w:val="000000"/>
                <w:sz w:val="18"/>
                <w:szCs w:val="18"/>
              </w:rPr>
              <w:t xml:space="preserve"> on January 7, 1986. The article, like the memoranda discussed above, reviewed the position of bondholders like MetLife and Jefferson-Pilot:</w:t>
            </w:r>
          </w:p>
          <w:p w:rsidR="009C15BC" w:rsidRDefault="009C15BC">
            <w:pPr>
              <w:widowControl w:val="0"/>
              <w:autoSpaceDE w:val="0"/>
              <w:autoSpaceDN w:val="0"/>
              <w:adjustRightInd w:val="0"/>
              <w:spacing w:before="45" w:after="45"/>
              <w:ind w:left="980" w:right="800"/>
              <w:jc w:val="both"/>
              <w:rPr>
                <w:rFonts w:ascii="sans-serif" w:hAnsi="sans-serif" w:cs="sans-serif"/>
                <w:color w:val="000000"/>
                <w:sz w:val="18"/>
                <w:szCs w:val="18"/>
              </w:rPr>
            </w:pPr>
            <w:r>
              <w:rPr>
                <w:rFonts w:ascii="sans-serif" w:hAnsi="sans-serif" w:cs="sans-serif"/>
                <w:color w:val="000000"/>
                <w:sz w:val="18"/>
                <w:szCs w:val="18"/>
              </w:rPr>
              <w:t xml:space="preserve">“Debt-financed acquisitions, as well as those defensive actions to thwart takeovers, have generally resulted in lower bond ratings ... Of course, a major problem for </w:t>
            </w:r>
            <w:proofErr w:type="spellStart"/>
            <w:r>
              <w:rPr>
                <w:rFonts w:ascii="sans-serif" w:hAnsi="sans-serif" w:cs="sans-serif"/>
                <w:color w:val="000000"/>
                <w:sz w:val="18"/>
                <w:szCs w:val="18"/>
              </w:rPr>
              <w:t>debtholders</w:t>
            </w:r>
            <w:proofErr w:type="spellEnd"/>
            <w:r>
              <w:rPr>
                <w:rFonts w:ascii="sans-serif" w:hAnsi="sans-serif" w:cs="sans-serif"/>
                <w:color w:val="000000"/>
                <w:sz w:val="18"/>
                <w:szCs w:val="18"/>
              </w:rPr>
              <w:t xml:space="preserve"> is that, compared with shareholders, they have relatively little power over management decisions. </w:t>
            </w:r>
            <w:r>
              <w:rPr>
                <w:rFonts w:ascii="sans-serif" w:hAnsi="sans-serif" w:cs="sans-serif"/>
                <w:i/>
                <w:iCs/>
                <w:color w:val="000000"/>
                <w:sz w:val="18"/>
                <w:szCs w:val="18"/>
              </w:rPr>
              <w:t>Their rights are essentially confined to the covenants restricting, say, the level of debt a company can accrue.</w:t>
            </w:r>
            <w:r>
              <w:rPr>
                <w:rFonts w:ascii="sans-serif" w:hAnsi="sans-serif" w:cs="sans-serif"/>
                <w:color w:val="000000"/>
                <w:sz w:val="18"/>
                <w:szCs w:val="18"/>
              </w:rPr>
              <w:t>”</w:t>
            </w:r>
          </w:p>
          <w:p w:rsidR="009C15BC" w:rsidRDefault="009C15BC">
            <w:pPr>
              <w:widowControl w:val="0"/>
              <w:autoSpaceDE w:val="0"/>
              <w:autoSpaceDN w:val="0"/>
              <w:adjustRightInd w:val="0"/>
              <w:ind w:left="180"/>
              <w:jc w:val="both"/>
              <w:rPr>
                <w:rFonts w:ascii="sans-serif" w:hAnsi="sans-serif" w:cs="sans-serif"/>
                <w:color w:val="000000"/>
                <w:sz w:val="18"/>
                <w:szCs w:val="18"/>
              </w:rPr>
            </w:pPr>
            <w:r>
              <w:rPr>
                <w:rFonts w:ascii="sans-serif" w:hAnsi="sans-serif" w:cs="sans-serif"/>
                <w:color w:val="000000"/>
                <w:sz w:val="18"/>
                <w:szCs w:val="18"/>
              </w:rPr>
              <w:t xml:space="preserve">Bradley Reply </w:t>
            </w:r>
            <w:proofErr w:type="spellStart"/>
            <w:r>
              <w:rPr>
                <w:rFonts w:ascii="sans-serif" w:hAnsi="sans-serif" w:cs="sans-serif"/>
                <w:color w:val="000000"/>
                <w:sz w:val="18"/>
                <w:szCs w:val="18"/>
              </w:rPr>
              <w:t>Aff.Exh</w:t>
            </w:r>
            <w:proofErr w:type="spellEnd"/>
            <w:r>
              <w:rPr>
                <w:rFonts w:ascii="sans-serif" w:hAnsi="sans-serif" w:cs="sans-serif"/>
                <w:color w:val="000000"/>
                <w:sz w:val="18"/>
                <w:szCs w:val="18"/>
              </w:rPr>
              <w:t>. H (emphasis added).</w:t>
            </w:r>
          </w:p>
          <w:p w:rsidR="009C15BC" w:rsidRDefault="009C15BC">
            <w:pPr>
              <w:widowControl w:val="0"/>
              <w:autoSpaceDE w:val="0"/>
              <w:autoSpaceDN w:val="0"/>
              <w:adjustRightInd w:val="0"/>
              <w:jc w:val="both"/>
              <w:rPr>
                <w:rFonts w:ascii="sans-serif" w:hAnsi="sans-serif" w:cs="sans-serif"/>
                <w:color w:val="000000"/>
                <w:sz w:val="18"/>
                <w:szCs w:val="18"/>
              </w:rPr>
            </w:pPr>
          </w:p>
        </w:tc>
      </w:tr>
      <w:bookmarkStart w:id="67" w:name="co_footnote_B010101989106940_1"/>
      <w:bookmarkStart w:id="68" w:name="co_footnote_B014141989106940_1"/>
      <w:bookmarkStart w:id="69" w:name="co_footnote_B015151989106940_1"/>
      <w:bookmarkEnd w:id="67"/>
      <w:bookmarkEnd w:id="68"/>
      <w:bookmarkEnd w:id="69"/>
      <w:tr w:rsidR="009C15BC" w:rsidTr="009C15BC">
        <w:tblPrEx>
          <w:tblCellMar>
            <w:top w:w="0" w:type="dxa"/>
            <w:left w:w="0" w:type="dxa"/>
            <w:bottom w:w="0" w:type="dxa"/>
            <w:right w:w="0" w:type="dxa"/>
          </w:tblCellMar>
        </w:tblPrEx>
        <w:tc>
          <w:tcPr>
            <w:tcW w:w="600" w:type="dxa"/>
            <w:tcBorders>
              <w:top w:val="nil"/>
              <w:left w:val="nil"/>
              <w:bottom w:val="nil"/>
              <w:right w:val="nil"/>
            </w:tcBorders>
          </w:tcPr>
          <w:p w:rsidR="009C15BC" w:rsidRDefault="009C15BC">
            <w:pPr>
              <w:widowControl w:val="0"/>
              <w:autoSpaceDE w:val="0"/>
              <w:autoSpaceDN w:val="0"/>
              <w:adjustRightInd w:val="0"/>
              <w:rPr>
                <w:rFonts w:ascii="sans-serif" w:hAnsi="sans-serif" w:cs="sans-serif"/>
                <w:color w:val="000000"/>
                <w:sz w:val="24"/>
                <w:szCs w:val="24"/>
              </w:rPr>
            </w:pPr>
            <w:r>
              <w:rPr>
                <w:rFonts w:ascii="sans-serif" w:hAnsi="sans-serif" w:cs="sans-serif"/>
                <w:color w:val="000000"/>
                <w:sz w:val="24"/>
                <w:szCs w:val="24"/>
              </w:rPr>
              <w:fldChar w:fldCharType="begin"/>
            </w:r>
            <w:r>
              <w:rPr>
                <w:rFonts w:ascii="sans-serif" w:hAnsi="sans-serif" w:cs="sans-serif"/>
                <w:color w:val="000000"/>
                <w:sz w:val="24"/>
                <w:szCs w:val="24"/>
              </w:rPr>
              <w:instrText xml:space="preserve">HYPERLINK "#co_footnoteReference_B015151989106940_ID" </w:instrText>
            </w:r>
            <w:r>
              <w:rPr>
                <w:rFonts w:ascii="sans-serif" w:hAnsi="sans-serif" w:cs="sans-serif"/>
                <w:color w:val="000000"/>
                <w:sz w:val="24"/>
                <w:szCs w:val="24"/>
              </w:rPr>
            </w:r>
            <w:r>
              <w:rPr>
                <w:rFonts w:ascii="sans-serif" w:hAnsi="sans-serif" w:cs="sans-serif"/>
                <w:color w:val="000000"/>
                <w:sz w:val="24"/>
                <w:szCs w:val="24"/>
              </w:rPr>
              <w:fldChar w:fldCharType="separate"/>
            </w:r>
            <w:r>
              <w:rPr>
                <w:rFonts w:ascii="sans-serif" w:hAnsi="sans-serif" w:cs="sans-serif"/>
                <w:color w:val="000000"/>
                <w:sz w:val="24"/>
                <w:szCs w:val="24"/>
                <w:vertAlign w:val="superscript"/>
              </w:rPr>
              <w:t>15</w:t>
            </w:r>
            <w:r>
              <w:rPr>
                <w:rFonts w:ascii="sans-serif" w:hAnsi="sans-serif" w:cs="sans-serif"/>
                <w:color w:val="000000"/>
                <w:sz w:val="24"/>
                <w:szCs w:val="24"/>
              </w:rPr>
              <w:fldChar w:fldCharType="end"/>
            </w:r>
          </w:p>
          <w:p w:rsidR="009C15BC" w:rsidRDefault="009C15BC">
            <w:pPr>
              <w:widowControl w:val="0"/>
              <w:autoSpaceDE w:val="0"/>
              <w:autoSpaceDN w:val="0"/>
              <w:adjustRightInd w:val="0"/>
              <w:rPr>
                <w:rFonts w:ascii="sans-serif" w:hAnsi="sans-serif" w:cs="sans-serif"/>
                <w:color w:val="000000"/>
                <w:sz w:val="24"/>
                <w:szCs w:val="24"/>
              </w:rPr>
            </w:pPr>
          </w:p>
        </w:tc>
        <w:tc>
          <w:tcPr>
            <w:tcW w:w="9480" w:type="dxa"/>
            <w:tcBorders>
              <w:top w:val="nil"/>
              <w:left w:val="nil"/>
              <w:bottom w:val="nil"/>
              <w:right w:val="nil"/>
            </w:tcBorders>
          </w:tcPr>
          <w:p w:rsidR="009C15BC" w:rsidRDefault="009C15BC">
            <w:pPr>
              <w:widowControl w:val="0"/>
              <w:autoSpaceDE w:val="0"/>
              <w:autoSpaceDN w:val="0"/>
              <w:adjustRightInd w:val="0"/>
              <w:jc w:val="both"/>
              <w:rPr>
                <w:rFonts w:ascii="sans-serif" w:hAnsi="sans-serif" w:cs="sans-serif"/>
                <w:color w:val="000000"/>
                <w:sz w:val="18"/>
                <w:szCs w:val="18"/>
              </w:rPr>
            </w:pPr>
            <w:r>
              <w:rPr>
                <w:rFonts w:ascii="sans-serif" w:hAnsi="sans-serif" w:cs="sans-serif"/>
                <w:color w:val="000000"/>
                <w:sz w:val="18"/>
                <w:szCs w:val="18"/>
              </w:rPr>
              <w:t xml:space="preserve">The Court here incorporates by reference its earlier discussion not only of plaintiffs’ failure to demonstrate sufficiently a risk of irreparable harm on their motion for a preliminary injunction, but also defendants’ proof concerning the financing of the LBO and the company’s current equity base. </w:t>
            </w:r>
            <w:r>
              <w:rPr>
                <w:rFonts w:ascii="sans-serif" w:hAnsi="sans-serif" w:cs="sans-serif"/>
                <w:i/>
                <w:iCs/>
                <w:color w:val="000000"/>
                <w:sz w:val="18"/>
                <w:szCs w:val="18"/>
              </w:rPr>
              <w:t xml:space="preserve">See </w:t>
            </w:r>
            <w:hyperlink r:id="rId30" w:history="1">
              <w:r>
                <w:rPr>
                  <w:rFonts w:ascii="sans-serif" w:hAnsi="sans-serif" w:cs="sans-serif"/>
                  <w:i/>
                  <w:iCs/>
                  <w:color w:val="000000"/>
                  <w:sz w:val="18"/>
                  <w:szCs w:val="18"/>
                </w:rPr>
                <w:t>supra</w:t>
              </w:r>
              <w:r>
                <w:rPr>
                  <w:rFonts w:ascii="sans-serif" w:hAnsi="sans-serif" w:cs="sans-serif"/>
                  <w:color w:val="000000"/>
                  <w:sz w:val="18"/>
                  <w:szCs w:val="18"/>
                </w:rPr>
                <w:t xml:space="preserve"> at 4-5</w:t>
              </w:r>
            </w:hyperlink>
            <w:r>
              <w:rPr>
                <w:rFonts w:ascii="sans-serif" w:hAnsi="sans-serif" w:cs="sans-serif"/>
                <w:color w:val="000000"/>
                <w:sz w:val="18"/>
                <w:szCs w:val="18"/>
              </w:rPr>
              <w:t xml:space="preserve">. Consequently, the Court rejects plaintiffs’ general assertion that the LBO “subjects existing </w:t>
            </w:r>
            <w:proofErr w:type="spellStart"/>
            <w:r>
              <w:rPr>
                <w:rFonts w:ascii="sans-serif" w:hAnsi="sans-serif" w:cs="sans-serif"/>
                <w:color w:val="000000"/>
                <w:sz w:val="18"/>
                <w:szCs w:val="18"/>
              </w:rPr>
              <w:t>debtholders</w:t>
            </w:r>
            <w:proofErr w:type="spellEnd"/>
            <w:r>
              <w:rPr>
                <w:rFonts w:ascii="sans-serif" w:hAnsi="sans-serif" w:cs="sans-serif"/>
                <w:color w:val="000000"/>
                <w:sz w:val="18"/>
                <w:szCs w:val="18"/>
              </w:rPr>
              <w:t xml:space="preserve"> to dramatically greater risk of non-payment, and the Company to a significant risk of insolvency.” </w:t>
            </w:r>
            <w:proofErr w:type="spellStart"/>
            <w:r>
              <w:rPr>
                <w:rFonts w:ascii="sans-serif" w:hAnsi="sans-serif" w:cs="sans-serif"/>
                <w:color w:val="000000"/>
                <w:sz w:val="18"/>
                <w:szCs w:val="18"/>
              </w:rPr>
              <w:t>Am.Comp</w:t>
            </w:r>
            <w:proofErr w:type="spellEnd"/>
            <w:r>
              <w:rPr>
                <w:rFonts w:ascii="sans-serif" w:hAnsi="sans-serif" w:cs="sans-serif"/>
                <w:color w:val="000000"/>
                <w:sz w:val="18"/>
                <w:szCs w:val="18"/>
              </w:rPr>
              <w:t>. ¶ 26. In brief, there is no implied covenant restricting any action that might subject plaintiffs’ investment to greater risk of non-payment. What plaintiffs have failed to allege is that an interest or principal payment due them has not been paid, or that any other explicit contractual right has not been honored.</w:t>
            </w:r>
          </w:p>
          <w:p w:rsidR="009C15BC" w:rsidRDefault="009C15BC">
            <w:pPr>
              <w:widowControl w:val="0"/>
              <w:autoSpaceDE w:val="0"/>
              <w:autoSpaceDN w:val="0"/>
              <w:adjustRightInd w:val="0"/>
              <w:ind w:left="180"/>
              <w:jc w:val="both"/>
              <w:rPr>
                <w:rFonts w:ascii="sans-serif" w:hAnsi="sans-serif" w:cs="sans-serif"/>
                <w:color w:val="000000"/>
                <w:sz w:val="18"/>
                <w:szCs w:val="18"/>
              </w:rPr>
            </w:pPr>
          </w:p>
        </w:tc>
      </w:tr>
      <w:bookmarkStart w:id="70" w:name="co_footnote_B016161989106940_1"/>
      <w:bookmarkEnd w:id="70"/>
      <w:tr w:rsidR="009C15BC" w:rsidTr="009C15BC">
        <w:tblPrEx>
          <w:tblCellMar>
            <w:top w:w="0" w:type="dxa"/>
            <w:left w:w="0" w:type="dxa"/>
            <w:bottom w:w="0" w:type="dxa"/>
            <w:right w:w="0" w:type="dxa"/>
          </w:tblCellMar>
        </w:tblPrEx>
        <w:tc>
          <w:tcPr>
            <w:tcW w:w="600" w:type="dxa"/>
            <w:tcBorders>
              <w:top w:val="nil"/>
              <w:left w:val="nil"/>
              <w:bottom w:val="nil"/>
              <w:right w:val="nil"/>
            </w:tcBorders>
          </w:tcPr>
          <w:p w:rsidR="009C15BC" w:rsidRDefault="009C15BC">
            <w:pPr>
              <w:widowControl w:val="0"/>
              <w:autoSpaceDE w:val="0"/>
              <w:autoSpaceDN w:val="0"/>
              <w:adjustRightInd w:val="0"/>
              <w:rPr>
                <w:rFonts w:ascii="sans-serif" w:hAnsi="sans-serif" w:cs="sans-serif"/>
                <w:color w:val="000000"/>
                <w:sz w:val="24"/>
                <w:szCs w:val="24"/>
              </w:rPr>
            </w:pPr>
            <w:r>
              <w:rPr>
                <w:rFonts w:ascii="sans-serif" w:hAnsi="sans-serif" w:cs="sans-serif"/>
                <w:color w:val="000000"/>
                <w:sz w:val="24"/>
                <w:szCs w:val="24"/>
              </w:rPr>
              <w:fldChar w:fldCharType="begin"/>
            </w:r>
            <w:r>
              <w:rPr>
                <w:rFonts w:ascii="sans-serif" w:hAnsi="sans-serif" w:cs="sans-serif"/>
                <w:color w:val="000000"/>
                <w:sz w:val="24"/>
                <w:szCs w:val="24"/>
              </w:rPr>
              <w:instrText xml:space="preserve">HYPERLINK "#co_footnoteReference_B016161989106940_ID" </w:instrText>
            </w:r>
            <w:r>
              <w:rPr>
                <w:rFonts w:ascii="sans-serif" w:hAnsi="sans-serif" w:cs="sans-serif"/>
                <w:color w:val="000000"/>
                <w:sz w:val="24"/>
                <w:szCs w:val="24"/>
              </w:rPr>
            </w:r>
            <w:r>
              <w:rPr>
                <w:rFonts w:ascii="sans-serif" w:hAnsi="sans-serif" w:cs="sans-serif"/>
                <w:color w:val="000000"/>
                <w:sz w:val="24"/>
                <w:szCs w:val="24"/>
              </w:rPr>
              <w:fldChar w:fldCharType="separate"/>
            </w:r>
            <w:r>
              <w:rPr>
                <w:rFonts w:ascii="sans-serif" w:hAnsi="sans-serif" w:cs="sans-serif"/>
                <w:color w:val="000000"/>
                <w:sz w:val="24"/>
                <w:szCs w:val="24"/>
                <w:vertAlign w:val="superscript"/>
              </w:rPr>
              <w:t>16</w:t>
            </w:r>
            <w:r>
              <w:rPr>
                <w:rFonts w:ascii="sans-serif" w:hAnsi="sans-serif" w:cs="sans-serif"/>
                <w:color w:val="000000"/>
                <w:sz w:val="24"/>
                <w:szCs w:val="24"/>
              </w:rPr>
              <w:fldChar w:fldCharType="end"/>
            </w:r>
          </w:p>
          <w:p w:rsidR="009C15BC" w:rsidRDefault="009C15BC">
            <w:pPr>
              <w:widowControl w:val="0"/>
              <w:autoSpaceDE w:val="0"/>
              <w:autoSpaceDN w:val="0"/>
              <w:adjustRightInd w:val="0"/>
              <w:rPr>
                <w:rFonts w:ascii="sans-serif" w:hAnsi="sans-serif" w:cs="sans-serif"/>
                <w:color w:val="000000"/>
                <w:sz w:val="24"/>
                <w:szCs w:val="24"/>
              </w:rPr>
            </w:pPr>
          </w:p>
        </w:tc>
        <w:tc>
          <w:tcPr>
            <w:tcW w:w="9480" w:type="dxa"/>
            <w:tcBorders>
              <w:top w:val="nil"/>
              <w:left w:val="nil"/>
              <w:bottom w:val="nil"/>
              <w:right w:val="nil"/>
            </w:tcBorders>
          </w:tcPr>
          <w:p w:rsidR="009C15BC" w:rsidRDefault="009C15BC">
            <w:pPr>
              <w:widowControl w:val="0"/>
              <w:autoSpaceDE w:val="0"/>
              <w:autoSpaceDN w:val="0"/>
              <w:adjustRightInd w:val="0"/>
              <w:jc w:val="both"/>
              <w:rPr>
                <w:rFonts w:ascii="sans-serif" w:hAnsi="sans-serif" w:cs="sans-serif"/>
                <w:color w:val="000000"/>
                <w:sz w:val="18"/>
                <w:szCs w:val="18"/>
              </w:rPr>
            </w:pPr>
            <w:r>
              <w:rPr>
                <w:rFonts w:ascii="sans-serif" w:hAnsi="sans-serif" w:cs="sans-serif"/>
                <w:color w:val="000000"/>
                <w:sz w:val="18"/>
                <w:szCs w:val="18"/>
              </w:rPr>
              <w:t>Under plaintiffs’ theory, bondholders might ask a court to prohibit a company like RJR Nabisco not only from engaging in an LBO, but also from entering a new line of business-with the attendant costs of building new physical plants and hiring new workers-or from acquiring new businesses such as RJR Nabisco did when it acquired Del Monte.</w:t>
            </w:r>
          </w:p>
          <w:p w:rsidR="009C15BC" w:rsidRDefault="009C15BC">
            <w:pPr>
              <w:widowControl w:val="0"/>
              <w:autoSpaceDE w:val="0"/>
              <w:autoSpaceDN w:val="0"/>
              <w:adjustRightInd w:val="0"/>
              <w:jc w:val="both"/>
              <w:rPr>
                <w:rFonts w:ascii="sans-serif" w:hAnsi="sans-serif" w:cs="sans-serif"/>
                <w:color w:val="000000"/>
                <w:sz w:val="18"/>
                <w:szCs w:val="18"/>
              </w:rPr>
            </w:pPr>
          </w:p>
        </w:tc>
      </w:tr>
      <w:bookmarkStart w:id="71" w:name="co_footnote_B017171989106940_1"/>
      <w:bookmarkEnd w:id="71"/>
      <w:tr w:rsidR="009C15BC" w:rsidTr="009C15BC">
        <w:tblPrEx>
          <w:tblCellMar>
            <w:top w:w="0" w:type="dxa"/>
            <w:left w:w="0" w:type="dxa"/>
            <w:bottom w:w="0" w:type="dxa"/>
            <w:right w:w="0" w:type="dxa"/>
          </w:tblCellMar>
        </w:tblPrEx>
        <w:tc>
          <w:tcPr>
            <w:tcW w:w="600" w:type="dxa"/>
            <w:tcBorders>
              <w:top w:val="nil"/>
              <w:left w:val="nil"/>
              <w:bottom w:val="nil"/>
              <w:right w:val="nil"/>
            </w:tcBorders>
          </w:tcPr>
          <w:p w:rsidR="009C15BC" w:rsidRDefault="009C15BC">
            <w:pPr>
              <w:widowControl w:val="0"/>
              <w:autoSpaceDE w:val="0"/>
              <w:autoSpaceDN w:val="0"/>
              <w:adjustRightInd w:val="0"/>
              <w:rPr>
                <w:rFonts w:ascii="sans-serif" w:hAnsi="sans-serif" w:cs="sans-serif"/>
                <w:color w:val="000000"/>
                <w:sz w:val="24"/>
                <w:szCs w:val="24"/>
              </w:rPr>
            </w:pPr>
            <w:r>
              <w:rPr>
                <w:rFonts w:ascii="sans-serif" w:hAnsi="sans-serif" w:cs="sans-serif"/>
                <w:color w:val="000000"/>
                <w:sz w:val="24"/>
                <w:szCs w:val="24"/>
              </w:rPr>
              <w:fldChar w:fldCharType="begin"/>
            </w:r>
            <w:r>
              <w:rPr>
                <w:rFonts w:ascii="sans-serif" w:hAnsi="sans-serif" w:cs="sans-serif"/>
                <w:color w:val="000000"/>
                <w:sz w:val="24"/>
                <w:szCs w:val="24"/>
              </w:rPr>
              <w:instrText xml:space="preserve">HYPERLINK "#co_footnoteReference_B017171989106940_ID" </w:instrText>
            </w:r>
            <w:r>
              <w:rPr>
                <w:rFonts w:ascii="sans-serif" w:hAnsi="sans-serif" w:cs="sans-serif"/>
                <w:color w:val="000000"/>
                <w:sz w:val="24"/>
                <w:szCs w:val="24"/>
              </w:rPr>
            </w:r>
            <w:r>
              <w:rPr>
                <w:rFonts w:ascii="sans-serif" w:hAnsi="sans-serif" w:cs="sans-serif"/>
                <w:color w:val="000000"/>
                <w:sz w:val="24"/>
                <w:szCs w:val="24"/>
              </w:rPr>
              <w:fldChar w:fldCharType="separate"/>
            </w:r>
            <w:r>
              <w:rPr>
                <w:rFonts w:ascii="sans-serif" w:hAnsi="sans-serif" w:cs="sans-serif"/>
                <w:color w:val="000000"/>
                <w:sz w:val="24"/>
                <w:szCs w:val="24"/>
                <w:vertAlign w:val="superscript"/>
              </w:rPr>
              <w:t>17</w:t>
            </w:r>
            <w:r>
              <w:rPr>
                <w:rFonts w:ascii="sans-serif" w:hAnsi="sans-serif" w:cs="sans-serif"/>
                <w:color w:val="000000"/>
                <w:sz w:val="24"/>
                <w:szCs w:val="24"/>
              </w:rPr>
              <w:fldChar w:fldCharType="end"/>
            </w:r>
          </w:p>
          <w:p w:rsidR="009C15BC" w:rsidRDefault="009C15BC">
            <w:pPr>
              <w:widowControl w:val="0"/>
              <w:autoSpaceDE w:val="0"/>
              <w:autoSpaceDN w:val="0"/>
              <w:adjustRightInd w:val="0"/>
              <w:rPr>
                <w:rFonts w:ascii="sans-serif" w:hAnsi="sans-serif" w:cs="sans-serif"/>
                <w:color w:val="000000"/>
                <w:sz w:val="24"/>
                <w:szCs w:val="24"/>
              </w:rPr>
            </w:pPr>
          </w:p>
        </w:tc>
        <w:tc>
          <w:tcPr>
            <w:tcW w:w="9480" w:type="dxa"/>
            <w:tcBorders>
              <w:top w:val="nil"/>
              <w:left w:val="nil"/>
              <w:bottom w:val="nil"/>
              <w:right w:val="nil"/>
            </w:tcBorders>
          </w:tcPr>
          <w:p w:rsidR="009C15BC" w:rsidRDefault="009C15BC" w:rsidP="009C15BC">
            <w:pPr>
              <w:widowControl w:val="0"/>
              <w:autoSpaceDE w:val="0"/>
              <w:autoSpaceDN w:val="0"/>
              <w:adjustRightInd w:val="0"/>
              <w:jc w:val="both"/>
              <w:rPr>
                <w:rFonts w:ascii="sans-serif" w:hAnsi="sans-serif" w:cs="sans-serif"/>
                <w:color w:val="000000"/>
                <w:sz w:val="18"/>
                <w:szCs w:val="18"/>
              </w:rPr>
            </w:pPr>
          </w:p>
        </w:tc>
      </w:tr>
      <w:tr w:rsidR="009C15BC" w:rsidTr="009C15BC">
        <w:tblPrEx>
          <w:tblCellMar>
            <w:top w:w="0" w:type="dxa"/>
            <w:left w:w="0" w:type="dxa"/>
            <w:bottom w:w="0" w:type="dxa"/>
            <w:right w:w="0" w:type="dxa"/>
          </w:tblCellMar>
        </w:tblPrEx>
        <w:tc>
          <w:tcPr>
            <w:tcW w:w="600" w:type="dxa"/>
            <w:tcBorders>
              <w:top w:val="nil"/>
              <w:left w:val="nil"/>
              <w:bottom w:val="nil"/>
              <w:right w:val="nil"/>
            </w:tcBorders>
          </w:tcPr>
          <w:p w:rsidR="009C15BC" w:rsidRDefault="009C15BC" w:rsidP="009C15BC">
            <w:pPr>
              <w:widowControl w:val="0"/>
              <w:autoSpaceDE w:val="0"/>
              <w:autoSpaceDN w:val="0"/>
              <w:adjustRightInd w:val="0"/>
              <w:rPr>
                <w:rFonts w:ascii="sans-serif" w:hAnsi="sans-serif" w:cs="sans-serif"/>
                <w:color w:val="000000"/>
                <w:sz w:val="24"/>
                <w:szCs w:val="24"/>
              </w:rPr>
            </w:pPr>
            <w:bookmarkStart w:id="72" w:name="co_footnote_B018181989106940_1"/>
            <w:bookmarkStart w:id="73" w:name="_GoBack"/>
            <w:bookmarkEnd w:id="72"/>
            <w:bookmarkEnd w:id="73"/>
          </w:p>
        </w:tc>
        <w:tc>
          <w:tcPr>
            <w:tcW w:w="9480" w:type="dxa"/>
            <w:tcBorders>
              <w:top w:val="nil"/>
              <w:left w:val="nil"/>
              <w:bottom w:val="nil"/>
              <w:right w:val="nil"/>
            </w:tcBorders>
          </w:tcPr>
          <w:p w:rsidR="009C15BC" w:rsidRDefault="009C15BC">
            <w:pPr>
              <w:widowControl w:val="0"/>
              <w:autoSpaceDE w:val="0"/>
              <w:autoSpaceDN w:val="0"/>
              <w:adjustRightInd w:val="0"/>
              <w:jc w:val="both"/>
              <w:rPr>
                <w:rFonts w:ascii="sans-serif" w:hAnsi="sans-serif" w:cs="sans-serif"/>
                <w:color w:val="000000"/>
                <w:sz w:val="18"/>
                <w:szCs w:val="18"/>
              </w:rPr>
            </w:pPr>
          </w:p>
        </w:tc>
      </w:tr>
      <w:tr w:rsidR="009C15BC" w:rsidTr="009C15BC">
        <w:tblPrEx>
          <w:tblCellMar>
            <w:top w:w="0" w:type="dxa"/>
            <w:left w:w="0" w:type="dxa"/>
            <w:bottom w:w="0" w:type="dxa"/>
            <w:right w:w="0" w:type="dxa"/>
          </w:tblCellMar>
        </w:tblPrEx>
        <w:tc>
          <w:tcPr>
            <w:tcW w:w="600" w:type="dxa"/>
            <w:tcBorders>
              <w:top w:val="nil"/>
              <w:left w:val="nil"/>
              <w:bottom w:val="nil"/>
              <w:right w:val="nil"/>
            </w:tcBorders>
          </w:tcPr>
          <w:p w:rsidR="009C15BC" w:rsidRDefault="009C15BC" w:rsidP="009C15BC">
            <w:pPr>
              <w:widowControl w:val="0"/>
              <w:autoSpaceDE w:val="0"/>
              <w:autoSpaceDN w:val="0"/>
              <w:adjustRightInd w:val="0"/>
              <w:rPr>
                <w:rFonts w:ascii="sans-serif" w:hAnsi="sans-serif" w:cs="sans-serif"/>
                <w:color w:val="000000"/>
                <w:sz w:val="24"/>
                <w:szCs w:val="24"/>
              </w:rPr>
            </w:pPr>
            <w:bookmarkStart w:id="74" w:name="co_footnote_B019191989106940_1"/>
            <w:bookmarkEnd w:id="74"/>
          </w:p>
        </w:tc>
        <w:tc>
          <w:tcPr>
            <w:tcW w:w="9480" w:type="dxa"/>
            <w:tcBorders>
              <w:top w:val="nil"/>
              <w:left w:val="nil"/>
              <w:bottom w:val="nil"/>
              <w:right w:val="nil"/>
            </w:tcBorders>
          </w:tcPr>
          <w:p w:rsidR="009C15BC" w:rsidRDefault="009C15BC">
            <w:pPr>
              <w:widowControl w:val="0"/>
              <w:autoSpaceDE w:val="0"/>
              <w:autoSpaceDN w:val="0"/>
              <w:adjustRightInd w:val="0"/>
              <w:jc w:val="both"/>
              <w:rPr>
                <w:rFonts w:ascii="sans-serif" w:hAnsi="sans-serif" w:cs="sans-serif"/>
                <w:i/>
                <w:iCs/>
                <w:color w:val="000000"/>
                <w:sz w:val="18"/>
                <w:szCs w:val="18"/>
              </w:rPr>
            </w:pPr>
          </w:p>
        </w:tc>
      </w:tr>
      <w:tr w:rsidR="009C15BC" w:rsidTr="009C15BC">
        <w:tblPrEx>
          <w:tblCellMar>
            <w:top w:w="0" w:type="dxa"/>
            <w:left w:w="0" w:type="dxa"/>
            <w:bottom w:w="0" w:type="dxa"/>
            <w:right w:w="0" w:type="dxa"/>
          </w:tblCellMar>
        </w:tblPrEx>
        <w:tc>
          <w:tcPr>
            <w:tcW w:w="600" w:type="dxa"/>
            <w:tcBorders>
              <w:top w:val="nil"/>
              <w:left w:val="nil"/>
              <w:bottom w:val="nil"/>
              <w:right w:val="nil"/>
            </w:tcBorders>
          </w:tcPr>
          <w:p w:rsidR="009C15BC" w:rsidRDefault="009C15BC" w:rsidP="009C15BC">
            <w:pPr>
              <w:widowControl w:val="0"/>
              <w:autoSpaceDE w:val="0"/>
              <w:autoSpaceDN w:val="0"/>
              <w:adjustRightInd w:val="0"/>
              <w:rPr>
                <w:rFonts w:ascii="sans-serif" w:hAnsi="sans-serif" w:cs="sans-serif"/>
                <w:color w:val="000000"/>
                <w:sz w:val="24"/>
                <w:szCs w:val="24"/>
              </w:rPr>
            </w:pPr>
            <w:bookmarkStart w:id="75" w:name="co_footnote_B020201989106940_1"/>
            <w:bookmarkEnd w:id="75"/>
          </w:p>
        </w:tc>
        <w:tc>
          <w:tcPr>
            <w:tcW w:w="9480" w:type="dxa"/>
            <w:tcBorders>
              <w:top w:val="nil"/>
              <w:left w:val="nil"/>
              <w:bottom w:val="nil"/>
              <w:right w:val="nil"/>
            </w:tcBorders>
          </w:tcPr>
          <w:p w:rsidR="009C15BC" w:rsidRDefault="009C15BC">
            <w:pPr>
              <w:widowControl w:val="0"/>
              <w:autoSpaceDE w:val="0"/>
              <w:autoSpaceDN w:val="0"/>
              <w:adjustRightInd w:val="0"/>
              <w:ind w:left="180"/>
              <w:jc w:val="both"/>
              <w:rPr>
                <w:rFonts w:ascii="sans-serif" w:hAnsi="sans-serif" w:cs="sans-serif"/>
                <w:color w:val="000000"/>
                <w:sz w:val="18"/>
                <w:szCs w:val="18"/>
              </w:rPr>
            </w:pPr>
          </w:p>
        </w:tc>
      </w:tr>
      <w:tr w:rsidR="009C15BC" w:rsidTr="009C15BC">
        <w:tblPrEx>
          <w:tblCellMar>
            <w:top w:w="0" w:type="dxa"/>
            <w:left w:w="0" w:type="dxa"/>
            <w:bottom w:w="0" w:type="dxa"/>
            <w:right w:w="0" w:type="dxa"/>
          </w:tblCellMar>
        </w:tblPrEx>
        <w:trPr>
          <w:trHeight w:val="54"/>
        </w:trPr>
        <w:tc>
          <w:tcPr>
            <w:tcW w:w="600" w:type="dxa"/>
            <w:tcBorders>
              <w:top w:val="nil"/>
              <w:left w:val="nil"/>
              <w:bottom w:val="nil"/>
              <w:right w:val="nil"/>
            </w:tcBorders>
          </w:tcPr>
          <w:p w:rsidR="009C15BC" w:rsidRDefault="009C15BC" w:rsidP="009C15BC">
            <w:pPr>
              <w:widowControl w:val="0"/>
              <w:autoSpaceDE w:val="0"/>
              <w:autoSpaceDN w:val="0"/>
              <w:adjustRightInd w:val="0"/>
              <w:rPr>
                <w:rFonts w:ascii="sans-serif" w:hAnsi="sans-serif" w:cs="sans-serif"/>
                <w:color w:val="000000"/>
                <w:sz w:val="24"/>
                <w:szCs w:val="24"/>
              </w:rPr>
            </w:pPr>
            <w:bookmarkStart w:id="76" w:name="co_footnote_B021211989106940_1"/>
            <w:bookmarkEnd w:id="76"/>
          </w:p>
        </w:tc>
        <w:tc>
          <w:tcPr>
            <w:tcW w:w="9480" w:type="dxa"/>
            <w:tcBorders>
              <w:top w:val="nil"/>
              <w:left w:val="nil"/>
              <w:bottom w:val="nil"/>
              <w:right w:val="nil"/>
            </w:tcBorders>
          </w:tcPr>
          <w:p w:rsidR="009C15BC" w:rsidRDefault="009C15BC">
            <w:pPr>
              <w:widowControl w:val="0"/>
              <w:autoSpaceDE w:val="0"/>
              <w:autoSpaceDN w:val="0"/>
              <w:adjustRightInd w:val="0"/>
              <w:jc w:val="both"/>
              <w:rPr>
                <w:rFonts w:ascii="sans-serif" w:hAnsi="sans-serif" w:cs="sans-serif"/>
                <w:i/>
                <w:iCs/>
                <w:color w:val="000000"/>
                <w:sz w:val="18"/>
                <w:szCs w:val="18"/>
              </w:rPr>
            </w:pPr>
          </w:p>
        </w:tc>
      </w:tr>
      <w:bookmarkStart w:id="77" w:name="co_footnote_B022221989106940_1"/>
      <w:bookmarkEnd w:id="77"/>
      <w:tr w:rsidR="009C15BC" w:rsidTr="009C15BC">
        <w:tblPrEx>
          <w:tblCellMar>
            <w:top w:w="0" w:type="dxa"/>
            <w:left w:w="0" w:type="dxa"/>
            <w:bottom w:w="0" w:type="dxa"/>
            <w:right w:w="0" w:type="dxa"/>
          </w:tblCellMar>
        </w:tblPrEx>
        <w:tc>
          <w:tcPr>
            <w:tcW w:w="600" w:type="dxa"/>
            <w:tcBorders>
              <w:top w:val="nil"/>
              <w:left w:val="nil"/>
              <w:bottom w:val="nil"/>
              <w:right w:val="nil"/>
            </w:tcBorders>
          </w:tcPr>
          <w:p w:rsidR="009C15BC" w:rsidRDefault="009C15BC">
            <w:pPr>
              <w:widowControl w:val="0"/>
              <w:autoSpaceDE w:val="0"/>
              <w:autoSpaceDN w:val="0"/>
              <w:adjustRightInd w:val="0"/>
              <w:rPr>
                <w:rFonts w:ascii="sans-serif" w:hAnsi="sans-serif" w:cs="sans-serif"/>
                <w:color w:val="000000"/>
                <w:sz w:val="24"/>
                <w:szCs w:val="24"/>
              </w:rPr>
            </w:pPr>
            <w:r>
              <w:rPr>
                <w:rFonts w:ascii="sans-serif" w:hAnsi="sans-serif" w:cs="sans-serif"/>
                <w:color w:val="000000"/>
                <w:sz w:val="24"/>
                <w:szCs w:val="24"/>
              </w:rPr>
              <w:fldChar w:fldCharType="begin"/>
            </w:r>
            <w:r>
              <w:rPr>
                <w:rFonts w:ascii="sans-serif" w:hAnsi="sans-serif" w:cs="sans-serif"/>
                <w:color w:val="000000"/>
                <w:sz w:val="24"/>
                <w:szCs w:val="24"/>
              </w:rPr>
              <w:instrText xml:space="preserve">HYPERLINK "#co_footnoteReference_B027271989106940_ID" </w:instrText>
            </w:r>
            <w:r>
              <w:rPr>
                <w:rFonts w:ascii="sans-serif" w:hAnsi="sans-serif" w:cs="sans-serif"/>
                <w:color w:val="000000"/>
                <w:sz w:val="24"/>
                <w:szCs w:val="24"/>
              </w:rPr>
            </w:r>
            <w:r>
              <w:rPr>
                <w:rFonts w:ascii="sans-serif" w:hAnsi="sans-serif" w:cs="sans-serif"/>
                <w:color w:val="000000"/>
                <w:sz w:val="24"/>
                <w:szCs w:val="24"/>
              </w:rPr>
              <w:fldChar w:fldCharType="separate"/>
            </w:r>
            <w:r>
              <w:rPr>
                <w:rFonts w:ascii="sans-serif" w:hAnsi="sans-serif" w:cs="sans-serif"/>
                <w:color w:val="000000"/>
                <w:sz w:val="24"/>
                <w:szCs w:val="24"/>
                <w:vertAlign w:val="superscript"/>
              </w:rPr>
              <w:t>27</w:t>
            </w:r>
            <w:r>
              <w:rPr>
                <w:rFonts w:ascii="sans-serif" w:hAnsi="sans-serif" w:cs="sans-serif"/>
                <w:color w:val="000000"/>
                <w:sz w:val="24"/>
                <w:szCs w:val="24"/>
              </w:rPr>
              <w:fldChar w:fldCharType="end"/>
            </w:r>
          </w:p>
          <w:p w:rsidR="009C15BC" w:rsidRDefault="009C15BC">
            <w:pPr>
              <w:widowControl w:val="0"/>
              <w:autoSpaceDE w:val="0"/>
              <w:autoSpaceDN w:val="0"/>
              <w:adjustRightInd w:val="0"/>
              <w:rPr>
                <w:rFonts w:ascii="sans-serif" w:hAnsi="sans-serif" w:cs="sans-serif"/>
                <w:color w:val="000000"/>
                <w:sz w:val="24"/>
                <w:szCs w:val="24"/>
              </w:rPr>
            </w:pPr>
          </w:p>
        </w:tc>
        <w:tc>
          <w:tcPr>
            <w:tcW w:w="9480" w:type="dxa"/>
            <w:tcBorders>
              <w:top w:val="nil"/>
              <w:left w:val="nil"/>
              <w:bottom w:val="nil"/>
              <w:right w:val="nil"/>
            </w:tcBorders>
          </w:tcPr>
          <w:p w:rsidR="009C15BC" w:rsidRDefault="009C15BC">
            <w:pPr>
              <w:widowControl w:val="0"/>
              <w:autoSpaceDE w:val="0"/>
              <w:autoSpaceDN w:val="0"/>
              <w:adjustRightInd w:val="0"/>
              <w:jc w:val="both"/>
              <w:rPr>
                <w:rFonts w:ascii="sans-serif" w:hAnsi="sans-serif" w:cs="sans-serif"/>
                <w:color w:val="000000"/>
                <w:sz w:val="18"/>
                <w:szCs w:val="18"/>
              </w:rPr>
            </w:pPr>
          </w:p>
        </w:tc>
      </w:tr>
      <w:bookmarkStart w:id="78" w:name="co_footnote_B023231989106940_1"/>
      <w:bookmarkEnd w:id="78"/>
      <w:tr w:rsidR="009C15BC" w:rsidTr="009C15BC">
        <w:tblPrEx>
          <w:tblCellMar>
            <w:top w:w="0" w:type="dxa"/>
            <w:left w:w="0" w:type="dxa"/>
            <w:bottom w:w="0" w:type="dxa"/>
            <w:right w:w="0" w:type="dxa"/>
          </w:tblCellMar>
        </w:tblPrEx>
        <w:tc>
          <w:tcPr>
            <w:tcW w:w="600" w:type="dxa"/>
            <w:tcBorders>
              <w:top w:val="nil"/>
              <w:left w:val="nil"/>
              <w:bottom w:val="nil"/>
              <w:right w:val="nil"/>
            </w:tcBorders>
          </w:tcPr>
          <w:p w:rsidR="009C15BC" w:rsidRDefault="009C15BC">
            <w:pPr>
              <w:widowControl w:val="0"/>
              <w:autoSpaceDE w:val="0"/>
              <w:autoSpaceDN w:val="0"/>
              <w:adjustRightInd w:val="0"/>
              <w:rPr>
                <w:rFonts w:ascii="sans-serif" w:hAnsi="sans-serif" w:cs="sans-serif"/>
                <w:color w:val="000000"/>
                <w:sz w:val="24"/>
                <w:szCs w:val="24"/>
              </w:rPr>
            </w:pPr>
            <w:r>
              <w:rPr>
                <w:rFonts w:ascii="sans-serif" w:hAnsi="sans-serif" w:cs="sans-serif"/>
                <w:color w:val="000000"/>
                <w:sz w:val="24"/>
                <w:szCs w:val="24"/>
              </w:rPr>
              <w:fldChar w:fldCharType="begin"/>
            </w:r>
            <w:r>
              <w:rPr>
                <w:rFonts w:ascii="sans-serif" w:hAnsi="sans-serif" w:cs="sans-serif"/>
                <w:color w:val="000000"/>
                <w:sz w:val="24"/>
                <w:szCs w:val="24"/>
              </w:rPr>
              <w:instrText xml:space="preserve">HYPERLINK "#co_footnoteReference_B028281989106940_ID" </w:instrText>
            </w:r>
            <w:r>
              <w:rPr>
                <w:rFonts w:ascii="sans-serif" w:hAnsi="sans-serif" w:cs="sans-serif"/>
                <w:color w:val="000000"/>
                <w:sz w:val="24"/>
                <w:szCs w:val="24"/>
              </w:rPr>
            </w:r>
            <w:r>
              <w:rPr>
                <w:rFonts w:ascii="sans-serif" w:hAnsi="sans-serif" w:cs="sans-serif"/>
                <w:color w:val="000000"/>
                <w:sz w:val="24"/>
                <w:szCs w:val="24"/>
              </w:rPr>
              <w:fldChar w:fldCharType="separate"/>
            </w:r>
            <w:r>
              <w:rPr>
                <w:rFonts w:ascii="sans-serif" w:hAnsi="sans-serif" w:cs="sans-serif"/>
                <w:color w:val="000000"/>
                <w:sz w:val="24"/>
                <w:szCs w:val="24"/>
                <w:vertAlign w:val="superscript"/>
              </w:rPr>
              <w:t>28</w:t>
            </w:r>
            <w:r>
              <w:rPr>
                <w:rFonts w:ascii="sans-serif" w:hAnsi="sans-serif" w:cs="sans-serif"/>
                <w:color w:val="000000"/>
                <w:sz w:val="24"/>
                <w:szCs w:val="24"/>
              </w:rPr>
              <w:fldChar w:fldCharType="end"/>
            </w:r>
          </w:p>
          <w:p w:rsidR="009C15BC" w:rsidRDefault="009C15BC">
            <w:pPr>
              <w:widowControl w:val="0"/>
              <w:autoSpaceDE w:val="0"/>
              <w:autoSpaceDN w:val="0"/>
              <w:adjustRightInd w:val="0"/>
              <w:rPr>
                <w:rFonts w:ascii="sans-serif" w:hAnsi="sans-serif" w:cs="sans-serif"/>
                <w:color w:val="000000"/>
                <w:sz w:val="24"/>
                <w:szCs w:val="24"/>
              </w:rPr>
            </w:pPr>
          </w:p>
        </w:tc>
        <w:tc>
          <w:tcPr>
            <w:tcW w:w="9480" w:type="dxa"/>
            <w:tcBorders>
              <w:top w:val="nil"/>
              <w:left w:val="nil"/>
              <w:bottom w:val="nil"/>
              <w:right w:val="nil"/>
            </w:tcBorders>
          </w:tcPr>
          <w:p w:rsidR="009C15BC" w:rsidRDefault="009C15BC">
            <w:pPr>
              <w:widowControl w:val="0"/>
              <w:autoSpaceDE w:val="0"/>
              <w:autoSpaceDN w:val="0"/>
              <w:adjustRightInd w:val="0"/>
              <w:ind w:left="180"/>
              <w:jc w:val="both"/>
              <w:rPr>
                <w:rFonts w:ascii="sans-serif" w:hAnsi="sans-serif" w:cs="sans-serif"/>
                <w:color w:val="000000"/>
                <w:sz w:val="18"/>
                <w:szCs w:val="18"/>
              </w:rPr>
            </w:pPr>
          </w:p>
        </w:tc>
      </w:tr>
      <w:tr w:rsidR="009C15BC" w:rsidTr="009C15BC">
        <w:tblPrEx>
          <w:tblCellMar>
            <w:top w:w="0" w:type="dxa"/>
            <w:left w:w="0" w:type="dxa"/>
            <w:bottom w:w="0" w:type="dxa"/>
            <w:right w:w="0" w:type="dxa"/>
          </w:tblCellMar>
        </w:tblPrEx>
        <w:tc>
          <w:tcPr>
            <w:tcW w:w="600" w:type="dxa"/>
            <w:tcBorders>
              <w:top w:val="nil"/>
              <w:left w:val="nil"/>
              <w:bottom w:val="nil"/>
              <w:right w:val="nil"/>
            </w:tcBorders>
          </w:tcPr>
          <w:p w:rsidR="009C15BC" w:rsidRDefault="009C15BC">
            <w:pPr>
              <w:widowControl w:val="0"/>
              <w:autoSpaceDE w:val="0"/>
              <w:autoSpaceDN w:val="0"/>
              <w:adjustRightInd w:val="0"/>
              <w:rPr>
                <w:rFonts w:ascii="sans-serif" w:hAnsi="sans-serif" w:cs="sans-serif"/>
                <w:color w:val="000000"/>
                <w:sz w:val="24"/>
                <w:szCs w:val="24"/>
              </w:rPr>
            </w:pPr>
            <w:bookmarkStart w:id="79" w:name="co_footnote_B024241989106940_1"/>
            <w:bookmarkEnd w:id="79"/>
          </w:p>
        </w:tc>
        <w:tc>
          <w:tcPr>
            <w:tcW w:w="9480" w:type="dxa"/>
            <w:tcBorders>
              <w:top w:val="nil"/>
              <w:left w:val="nil"/>
              <w:bottom w:val="nil"/>
              <w:right w:val="nil"/>
            </w:tcBorders>
          </w:tcPr>
          <w:p w:rsidR="009C15BC" w:rsidRDefault="009C15BC">
            <w:pPr>
              <w:widowControl w:val="0"/>
              <w:autoSpaceDE w:val="0"/>
              <w:autoSpaceDN w:val="0"/>
              <w:adjustRightInd w:val="0"/>
              <w:jc w:val="both"/>
              <w:rPr>
                <w:rFonts w:ascii="sans-serif" w:hAnsi="sans-serif" w:cs="sans-serif"/>
                <w:color w:val="000000"/>
                <w:sz w:val="18"/>
                <w:szCs w:val="18"/>
              </w:rPr>
            </w:pPr>
          </w:p>
        </w:tc>
      </w:tr>
      <w:tr w:rsidR="009C15BC" w:rsidTr="009C15BC">
        <w:tblPrEx>
          <w:tblCellMar>
            <w:top w:w="0" w:type="dxa"/>
            <w:left w:w="0" w:type="dxa"/>
            <w:bottom w:w="0" w:type="dxa"/>
            <w:right w:w="0" w:type="dxa"/>
          </w:tblCellMar>
        </w:tblPrEx>
        <w:tc>
          <w:tcPr>
            <w:tcW w:w="600" w:type="dxa"/>
            <w:tcBorders>
              <w:top w:val="nil"/>
              <w:left w:val="nil"/>
              <w:bottom w:val="nil"/>
              <w:right w:val="nil"/>
            </w:tcBorders>
          </w:tcPr>
          <w:p w:rsidR="009C15BC" w:rsidRDefault="009C15BC">
            <w:pPr>
              <w:widowControl w:val="0"/>
              <w:autoSpaceDE w:val="0"/>
              <w:autoSpaceDN w:val="0"/>
              <w:adjustRightInd w:val="0"/>
              <w:rPr>
                <w:rFonts w:ascii="sans-serif" w:hAnsi="sans-serif" w:cs="sans-serif"/>
                <w:color w:val="000000"/>
                <w:sz w:val="24"/>
                <w:szCs w:val="24"/>
              </w:rPr>
            </w:pPr>
            <w:bookmarkStart w:id="80" w:name="co_footnote_B025251989106940_1"/>
            <w:bookmarkEnd w:id="80"/>
          </w:p>
        </w:tc>
        <w:tc>
          <w:tcPr>
            <w:tcW w:w="9480" w:type="dxa"/>
            <w:tcBorders>
              <w:top w:val="nil"/>
              <w:left w:val="nil"/>
              <w:bottom w:val="nil"/>
              <w:right w:val="nil"/>
            </w:tcBorders>
          </w:tcPr>
          <w:p w:rsidR="009C15BC" w:rsidRDefault="009C15BC">
            <w:pPr>
              <w:widowControl w:val="0"/>
              <w:autoSpaceDE w:val="0"/>
              <w:autoSpaceDN w:val="0"/>
              <w:adjustRightInd w:val="0"/>
              <w:jc w:val="both"/>
              <w:rPr>
                <w:rFonts w:ascii="sans-serif" w:hAnsi="sans-serif" w:cs="sans-serif"/>
                <w:color w:val="000000"/>
                <w:sz w:val="18"/>
                <w:szCs w:val="18"/>
              </w:rPr>
            </w:pPr>
          </w:p>
        </w:tc>
      </w:tr>
      <w:tr w:rsidR="009C15BC" w:rsidTr="009C15BC">
        <w:tblPrEx>
          <w:tblCellMar>
            <w:top w:w="0" w:type="dxa"/>
            <w:left w:w="0" w:type="dxa"/>
            <w:bottom w:w="0" w:type="dxa"/>
            <w:right w:w="0" w:type="dxa"/>
          </w:tblCellMar>
        </w:tblPrEx>
        <w:tc>
          <w:tcPr>
            <w:tcW w:w="600" w:type="dxa"/>
            <w:tcBorders>
              <w:top w:val="nil"/>
              <w:left w:val="nil"/>
              <w:bottom w:val="nil"/>
              <w:right w:val="nil"/>
            </w:tcBorders>
          </w:tcPr>
          <w:p w:rsidR="009C15BC" w:rsidRDefault="009C15BC">
            <w:pPr>
              <w:widowControl w:val="0"/>
              <w:autoSpaceDE w:val="0"/>
              <w:autoSpaceDN w:val="0"/>
              <w:adjustRightInd w:val="0"/>
              <w:rPr>
                <w:rFonts w:ascii="sans-serif" w:hAnsi="sans-serif" w:cs="sans-serif"/>
                <w:color w:val="000000"/>
                <w:sz w:val="24"/>
                <w:szCs w:val="24"/>
              </w:rPr>
            </w:pPr>
            <w:bookmarkStart w:id="81" w:name="co_footnote_B026261989106940_1"/>
            <w:bookmarkEnd w:id="81"/>
          </w:p>
        </w:tc>
        <w:tc>
          <w:tcPr>
            <w:tcW w:w="9480" w:type="dxa"/>
            <w:tcBorders>
              <w:top w:val="nil"/>
              <w:left w:val="nil"/>
              <w:bottom w:val="nil"/>
              <w:right w:val="nil"/>
            </w:tcBorders>
          </w:tcPr>
          <w:p w:rsidR="009C15BC" w:rsidRDefault="009C15BC">
            <w:pPr>
              <w:widowControl w:val="0"/>
              <w:autoSpaceDE w:val="0"/>
              <w:autoSpaceDN w:val="0"/>
              <w:adjustRightInd w:val="0"/>
              <w:jc w:val="both"/>
              <w:rPr>
                <w:rFonts w:ascii="sans-serif" w:hAnsi="sans-serif" w:cs="sans-serif"/>
                <w:color w:val="000000"/>
                <w:sz w:val="18"/>
                <w:szCs w:val="18"/>
              </w:rPr>
            </w:pPr>
          </w:p>
        </w:tc>
      </w:tr>
      <w:tr w:rsidR="009C15BC" w:rsidTr="009C15BC">
        <w:tblPrEx>
          <w:tblCellMar>
            <w:top w:w="0" w:type="dxa"/>
            <w:left w:w="0" w:type="dxa"/>
            <w:bottom w:w="0" w:type="dxa"/>
            <w:right w:w="0" w:type="dxa"/>
          </w:tblCellMar>
        </w:tblPrEx>
        <w:tc>
          <w:tcPr>
            <w:tcW w:w="600" w:type="dxa"/>
            <w:tcBorders>
              <w:top w:val="nil"/>
              <w:left w:val="nil"/>
              <w:bottom w:val="nil"/>
              <w:right w:val="nil"/>
            </w:tcBorders>
          </w:tcPr>
          <w:p w:rsidR="009C15BC" w:rsidRDefault="009C15BC">
            <w:pPr>
              <w:widowControl w:val="0"/>
              <w:autoSpaceDE w:val="0"/>
              <w:autoSpaceDN w:val="0"/>
              <w:adjustRightInd w:val="0"/>
              <w:rPr>
                <w:rFonts w:ascii="sans-serif" w:hAnsi="sans-serif" w:cs="sans-serif"/>
                <w:color w:val="000000"/>
                <w:sz w:val="24"/>
                <w:szCs w:val="24"/>
              </w:rPr>
            </w:pPr>
            <w:bookmarkStart w:id="82" w:name="co_footnote_B027271989106940_1"/>
            <w:bookmarkEnd w:id="82"/>
          </w:p>
        </w:tc>
        <w:tc>
          <w:tcPr>
            <w:tcW w:w="9480" w:type="dxa"/>
            <w:tcBorders>
              <w:top w:val="nil"/>
              <w:left w:val="nil"/>
              <w:bottom w:val="nil"/>
              <w:right w:val="nil"/>
            </w:tcBorders>
          </w:tcPr>
          <w:p w:rsidR="009C15BC" w:rsidRDefault="009C15BC">
            <w:pPr>
              <w:widowControl w:val="0"/>
              <w:autoSpaceDE w:val="0"/>
              <w:autoSpaceDN w:val="0"/>
              <w:adjustRightInd w:val="0"/>
              <w:jc w:val="both"/>
              <w:rPr>
                <w:rFonts w:ascii="sans-serif" w:hAnsi="sans-serif" w:cs="sans-serif"/>
                <w:color w:val="000000"/>
                <w:sz w:val="18"/>
                <w:szCs w:val="18"/>
              </w:rPr>
            </w:pPr>
          </w:p>
        </w:tc>
      </w:tr>
      <w:tr w:rsidR="009C15BC" w:rsidTr="009C15BC">
        <w:tblPrEx>
          <w:tblCellMar>
            <w:top w:w="0" w:type="dxa"/>
            <w:left w:w="0" w:type="dxa"/>
            <w:bottom w:w="0" w:type="dxa"/>
            <w:right w:w="0" w:type="dxa"/>
          </w:tblCellMar>
        </w:tblPrEx>
        <w:tc>
          <w:tcPr>
            <w:tcW w:w="600" w:type="dxa"/>
            <w:tcBorders>
              <w:top w:val="nil"/>
              <w:left w:val="nil"/>
              <w:bottom w:val="nil"/>
              <w:right w:val="nil"/>
            </w:tcBorders>
          </w:tcPr>
          <w:p w:rsidR="009C15BC" w:rsidRDefault="009C15BC">
            <w:pPr>
              <w:widowControl w:val="0"/>
              <w:autoSpaceDE w:val="0"/>
              <w:autoSpaceDN w:val="0"/>
              <w:adjustRightInd w:val="0"/>
              <w:rPr>
                <w:rFonts w:ascii="sans-serif" w:hAnsi="sans-serif" w:cs="sans-serif"/>
                <w:color w:val="000000"/>
                <w:sz w:val="24"/>
                <w:szCs w:val="24"/>
              </w:rPr>
            </w:pPr>
            <w:bookmarkStart w:id="83" w:name="co_footnote_B028281989106940_1"/>
            <w:bookmarkEnd w:id="83"/>
          </w:p>
        </w:tc>
        <w:tc>
          <w:tcPr>
            <w:tcW w:w="9480" w:type="dxa"/>
            <w:tcBorders>
              <w:top w:val="nil"/>
              <w:left w:val="nil"/>
              <w:bottom w:val="nil"/>
              <w:right w:val="nil"/>
            </w:tcBorders>
          </w:tcPr>
          <w:p w:rsidR="009C15BC" w:rsidRDefault="009C15BC">
            <w:pPr>
              <w:widowControl w:val="0"/>
              <w:autoSpaceDE w:val="0"/>
              <w:autoSpaceDN w:val="0"/>
              <w:adjustRightInd w:val="0"/>
              <w:jc w:val="both"/>
              <w:rPr>
                <w:rFonts w:ascii="sans-serif" w:hAnsi="sans-serif" w:cs="sans-serif"/>
                <w:color w:val="000000"/>
                <w:sz w:val="18"/>
                <w:szCs w:val="18"/>
              </w:rPr>
            </w:pPr>
          </w:p>
        </w:tc>
      </w:tr>
    </w:tbl>
    <w:p w:rsidR="003E7A82" w:rsidRDefault="003E7A82">
      <w:pPr>
        <w:widowControl w:val="0"/>
        <w:autoSpaceDE w:val="0"/>
        <w:autoSpaceDN w:val="0"/>
        <w:adjustRightInd w:val="0"/>
        <w:rPr>
          <w:rFonts w:ascii="Arial" w:hAnsi="Arial" w:cs="Arial"/>
          <w:sz w:val="24"/>
          <w:szCs w:val="24"/>
        </w:rPr>
        <w:sectPr w:rsidR="003E7A82">
          <w:type w:val="continuous"/>
          <w:pgSz w:w="12240" w:h="15840"/>
          <w:pgMar w:top="1800" w:right="1080" w:bottom="1080" w:left="1080" w:header="720" w:footer="720" w:gutter="0"/>
          <w:cols w:space="720"/>
          <w:noEndnote/>
        </w:sectPr>
      </w:pPr>
      <w:bookmarkStart w:id="84" w:name="co_footnote_B029291989106940_1"/>
      <w:bookmarkEnd w:id="84"/>
    </w:p>
    <w:p w:rsidR="003E7A82" w:rsidRDefault="003E7A82">
      <w:pPr>
        <w:widowControl w:val="0"/>
        <w:autoSpaceDE w:val="0"/>
        <w:autoSpaceDN w:val="0"/>
        <w:adjustRightInd w:val="0"/>
        <w:rPr>
          <w:rFonts w:ascii="Arial" w:hAnsi="Arial" w:cs="Arial"/>
          <w:sz w:val="24"/>
          <w:szCs w:val="24"/>
        </w:rPr>
      </w:pPr>
    </w:p>
    <w:sectPr w:rsidR="003E7A82">
      <w:type w:val="continuous"/>
      <w:pgSz w:w="12240" w:h="15840"/>
      <w:pgMar w:top="1800" w:right="1080" w:bottom="1080" w:left="1080" w:header="720" w:footer="720" w:gutter="0"/>
      <w:cols w:num="2"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BE1" w:rsidRDefault="00992BE1">
      <w:r>
        <w:separator/>
      </w:r>
    </w:p>
  </w:endnote>
  <w:endnote w:type="continuationSeparator" w:id="0">
    <w:p w:rsidR="00992BE1" w:rsidRDefault="0099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ans-serif">
    <w:altName w:val="Cambria"/>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A81" w:rsidRDefault="00B93A81">
    <w:pPr>
      <w:widowControl w:val="0"/>
      <w:autoSpaceDE w:val="0"/>
      <w:autoSpaceDN w:val="0"/>
      <w:adjustRightInd w:val="0"/>
      <w:rPr>
        <w:rFonts w:ascii="Arial" w:hAnsi="Arial"/>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BE1" w:rsidRDefault="00992BE1">
      <w:r>
        <w:separator/>
      </w:r>
    </w:p>
  </w:footnote>
  <w:footnote w:type="continuationSeparator" w:id="0">
    <w:p w:rsidR="00992BE1" w:rsidRDefault="0099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259B7"/>
    <w:multiLevelType w:val="singleLevel"/>
    <w:tmpl w:val="032D7DC3"/>
    <w:lvl w:ilvl="0">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A82"/>
    <w:rsid w:val="003E7A82"/>
    <w:rsid w:val="00547B5B"/>
    <w:rsid w:val="006D0EB4"/>
    <w:rsid w:val="007F2487"/>
    <w:rsid w:val="00992BE1"/>
    <w:rsid w:val="009C15BC"/>
    <w:rsid w:val="00B93A81"/>
    <w:rsid w:val="00D02647"/>
    <w:rsid w:val="00E64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A82"/>
    <w:pPr>
      <w:tabs>
        <w:tab w:val="center" w:pos="4320"/>
        <w:tab w:val="right" w:pos="8640"/>
      </w:tabs>
    </w:pPr>
  </w:style>
  <w:style w:type="character" w:customStyle="1" w:styleId="HeaderChar">
    <w:name w:val="Header Char"/>
    <w:basedOn w:val="DefaultParagraphFont"/>
    <w:link w:val="Header"/>
    <w:uiPriority w:val="99"/>
    <w:locked/>
    <w:rsid w:val="003E7A82"/>
    <w:rPr>
      <w:rFonts w:cs="Times New Roman"/>
    </w:rPr>
  </w:style>
  <w:style w:type="paragraph" w:styleId="Footer">
    <w:name w:val="footer"/>
    <w:basedOn w:val="Normal"/>
    <w:link w:val="FooterChar"/>
    <w:uiPriority w:val="99"/>
    <w:unhideWhenUsed/>
    <w:rsid w:val="003E7A82"/>
    <w:pPr>
      <w:tabs>
        <w:tab w:val="center" w:pos="4320"/>
        <w:tab w:val="right" w:pos="8640"/>
      </w:tabs>
    </w:pPr>
  </w:style>
  <w:style w:type="character" w:customStyle="1" w:styleId="FooterChar">
    <w:name w:val="Footer Char"/>
    <w:basedOn w:val="DefaultParagraphFont"/>
    <w:link w:val="Footer"/>
    <w:uiPriority w:val="99"/>
    <w:locked/>
    <w:rsid w:val="003E7A82"/>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A82"/>
    <w:pPr>
      <w:tabs>
        <w:tab w:val="center" w:pos="4320"/>
        <w:tab w:val="right" w:pos="8640"/>
      </w:tabs>
    </w:pPr>
  </w:style>
  <w:style w:type="character" w:customStyle="1" w:styleId="HeaderChar">
    <w:name w:val="Header Char"/>
    <w:basedOn w:val="DefaultParagraphFont"/>
    <w:link w:val="Header"/>
    <w:uiPriority w:val="99"/>
    <w:locked/>
    <w:rsid w:val="003E7A82"/>
    <w:rPr>
      <w:rFonts w:cs="Times New Roman"/>
    </w:rPr>
  </w:style>
  <w:style w:type="paragraph" w:styleId="Footer">
    <w:name w:val="footer"/>
    <w:basedOn w:val="Normal"/>
    <w:link w:val="FooterChar"/>
    <w:uiPriority w:val="99"/>
    <w:unhideWhenUsed/>
    <w:rsid w:val="003E7A82"/>
    <w:pPr>
      <w:tabs>
        <w:tab w:val="center" w:pos="4320"/>
        <w:tab w:val="right" w:pos="8640"/>
      </w:tabs>
    </w:pPr>
  </w:style>
  <w:style w:type="character" w:customStyle="1" w:styleId="FooterChar">
    <w:name w:val="Footer Char"/>
    <w:basedOn w:val="DefaultParagraphFont"/>
    <w:link w:val="Footer"/>
    <w:uiPriority w:val="99"/>
    <w:locked/>
    <w:rsid w:val="003E7A8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estlaw.com/Link/Document/FullText?findType=Y&amp;serNum=1975112004&amp;pubNum=350&amp;originatingDoc=Ia03ff5fc55b811d9a99c85a9e6023ffa&amp;refType=RP&amp;originationContext=document&amp;vr=3.0&amp;rs=cblt1.0&amp;transitionType=DocumentItem&amp;contextData=(sc.History*oc.Keycite)" TargetMode="External"/><Relationship Id="rId20" Type="http://schemas.openxmlformats.org/officeDocument/2006/relationships/hyperlink" Target="http://www.westlaw.com/Link/Document/FullText?findType=Y&amp;serNum=1984133281&amp;originatingDoc=Ia03ff5fc55b811d9a99c85a9e6023ffa&amp;refType=RP&amp;originationContext=document&amp;vr=3.0&amp;rs=cblt1.0&amp;transitionType=DocumentItem&amp;contextData=(sc.History*oc.Keycite)" TargetMode="External"/><Relationship Id="rId21" Type="http://schemas.openxmlformats.org/officeDocument/2006/relationships/hyperlink" Target="http://www.westlaw.com/Link/Document/FullText?findType=Y&amp;serNum=0289907267&amp;pubNum=0101603&amp;originatingDoc=Ia03ff5fc55b811d9a99c85a9e6023ffa&amp;refType=TS&amp;originationContext=document&amp;vr=3.0&amp;rs=cblt1.0&amp;transitionType=DocumentItem&amp;contextData=(sc.History*oc.Keycite)" TargetMode="External"/><Relationship Id="rId22" Type="http://schemas.openxmlformats.org/officeDocument/2006/relationships/hyperlink" Target="http://www.westlaw.com/Link/Document/FullText?findType=Y&amp;serNum=1988134859&amp;pubNum=162&amp;originatingDoc=Ia03ff5fc55b811d9a99c85a9e6023ffa&amp;refType=RP&amp;fi=co_pp_sp_162_303&amp;originationContext=document&amp;vr=3.0&amp;rs=cblt1.0&amp;transitionType=DocumentItem&amp;contextData=(sc.History*oc.Keycite)#co_pp_sp_162_303" TargetMode="External"/><Relationship Id="rId23" Type="http://schemas.openxmlformats.org/officeDocument/2006/relationships/hyperlink" Target="http://www.westlaw.com/Link/Document/FullText?findType=Y&amp;serNum=1988134859&amp;originatingDoc=Ia03ff5fc55b811d9a99c85a9e6023ffa&amp;refType=RP&amp;originationContext=document&amp;vr=3.0&amp;rs=cblt1.0&amp;transitionType=DocumentItem&amp;contextData=(sc.History*oc.Keycite)" TargetMode="External"/><Relationship Id="rId24" Type="http://schemas.openxmlformats.org/officeDocument/2006/relationships/hyperlink" Target="http://www.westlaw.com/Link/Document/FullText?findType=Y&amp;serNum=1988134859&amp;originatingDoc=Ia03ff5fc55b811d9a99c85a9e6023ffa&amp;refType=RP&amp;originationContext=document&amp;vr=3.0&amp;rs=cblt1.0&amp;transitionType=DocumentItem&amp;contextData=(sc.History*oc.Keycite)" TargetMode="External"/><Relationship Id="rId25" Type="http://schemas.openxmlformats.org/officeDocument/2006/relationships/hyperlink" Target="http://www.westlaw.com/Link/Document/FullText?findType=Y&amp;serNum=1988134859&amp;originatingDoc=Ia03ff5fc55b811d9a99c85a9e6023ffa&amp;refType=RP&amp;originationContext=document&amp;vr=3.0&amp;rs=cblt1.0&amp;transitionType=DocumentItem&amp;contextData=(sc.History*oc.Keycite)" TargetMode="External"/><Relationship Id="rId26" Type="http://schemas.openxmlformats.org/officeDocument/2006/relationships/hyperlink" Target="http://www.westlaw.com/Link/Document/FullText?findType=Y&amp;serNum=1988134859&amp;originatingDoc=Ia03ff5fc55b811d9a99c85a9e6023ffa&amp;refType=RP&amp;originationContext=document&amp;vr=3.0&amp;rs=cblt1.0&amp;transitionType=DocumentItem&amp;contextData=(sc.History*oc.Keycite)" TargetMode="External"/><Relationship Id="rId27" Type="http://schemas.openxmlformats.org/officeDocument/2006/relationships/hyperlink" Target="http://www.westlaw.com/Link/Document/FullText?findType=Y&amp;serNum=1929100644&amp;pubNum=577&amp;originatingDoc=Ia03ff5fc55b811d9a99c85a9e6023ffa&amp;refType=RP&amp;originationContext=document&amp;vr=3.0&amp;rs=cblt1.0&amp;transitionType=DocumentItem&amp;contextData=(sc.History*oc.Keycite)" TargetMode="External"/><Relationship Id="rId28" Type="http://schemas.openxmlformats.org/officeDocument/2006/relationships/hyperlink" Target="http://www.westlaw.com/Link/Document/FullText?findType=Y&amp;serNum=1929100644&amp;originatingDoc=Ia03ff5fc55b811d9a99c85a9e6023ffa&amp;refType=RP&amp;originationContext=document&amp;vr=3.0&amp;rs=cblt1.0&amp;transitionType=DocumentItem&amp;contextData=(sc.History*oc.Keycite)" TargetMode="External"/><Relationship Id="rId29" Type="http://schemas.openxmlformats.org/officeDocument/2006/relationships/footer" Target="footer1.xml"/><Relationship Id="rId30" Type="http://schemas.openxmlformats.org/officeDocument/2006/relationships/hyperlink" Target="http://www.westlaw.com/Link/Document/FullText?findType=Y&amp;serNum=1986153053&amp;originatingDoc=Ia03ff5fc55b811d9a99c85a9e6023ffa&amp;refType=RP&amp;originationContext=document&amp;vr=3.0&amp;rs=cblt1.0&amp;transitionType=DocumentItem&amp;contextData=(sc.History*oc.Keycite)"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westlaw.com/Link/Document/FullText?findType=Y&amp;serNum=1975209068&amp;pubNum=708&amp;originatingDoc=Ia03ff5fc55b811d9a99c85a9e6023ffa&amp;refType=RP&amp;originationContext=document&amp;vr=3.0&amp;rs=cblt1.0&amp;transitionType=DocumentItem&amp;contextData=(sc.History*oc.Keycite)" TargetMode="External"/><Relationship Id="rId11" Type="http://schemas.openxmlformats.org/officeDocument/2006/relationships/hyperlink" Target="http://www.westlaw.com/Link/Document/FullText?findType=Y&amp;serNum=1977104917&amp;originatingDoc=Ia03ff5fc55b811d9a99c85a9e6023ffa&amp;refType=RP&amp;originationContext=document&amp;vr=3.0&amp;rs=cblt1.0&amp;transitionType=DocumentItem&amp;contextData=(sc.History*oc.Keycite)" TargetMode="External"/><Relationship Id="rId12" Type="http://schemas.openxmlformats.org/officeDocument/2006/relationships/hyperlink" Target="http://www.westlaw.com/Link/Document/FullText?findType=Y&amp;serNum=1982124946&amp;pubNum=350&amp;originatingDoc=Ia03ff5fc55b811d9a99c85a9e6023ffa&amp;refType=RP&amp;originationContext=document&amp;vr=3.0&amp;rs=cblt1.0&amp;transitionType=DocumentItem&amp;contextData=(sc.History*oc.Keycite)" TargetMode="External"/><Relationship Id="rId13" Type="http://schemas.openxmlformats.org/officeDocument/2006/relationships/hyperlink" Target="http://www.westlaw.com/Link/Document/FullText?findType=Y&amp;serNum=1982243549&amp;pubNum=708&amp;originatingDoc=Ia03ff5fc55b811d9a99c85a9e6023ffa&amp;refType=RP&amp;originationContext=document&amp;vr=3.0&amp;rs=cblt1.0&amp;transitionType=DocumentItem&amp;contextData=(sc.History*oc.Keycite)" TargetMode="External"/><Relationship Id="rId14" Type="http://schemas.openxmlformats.org/officeDocument/2006/relationships/hyperlink" Target="http://www.westlaw.com/Link/Document/FullText?findType=Y&amp;serNum=1977104917&amp;originatingDoc=Ia03ff5fc55b811d9a99c85a9e6023ffa&amp;refType=RP&amp;originationContext=document&amp;vr=3.0&amp;rs=cblt1.0&amp;transitionType=DocumentItem&amp;contextData=(sc.History*oc.Keycite)" TargetMode="External"/><Relationship Id="rId15" Type="http://schemas.openxmlformats.org/officeDocument/2006/relationships/hyperlink" Target="http://www.westlaw.com/Link/Document/FullText?findType=Y&amp;serNum=1977104917&amp;originatingDoc=Ia03ff5fc55b811d9a99c85a9e6023ffa&amp;refType=RP&amp;originationContext=document&amp;vr=3.0&amp;rs=cblt1.0&amp;transitionType=DocumentItem&amp;contextData=(sc.History*oc.Keycite)" TargetMode="External"/><Relationship Id="rId16" Type="http://schemas.openxmlformats.org/officeDocument/2006/relationships/hyperlink" Target="http://www.westlaw.com/Link/Document/FullText?findType=Y&amp;serNum=1982124946&amp;originatingDoc=Ia03ff5fc55b811d9a99c85a9e6023ffa&amp;refType=RP&amp;originationContext=document&amp;vr=3.0&amp;rs=cblt1.0&amp;transitionType=DocumentItem&amp;contextData=(sc.History*oc.Keycite)" TargetMode="External"/><Relationship Id="rId17" Type="http://schemas.openxmlformats.org/officeDocument/2006/relationships/hyperlink" Target="http://www.westlaw.com/Link/Document/FullText?findType=Y&amp;serNum=1982124946&amp;pubNum=350&amp;originatingDoc=Ia03ff5fc55b811d9a99c85a9e6023ffa&amp;refType=RP&amp;fi=co_pp_sp_350_941&amp;originationContext=document&amp;vr=3.0&amp;rs=cblt1.0&amp;transitionType=DocumentItem&amp;contextData=(sc.History*oc.Keycite)#co_pp_sp_350_941" TargetMode="External"/><Relationship Id="rId18" Type="http://schemas.openxmlformats.org/officeDocument/2006/relationships/hyperlink" Target="http://www.westlaw.com/Link/Document/FullText?findType=Y&amp;serNum=1984133281&amp;pubNum=345&amp;originatingDoc=Ia03ff5fc55b811d9a99c85a9e6023ffa&amp;refType=RP&amp;fi=co_pp_sp_345_674&amp;originationContext=document&amp;vr=3.0&amp;rs=cblt1.0&amp;transitionType=DocumentItem&amp;contextData=(sc.History*oc.Keycite)#co_pp_sp_345_674" TargetMode="External"/><Relationship Id="rId19" Type="http://schemas.openxmlformats.org/officeDocument/2006/relationships/hyperlink" Target="http://www.westlaw.com/Link/Document/FullText?findType=Y&amp;serNum=1984133281&amp;originatingDoc=Ia03ff5fc55b811d9a99c85a9e6023ffa&amp;refType=RP&amp;originationContext=document&amp;vr=3.0&amp;rs=cblt1.0&amp;transitionType=DocumentItem&amp;contextData=(sc.History*oc.Keycit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estlaw.com/Link/Document/FullText?findType=Y&amp;serNum=1987042542&amp;originatingDoc=Ia03ff5fc55b811d9a99c85a9e6023ffa&amp;refType=RP&amp;originationContext=document&amp;vr=3.0&amp;rs=cblt1.0&amp;transitionType=DocumentItem&amp;contextData=(sc.History*oc.Key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9066</Words>
  <Characters>51681</Characters>
  <Application>Microsoft Macintosh Word</Application>
  <DocSecurity>0</DocSecurity>
  <Lines>430</Lines>
  <Paragraphs>121</Paragraphs>
  <ScaleCrop>false</ScaleCrop>
  <Company/>
  <LinksUpToDate>false</LinksUpToDate>
  <CharactersWithSpaces>60626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Koseki</dc:creator>
  <cp:keywords/>
  <dc:description/>
  <cp:lastModifiedBy>Jeffrey Colon</cp:lastModifiedBy>
  <cp:revision>2</cp:revision>
  <dcterms:created xsi:type="dcterms:W3CDTF">2016-11-03T11:56:00Z</dcterms:created>
  <dcterms:modified xsi:type="dcterms:W3CDTF">2016-11-03T11:56:00Z</dcterms:modified>
</cp:coreProperties>
</file>