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87611" w14:textId="77777777" w:rsidR="00912D34" w:rsidRDefault="00912D34">
      <w:pPr>
        <w:sectPr w:rsidR="00912D34">
          <w:headerReference w:type="default" r:id="rId6"/>
          <w:footerReference w:type="default" r:id="rId7"/>
          <w:footerReference w:type="first" r:id="rId8"/>
          <w:pgSz w:w="12240" w:h="15840"/>
          <w:pgMar w:top="840" w:right="1000" w:bottom="840" w:left="1000" w:header="400" w:footer="400" w:gutter="0"/>
          <w:cols w:space="720"/>
          <w:titlePg/>
        </w:sectPr>
      </w:pPr>
    </w:p>
    <w:p w14:paraId="59966641" w14:textId="77777777" w:rsidR="00912D34" w:rsidRDefault="00912D34">
      <w:bookmarkStart w:id="0" w:name="Bookmark_1"/>
      <w:bookmarkEnd w:id="0"/>
    </w:p>
    <w:p w14:paraId="79DDC405" w14:textId="77777777" w:rsidR="00912D34" w:rsidRDefault="00D50D66">
      <w:pPr>
        <w:pStyle w:val="Heading1"/>
        <w:keepNext w:val="0"/>
        <w:widowControl w:val="0"/>
        <w:spacing w:after="200" w:line="340" w:lineRule="atLeast"/>
        <w:jc w:val="center"/>
      </w:pPr>
      <w:r>
        <w:rPr>
          <w:rFonts w:ascii="Times" w:eastAsia="Times" w:hAnsi="Times" w:cs="Times"/>
          <w:color w:val="000000"/>
          <w:sz w:val="28"/>
        </w:rPr>
        <w:t>Commissioner v. Danielson</w:t>
      </w:r>
    </w:p>
    <w:p w14:paraId="4BB5F00C" w14:textId="63AD530D" w:rsidR="00912D34" w:rsidRDefault="00D50D66">
      <w:pPr>
        <w:widowControl w:val="0"/>
        <w:spacing w:before="120" w:line="260" w:lineRule="atLeast"/>
        <w:jc w:val="center"/>
      </w:pPr>
      <w:r>
        <w:rPr>
          <w:rFonts w:ascii="Times" w:eastAsia="Times" w:hAnsi="Times" w:cs="Times"/>
          <w:color w:val="000000"/>
          <w:sz w:val="20"/>
        </w:rPr>
        <w:t>United States Court of Appeals for the Third Circuit</w:t>
      </w:r>
      <w:r w:rsidR="00794F02">
        <w:rPr>
          <w:rFonts w:ascii="Times" w:eastAsia="Times" w:hAnsi="Times" w:cs="Times"/>
          <w:color w:val="000000"/>
          <w:sz w:val="20"/>
        </w:rPr>
        <w:t xml:space="preserve"> (1966)</w:t>
      </w:r>
    </w:p>
    <w:p w14:paraId="2A809351" w14:textId="4C497D64" w:rsidR="00912D34" w:rsidRDefault="00D50D66">
      <w:pPr>
        <w:widowControl w:val="0"/>
        <w:spacing w:before="200" w:line="260" w:lineRule="atLeast"/>
        <w:jc w:val="both"/>
      </w:pPr>
      <w:bookmarkStart w:id="1" w:name="Reporter"/>
      <w:bookmarkStart w:id="2" w:name="Bookmark_para_3"/>
      <w:bookmarkStart w:id="3" w:name="Bookmark_para_4"/>
      <w:bookmarkEnd w:id="1"/>
      <w:bookmarkEnd w:id="2"/>
      <w:bookmarkEnd w:id="3"/>
      <w:r>
        <w:rPr>
          <w:rFonts w:ascii="Times" w:eastAsia="Times" w:hAnsi="Times" w:cs="Times"/>
          <w:color w:val="000000"/>
          <w:sz w:val="20"/>
        </w:rPr>
        <w:t xml:space="preserve">SEITZ, Circuit Judge. </w:t>
      </w:r>
    </w:p>
    <w:p w14:paraId="1E423843" w14:textId="4E475284" w:rsidR="00912D34" w:rsidRDefault="00D50D66">
      <w:pPr>
        <w:widowControl w:val="0"/>
        <w:spacing w:before="200" w:line="260" w:lineRule="atLeast"/>
        <w:jc w:val="both"/>
      </w:pPr>
      <w:bookmarkStart w:id="4" w:name="Bookmark_para_5"/>
      <w:bookmarkStart w:id="5" w:name="Bookmark_para_6"/>
      <w:bookmarkEnd w:id="4"/>
      <w:bookmarkEnd w:id="5"/>
      <w:r>
        <w:rPr>
          <w:rFonts w:ascii="Times" w:eastAsia="Times" w:hAnsi="Times" w:cs="Times"/>
          <w:color w:val="000000"/>
          <w:sz w:val="20"/>
        </w:rPr>
        <w:t xml:space="preserve">The taxpayers </w:t>
      </w:r>
      <w:r>
        <w:rPr>
          <w:rFonts w:ascii="Times" w:eastAsia="Times" w:hAnsi="Times" w:cs="Times"/>
          <w:color w:val="000000"/>
          <w:sz w:val="20"/>
        </w:rPr>
        <w:t>were stockholders in Butler County Loan Company ("Loan"), which was engaged in the small loan business and, through a subsidiary, in the consumer finance and discount business in Butler, Pennsylvania.  The husband of taxpayer, He</w:t>
      </w:r>
      <w:r>
        <w:rPr>
          <w:rFonts w:ascii="Times" w:eastAsia="Times" w:hAnsi="Times" w:cs="Times"/>
          <w:color w:val="000000"/>
          <w:sz w:val="20"/>
        </w:rPr>
        <w:t xml:space="preserve">len Sherman, had been its successful manager until his death in 1958. Thereafter, one </w:t>
      </w:r>
      <w:proofErr w:type="spellStart"/>
      <w:r>
        <w:rPr>
          <w:rFonts w:ascii="Times" w:eastAsia="Times" w:hAnsi="Times" w:cs="Times"/>
          <w:color w:val="000000"/>
          <w:sz w:val="20"/>
        </w:rPr>
        <w:t>Shukis</w:t>
      </w:r>
      <w:proofErr w:type="spellEnd"/>
      <w:r>
        <w:rPr>
          <w:rFonts w:ascii="Times" w:eastAsia="Times" w:hAnsi="Times" w:cs="Times"/>
          <w:color w:val="000000"/>
          <w:sz w:val="20"/>
        </w:rPr>
        <w:t xml:space="preserve"> was brought in to run the business and was given an option to buy 100 shares of the Loan's stock. He later exercised an option to buy 10 shares. </w:t>
      </w:r>
    </w:p>
    <w:p w14:paraId="6D751AE9" w14:textId="0C299793" w:rsidR="00912D34" w:rsidRDefault="00D50D66">
      <w:pPr>
        <w:widowControl w:val="0"/>
        <w:spacing w:before="200" w:line="260" w:lineRule="atLeast"/>
        <w:jc w:val="both"/>
      </w:pPr>
      <w:bookmarkStart w:id="6" w:name="Bookmark_para_7"/>
      <w:bookmarkEnd w:id="6"/>
      <w:r>
        <w:rPr>
          <w:rFonts w:ascii="Times" w:eastAsia="Times" w:hAnsi="Times" w:cs="Times"/>
          <w:color w:val="000000"/>
          <w:sz w:val="20"/>
        </w:rPr>
        <w:t xml:space="preserve">In 1959, </w:t>
      </w:r>
      <w:r>
        <w:rPr>
          <w:rFonts w:ascii="Times" w:eastAsia="Times" w:hAnsi="Times" w:cs="Times"/>
          <w:color w:val="000000"/>
          <w:sz w:val="20"/>
        </w:rPr>
        <w:t xml:space="preserve">the stockholders decided to solicit offers to purchase what was then </w:t>
      </w:r>
      <w:r>
        <w:rPr>
          <w:rFonts w:ascii="Times" w:eastAsia="Times" w:hAnsi="Times" w:cs="Times"/>
          <w:color w:val="000000"/>
          <w:sz w:val="20"/>
        </w:rPr>
        <w:t>a declining business.  On November 2, 1959, Thrift Investment Corporation ("Thrift") offered in writing to buy all the common stock of Loan for $ 374 per share and "our usual non</w:t>
      </w:r>
      <w:r>
        <w:rPr>
          <w:rFonts w:ascii="Times" w:eastAsia="Times" w:hAnsi="Times" w:cs="Times"/>
          <w:color w:val="000000"/>
          <w:sz w:val="20"/>
        </w:rPr>
        <w:t xml:space="preserve">-compete agreement in the Butler area".  The amount of Thrift's offer was higher than it would otherwise have been because Thrift "passed on" to the selling </w:t>
      </w:r>
      <w:proofErr w:type="gramStart"/>
      <w:r>
        <w:rPr>
          <w:rFonts w:ascii="Times" w:eastAsia="Times" w:hAnsi="Times" w:cs="Times"/>
          <w:color w:val="000000"/>
          <w:sz w:val="20"/>
        </w:rPr>
        <w:t>stockholders</w:t>
      </w:r>
      <w:proofErr w:type="gramEnd"/>
      <w:r>
        <w:rPr>
          <w:rFonts w:ascii="Times" w:eastAsia="Times" w:hAnsi="Times" w:cs="Times"/>
          <w:color w:val="000000"/>
          <w:sz w:val="20"/>
        </w:rPr>
        <w:t xml:space="preserve"> part of the favorable tax benefits which it inferred would accrue to it because the am</w:t>
      </w:r>
      <w:r>
        <w:rPr>
          <w:rFonts w:ascii="Times" w:eastAsia="Times" w:hAnsi="Times" w:cs="Times"/>
          <w:color w:val="000000"/>
          <w:sz w:val="20"/>
        </w:rPr>
        <w:t xml:space="preserve">ount paid over and above the actual value of the stock was amortizable. </w:t>
      </w:r>
    </w:p>
    <w:p w14:paraId="40963BCE" w14:textId="02A087B9" w:rsidR="00912D34" w:rsidRDefault="00D50D66">
      <w:pPr>
        <w:widowControl w:val="0"/>
        <w:spacing w:before="200" w:line="260" w:lineRule="atLeast"/>
        <w:jc w:val="both"/>
      </w:pPr>
      <w:bookmarkStart w:id="7" w:name="Bookmark_para_8"/>
      <w:bookmarkEnd w:id="7"/>
      <w:r>
        <w:rPr>
          <w:rFonts w:ascii="Times" w:eastAsia="Times" w:hAnsi="Times" w:cs="Times"/>
          <w:color w:val="000000"/>
          <w:sz w:val="20"/>
        </w:rPr>
        <w:t xml:space="preserve">All the stockholders but </w:t>
      </w:r>
      <w:proofErr w:type="spellStart"/>
      <w:r>
        <w:rPr>
          <w:rFonts w:ascii="Times" w:eastAsia="Times" w:hAnsi="Times" w:cs="Times"/>
          <w:color w:val="000000"/>
          <w:sz w:val="20"/>
        </w:rPr>
        <w:t>Shukis</w:t>
      </w:r>
      <w:proofErr w:type="spellEnd"/>
      <w:r>
        <w:rPr>
          <w:rFonts w:ascii="Times" w:eastAsia="Times" w:hAnsi="Times" w:cs="Times"/>
          <w:color w:val="000000"/>
          <w:sz w:val="20"/>
        </w:rPr>
        <w:t xml:space="preserve"> accepted Thrift's offer.  He notified Thrift that he was exercising his option to buy 90 additional shares.  He apparently was willing to se</w:t>
      </w:r>
      <w:r>
        <w:rPr>
          <w:rFonts w:ascii="Times" w:eastAsia="Times" w:hAnsi="Times" w:cs="Times"/>
          <w:color w:val="000000"/>
          <w:sz w:val="20"/>
        </w:rPr>
        <w:t xml:space="preserve">ll only if he was treated as holding 100 shares. </w:t>
      </w:r>
    </w:p>
    <w:p w14:paraId="5E811BAF" w14:textId="77777777" w:rsidR="00912D34" w:rsidRDefault="00D50D66">
      <w:pPr>
        <w:widowControl w:val="0"/>
        <w:spacing w:before="200" w:line="260" w:lineRule="atLeast"/>
        <w:jc w:val="both"/>
      </w:pPr>
      <w:bookmarkStart w:id="8" w:name="Bookmark_para_9"/>
      <w:bookmarkEnd w:id="8"/>
      <w:r>
        <w:rPr>
          <w:rFonts w:ascii="Times" w:eastAsia="Times" w:hAnsi="Times" w:cs="Times"/>
          <w:color w:val="000000"/>
          <w:sz w:val="20"/>
        </w:rPr>
        <w:t xml:space="preserve">On the same day that it heard from </w:t>
      </w:r>
      <w:proofErr w:type="spellStart"/>
      <w:r>
        <w:rPr>
          <w:rFonts w:ascii="Times" w:eastAsia="Times" w:hAnsi="Times" w:cs="Times"/>
          <w:color w:val="000000"/>
          <w:sz w:val="20"/>
        </w:rPr>
        <w:t>Shukis</w:t>
      </w:r>
      <w:proofErr w:type="spellEnd"/>
      <w:r>
        <w:rPr>
          <w:rFonts w:ascii="Times" w:eastAsia="Times" w:hAnsi="Times" w:cs="Times"/>
          <w:color w:val="000000"/>
          <w:sz w:val="20"/>
        </w:rPr>
        <w:t>, November 5, 1959, Thrift forwarded to the President of Loan copies of the proposed agreement of purchase and copies of the non-competition agreement.  The proposed</w:t>
      </w:r>
      <w:r>
        <w:rPr>
          <w:rFonts w:ascii="Times" w:eastAsia="Times" w:hAnsi="Times" w:cs="Times"/>
          <w:color w:val="000000"/>
          <w:sz w:val="20"/>
        </w:rPr>
        <w:t xml:space="preserve"> covenant not to compete restrained the stockholders from engaging in the small loan business around Butler, Pennsylvania for approximately six years.  However, it permitted them to own stock of any small loan corporation.  The agreement contained a blank,</w:t>
      </w:r>
      <w:r>
        <w:rPr>
          <w:rFonts w:ascii="Times" w:eastAsia="Times" w:hAnsi="Times" w:cs="Times"/>
          <w:color w:val="000000"/>
          <w:sz w:val="20"/>
        </w:rPr>
        <w:t xml:space="preserve"> which was presumably to be filled in later, representing that part of the total consideration which was to be allocated to the covenant not to compete. </w:t>
      </w:r>
    </w:p>
    <w:p w14:paraId="1A0FFE37" w14:textId="77777777" w:rsidR="00912D34" w:rsidRDefault="00D50D66">
      <w:pPr>
        <w:widowControl w:val="0"/>
        <w:spacing w:before="200" w:line="260" w:lineRule="atLeast"/>
        <w:jc w:val="both"/>
      </w:pPr>
      <w:bookmarkStart w:id="9" w:name="Bookmark_para_10"/>
      <w:bookmarkEnd w:id="9"/>
      <w:r>
        <w:rPr>
          <w:rFonts w:ascii="Times" w:eastAsia="Times" w:hAnsi="Times" w:cs="Times"/>
          <w:color w:val="000000"/>
          <w:sz w:val="20"/>
        </w:rPr>
        <w:t xml:space="preserve">Because of </w:t>
      </w:r>
      <w:proofErr w:type="spellStart"/>
      <w:r>
        <w:rPr>
          <w:rFonts w:ascii="Times" w:eastAsia="Times" w:hAnsi="Times" w:cs="Times"/>
          <w:color w:val="000000"/>
          <w:sz w:val="20"/>
        </w:rPr>
        <w:t>Shukis</w:t>
      </w:r>
      <w:proofErr w:type="spellEnd"/>
      <w:r>
        <w:rPr>
          <w:rFonts w:ascii="Times" w:eastAsia="Times" w:hAnsi="Times" w:cs="Times"/>
          <w:color w:val="000000"/>
          <w:sz w:val="20"/>
        </w:rPr>
        <w:t>' action, a dispute arose between him and the other stockholders. Nevertheless, the s</w:t>
      </w:r>
      <w:r>
        <w:rPr>
          <w:rFonts w:ascii="Times" w:eastAsia="Times" w:hAnsi="Times" w:cs="Times"/>
          <w:color w:val="000000"/>
          <w:sz w:val="20"/>
        </w:rPr>
        <w:t xml:space="preserve">ettlement was fixed for November 16, 1959.  At that time all the stockholders were present along with representatives of Thrift.  All the stockholders except </w:t>
      </w:r>
      <w:proofErr w:type="spellStart"/>
      <w:r>
        <w:rPr>
          <w:rFonts w:ascii="Times" w:eastAsia="Times" w:hAnsi="Times" w:cs="Times"/>
          <w:color w:val="000000"/>
          <w:sz w:val="20"/>
        </w:rPr>
        <w:t>Shukis</w:t>
      </w:r>
      <w:proofErr w:type="spellEnd"/>
      <w:r>
        <w:rPr>
          <w:rFonts w:ascii="Times" w:eastAsia="Times" w:hAnsi="Times" w:cs="Times"/>
          <w:color w:val="000000"/>
          <w:sz w:val="20"/>
        </w:rPr>
        <w:t xml:space="preserve"> had one attorney.  He had his own counsel present. </w:t>
      </w:r>
    </w:p>
    <w:p w14:paraId="72983E32" w14:textId="7F822A69" w:rsidR="00912D34" w:rsidRDefault="00D50D66">
      <w:pPr>
        <w:widowControl w:val="0"/>
        <w:spacing w:before="200" w:line="260" w:lineRule="atLeast"/>
        <w:jc w:val="both"/>
      </w:pPr>
      <w:bookmarkStart w:id="10" w:name="Bookmark_para_11"/>
      <w:bookmarkEnd w:id="10"/>
      <w:r>
        <w:rPr>
          <w:rFonts w:ascii="Times" w:eastAsia="Times" w:hAnsi="Times" w:cs="Times"/>
          <w:color w:val="000000"/>
          <w:sz w:val="20"/>
        </w:rPr>
        <w:t>Thrift made it clear, of course, that </w:t>
      </w:r>
      <w:r>
        <w:rPr>
          <w:rFonts w:ascii="Times" w:eastAsia="Times" w:hAnsi="Times" w:cs="Times"/>
          <w:color w:val="000000"/>
          <w:sz w:val="20"/>
        </w:rPr>
        <w:t xml:space="preserve">the stockholder dispute </w:t>
      </w:r>
      <w:r>
        <w:rPr>
          <w:rFonts w:ascii="Times" w:eastAsia="Times" w:hAnsi="Times" w:cs="Times"/>
          <w:color w:val="000000"/>
          <w:sz w:val="20"/>
        </w:rPr>
        <w:t xml:space="preserve">would not cause it to increase the offering price for all outstanding shares.  Thus, the cost of issuing any additional shares to </w:t>
      </w:r>
      <w:proofErr w:type="spellStart"/>
      <w:r>
        <w:rPr>
          <w:rFonts w:ascii="Times" w:eastAsia="Times" w:hAnsi="Times" w:cs="Times"/>
          <w:color w:val="000000"/>
          <w:sz w:val="20"/>
        </w:rPr>
        <w:t>Shukis</w:t>
      </w:r>
      <w:proofErr w:type="spellEnd"/>
      <w:r>
        <w:rPr>
          <w:rFonts w:ascii="Times" w:eastAsia="Times" w:hAnsi="Times" w:cs="Times"/>
          <w:color w:val="000000"/>
          <w:sz w:val="20"/>
        </w:rPr>
        <w:t xml:space="preserve"> would have to be shouldered by the other stockholders. Protracted negotiations took place</w:t>
      </w:r>
      <w:r>
        <w:rPr>
          <w:rFonts w:ascii="Times" w:eastAsia="Times" w:hAnsi="Times" w:cs="Times"/>
          <w:color w:val="000000"/>
          <w:sz w:val="20"/>
        </w:rPr>
        <w:t xml:space="preserve"> that day between </w:t>
      </w:r>
      <w:proofErr w:type="spellStart"/>
      <w:r>
        <w:rPr>
          <w:rFonts w:ascii="Times" w:eastAsia="Times" w:hAnsi="Times" w:cs="Times"/>
          <w:color w:val="000000"/>
          <w:sz w:val="20"/>
        </w:rPr>
        <w:t>Shukis</w:t>
      </w:r>
      <w:proofErr w:type="spellEnd"/>
      <w:r>
        <w:rPr>
          <w:rFonts w:ascii="Times" w:eastAsia="Times" w:hAnsi="Times" w:cs="Times"/>
          <w:color w:val="000000"/>
          <w:sz w:val="20"/>
        </w:rPr>
        <w:t xml:space="preserve"> and the other stockholders. They finally reached a settlement.  Thrift thereupon completed the agreements with </w:t>
      </w:r>
      <w:proofErr w:type="spellStart"/>
      <w:r>
        <w:rPr>
          <w:rFonts w:ascii="Times" w:eastAsia="Times" w:hAnsi="Times" w:cs="Times"/>
          <w:color w:val="000000"/>
          <w:sz w:val="20"/>
        </w:rPr>
        <w:t>Shukis</w:t>
      </w:r>
      <w:proofErr w:type="spellEnd"/>
      <w:r>
        <w:rPr>
          <w:rFonts w:ascii="Times" w:eastAsia="Times" w:hAnsi="Times" w:cs="Times"/>
          <w:color w:val="000000"/>
          <w:sz w:val="20"/>
        </w:rPr>
        <w:t xml:space="preserve"> and then with the other stockholders, the taxpayers herein. </w:t>
      </w:r>
    </w:p>
    <w:p w14:paraId="55970989" w14:textId="77777777" w:rsidR="00912D34" w:rsidRDefault="00D50D66">
      <w:pPr>
        <w:widowControl w:val="0"/>
        <w:spacing w:before="200" w:line="260" w:lineRule="atLeast"/>
        <w:jc w:val="both"/>
      </w:pPr>
      <w:bookmarkStart w:id="11" w:name="Bookmark_para_12"/>
      <w:bookmarkEnd w:id="11"/>
      <w:r>
        <w:rPr>
          <w:rFonts w:ascii="Times" w:eastAsia="Times" w:hAnsi="Times" w:cs="Times"/>
          <w:color w:val="000000"/>
          <w:sz w:val="20"/>
        </w:rPr>
        <w:t>Thrift allocated $ 152 per share to the covenant not</w:t>
      </w:r>
      <w:r>
        <w:rPr>
          <w:rFonts w:ascii="Times" w:eastAsia="Times" w:hAnsi="Times" w:cs="Times"/>
          <w:color w:val="000000"/>
          <w:sz w:val="20"/>
        </w:rPr>
        <w:t xml:space="preserve"> to compete and $ 222 to the contract for the sale of stock. These figures were inserted in the documents.  Some question was then raised by the taxpayers as to the tax treatment they would receive on the $ 152 per share allocated to the covenant. As found</w:t>
      </w:r>
      <w:r>
        <w:rPr>
          <w:rFonts w:ascii="Times" w:eastAsia="Times" w:hAnsi="Times" w:cs="Times"/>
          <w:color w:val="000000"/>
          <w:sz w:val="20"/>
        </w:rPr>
        <w:t xml:space="preserve"> by the Tax Court, the Thrift officials explained that the allocations were to Thrift's tax advantage but they did not tell the stockholders that they (the stockholders) would receive capital gains treatment.  Nor did Thrift make any attempt to explain to </w:t>
      </w:r>
      <w:r>
        <w:rPr>
          <w:rFonts w:ascii="Times" w:eastAsia="Times" w:hAnsi="Times" w:cs="Times"/>
          <w:color w:val="000000"/>
          <w:sz w:val="20"/>
        </w:rPr>
        <w:t xml:space="preserve">the stockholders that such amounts would be taxable to them as ordinary income.  After a brief discussion with their own attorney concerning the allocation, the stockholders here involved,  [**6]  on the advice of their own counsel, signed the documents.  </w:t>
      </w:r>
      <w:r>
        <w:rPr>
          <w:rFonts w:ascii="Times" w:eastAsia="Times" w:hAnsi="Times" w:cs="Times"/>
          <w:color w:val="000000"/>
          <w:sz w:val="20"/>
        </w:rPr>
        <w:t xml:space="preserve">Each payment check from Thrift contained the notation that it represented the con sideration for both the sale of the stock and the agreement not to compete. </w:t>
      </w:r>
    </w:p>
    <w:p w14:paraId="1E55B2E6" w14:textId="3FA1E88B" w:rsidR="00912D34" w:rsidRDefault="00D50D66">
      <w:pPr>
        <w:widowControl w:val="0"/>
        <w:spacing w:before="200" w:line="260" w:lineRule="atLeast"/>
        <w:jc w:val="both"/>
      </w:pPr>
      <w:bookmarkStart w:id="12" w:name="Bookmark_para_13"/>
      <w:bookmarkEnd w:id="12"/>
      <w:r>
        <w:rPr>
          <w:rFonts w:ascii="Times" w:eastAsia="Times" w:hAnsi="Times" w:cs="Times"/>
          <w:color w:val="000000"/>
          <w:sz w:val="20"/>
        </w:rPr>
        <w:t>Each taxpayer reported the entire amount received by him as proceeds from the sale of capital ass</w:t>
      </w:r>
      <w:r>
        <w:rPr>
          <w:rFonts w:ascii="Times" w:eastAsia="Times" w:hAnsi="Times" w:cs="Times"/>
          <w:color w:val="000000"/>
          <w:sz w:val="20"/>
        </w:rPr>
        <w:t>ets.</w:t>
      </w:r>
      <w:bookmarkStart w:id="13" w:name="Bookmark_I4G0434W0K1MNJ3B60000400"/>
      <w:bookmarkEnd w:id="13"/>
      <w:r>
        <w:rPr>
          <w:rFonts w:ascii="Times" w:eastAsia="Times" w:hAnsi="Times" w:cs="Times"/>
          <w:color w:val="000000"/>
          <w:sz w:val="20"/>
        </w:rPr>
        <w:t xml:space="preserve"> </w:t>
      </w:r>
      <w:r>
        <w:rPr>
          <w:rFonts w:ascii="Times" w:eastAsia="Times" w:hAnsi="Times" w:cs="Times"/>
          <w:vertAlign w:val="superscript"/>
        </w:rPr>
        <w:footnoteReference w:customMarkFollows="1" w:id="1"/>
        <w:t>3</w:t>
      </w:r>
      <w:r>
        <w:rPr>
          <w:rFonts w:ascii="Times" w:eastAsia="Times" w:hAnsi="Times" w:cs="Times"/>
          <w:color w:val="000000"/>
          <w:sz w:val="20"/>
        </w:rPr>
        <w:t xml:space="preserve"> The </w:t>
      </w:r>
      <w:proofErr w:type="gramStart"/>
      <w:r>
        <w:rPr>
          <w:rFonts w:ascii="Times" w:eastAsia="Times" w:hAnsi="Times" w:cs="Times"/>
          <w:color w:val="000000"/>
          <w:sz w:val="20"/>
        </w:rPr>
        <w:t>Commissioner  </w:t>
      </w:r>
      <w:r>
        <w:rPr>
          <w:rFonts w:ascii="Times" w:eastAsia="Times" w:hAnsi="Times" w:cs="Times"/>
          <w:color w:val="000000"/>
          <w:sz w:val="20"/>
        </w:rPr>
        <w:t>disallowed</w:t>
      </w:r>
      <w:proofErr w:type="gramEnd"/>
      <w:r>
        <w:rPr>
          <w:rFonts w:ascii="Times" w:eastAsia="Times" w:hAnsi="Times" w:cs="Times"/>
          <w:color w:val="000000"/>
          <w:sz w:val="20"/>
        </w:rPr>
        <w:t xml:space="preserve"> that portion which corresponded to the consideration recited in the covenant not to compete and issued a notice of deficiency.  The taxpayers then petitioned for a redetermination of the deficiency.  The Tax Cou</w:t>
      </w:r>
      <w:r>
        <w:rPr>
          <w:rFonts w:ascii="Times" w:eastAsia="Times" w:hAnsi="Times" w:cs="Times"/>
          <w:color w:val="000000"/>
          <w:sz w:val="20"/>
        </w:rPr>
        <w:t xml:space="preserve">rt ruled in favor of the taxpayers on the present issue, </w:t>
      </w:r>
      <w:bookmarkStart w:id="15" w:name="Bookmark_I4G0434W0K1MNJ3B50000400"/>
      <w:bookmarkEnd w:id="15"/>
      <w:r>
        <w:rPr>
          <w:rFonts w:ascii="Times" w:eastAsia="Times" w:hAnsi="Times" w:cs="Times"/>
          <w:color w:val="000000"/>
          <w:sz w:val="20"/>
        </w:rPr>
        <w:t>44 Tax Court 549 (1965), thus permitting the consideration allocated to the covenants to be taxed at capital gains rates rather than as ordinary income.  It found in effect that the taxpayers produce</w:t>
      </w:r>
      <w:r>
        <w:rPr>
          <w:rFonts w:ascii="Times" w:eastAsia="Times" w:hAnsi="Times" w:cs="Times"/>
          <w:color w:val="000000"/>
          <w:sz w:val="20"/>
        </w:rPr>
        <w:t xml:space="preserve">d strong proof that the covenants were not realistically bargained for by the parties and that the amounts allocated thereto by Thrift were in reality that part of the purchase price of the stock which represented a premium on corporate receivables. </w:t>
      </w:r>
    </w:p>
    <w:p w14:paraId="62955F6D" w14:textId="77777777" w:rsidR="00912D34" w:rsidRDefault="00D50D66">
      <w:pPr>
        <w:widowControl w:val="0"/>
        <w:spacing w:before="200" w:line="260" w:lineRule="atLeast"/>
        <w:jc w:val="both"/>
      </w:pPr>
      <w:bookmarkStart w:id="16" w:name="Bookmark_para_14"/>
      <w:bookmarkStart w:id="17" w:name="Bookmark_para_15"/>
      <w:bookmarkEnd w:id="16"/>
      <w:bookmarkEnd w:id="17"/>
      <w:r>
        <w:rPr>
          <w:rFonts w:ascii="Times" w:eastAsia="Times" w:hAnsi="Times" w:cs="Times"/>
          <w:color w:val="000000"/>
          <w:sz w:val="20"/>
        </w:rPr>
        <w:t>The Commissioner argues here, as he did before the Tax Court, that where the parties to a transaction involving the sale of a business have entered into a written agree</w:t>
      </w:r>
      <w:r>
        <w:rPr>
          <w:rFonts w:ascii="Times" w:eastAsia="Times" w:hAnsi="Times" w:cs="Times"/>
          <w:color w:val="000000"/>
          <w:sz w:val="20"/>
        </w:rPr>
        <w:t xml:space="preserve">ment spelling out the precise amount to be paid for a covenant not to compete, they should not then be permitted, for tax </w:t>
      </w:r>
      <w:r>
        <w:rPr>
          <w:rFonts w:ascii="Times" w:eastAsia="Times" w:hAnsi="Times" w:cs="Times"/>
          <w:color w:val="000000"/>
          <w:sz w:val="20"/>
        </w:rPr>
        <w:lastRenderedPageBreak/>
        <w:t xml:space="preserve">purposes, to attack such provision except in cases of fraud, </w:t>
      </w:r>
      <w:proofErr w:type="gramStart"/>
      <w:r>
        <w:rPr>
          <w:rFonts w:ascii="Times" w:eastAsia="Times" w:hAnsi="Times" w:cs="Times"/>
          <w:color w:val="000000"/>
          <w:sz w:val="20"/>
        </w:rPr>
        <w:t>duress</w:t>
      </w:r>
      <w:proofErr w:type="gramEnd"/>
      <w:r>
        <w:rPr>
          <w:rFonts w:ascii="Times" w:eastAsia="Times" w:hAnsi="Times" w:cs="Times"/>
          <w:color w:val="000000"/>
          <w:sz w:val="20"/>
        </w:rPr>
        <w:t xml:space="preserve"> or undue influence. </w:t>
      </w:r>
    </w:p>
    <w:p w14:paraId="177ABDE7" w14:textId="77777777" w:rsidR="00912D34" w:rsidRDefault="00D50D66">
      <w:pPr>
        <w:widowControl w:val="0"/>
        <w:spacing w:before="200" w:line="260" w:lineRule="atLeast"/>
        <w:jc w:val="both"/>
      </w:pPr>
      <w:bookmarkStart w:id="18" w:name="Bookmark_para_16"/>
      <w:bookmarkEnd w:id="18"/>
      <w:r>
        <w:rPr>
          <w:rFonts w:ascii="Times" w:eastAsia="Times" w:hAnsi="Times" w:cs="Times"/>
          <w:color w:val="000000"/>
          <w:sz w:val="20"/>
        </w:rPr>
        <w:t xml:space="preserve">The taxpayers counter by saying that such an </w:t>
      </w:r>
      <w:r>
        <w:rPr>
          <w:rFonts w:ascii="Times" w:eastAsia="Times" w:hAnsi="Times" w:cs="Times"/>
          <w:color w:val="000000"/>
          <w:sz w:val="20"/>
        </w:rPr>
        <w:t>approach would dignify form at the expense of substance and that the substance of this transaction, as found by the Tax Court, shows that the amounts allocated in the agreements for the covenants had no independent basis in fact or arguable relationship wi</w:t>
      </w:r>
      <w:r>
        <w:rPr>
          <w:rFonts w:ascii="Times" w:eastAsia="Times" w:hAnsi="Times" w:cs="Times"/>
          <w:color w:val="000000"/>
          <w:sz w:val="20"/>
        </w:rPr>
        <w:t xml:space="preserve">th business reality. </w:t>
      </w:r>
    </w:p>
    <w:p w14:paraId="5AD41092" w14:textId="491EB391" w:rsidR="00912D34" w:rsidRDefault="00D50D66">
      <w:pPr>
        <w:widowControl w:val="0"/>
        <w:spacing w:before="200" w:line="260" w:lineRule="atLeast"/>
        <w:jc w:val="both"/>
      </w:pPr>
      <w:bookmarkStart w:id="19" w:name="Bookmark_para_17"/>
      <w:bookmarkEnd w:id="19"/>
      <w:r>
        <w:rPr>
          <w:rFonts w:ascii="Times" w:eastAsia="Times" w:hAnsi="Times" w:cs="Times"/>
          <w:color w:val="000000"/>
          <w:sz w:val="20"/>
        </w:rPr>
        <w:t>We address ourselves to the soundness of the rule contended for by the Commissioner because we are satisfied that if it is basically not acceptable then the factual findings of the Tax Court would compel us to affirm its decision in f</w:t>
      </w:r>
      <w:r>
        <w:rPr>
          <w:rFonts w:ascii="Times" w:eastAsia="Times" w:hAnsi="Times" w:cs="Times"/>
          <w:color w:val="000000"/>
          <w:sz w:val="20"/>
        </w:rPr>
        <w:t>avor of these taxpayers.  We say this because we think we could not, on this record, disturb the Tax Court's findings that the covenants were not fully restrictive in view of </w:t>
      </w:r>
      <w:r>
        <w:rPr>
          <w:rFonts w:ascii="Times" w:eastAsia="Times" w:hAnsi="Times" w:cs="Times"/>
          <w:color w:val="000000"/>
          <w:sz w:val="20"/>
        </w:rPr>
        <w:t>the wording and also because these particular stockholders were not realis</w:t>
      </w:r>
      <w:r>
        <w:rPr>
          <w:rFonts w:ascii="Times" w:eastAsia="Times" w:hAnsi="Times" w:cs="Times"/>
          <w:color w:val="000000"/>
          <w:sz w:val="20"/>
        </w:rPr>
        <w:t>tically in a position to compete. In contrast, if the Commissioner's proposed rule is accepted, the factual findings of the Tax Court would require us to reverse its decision. This is so because after Thrift first evidenced its intention to make an allocat</w:t>
      </w:r>
      <w:r>
        <w:rPr>
          <w:rFonts w:ascii="Times" w:eastAsia="Times" w:hAnsi="Times" w:cs="Times"/>
          <w:color w:val="000000"/>
          <w:sz w:val="20"/>
        </w:rPr>
        <w:t>ion to the covenants not to compete the taxpayers had almost two weeks in which to investigate the tax consequences.  Nevertheless, they entered into the agreement on the advice of their own counsel.  The present record does not reveal that the taxpayers l</w:t>
      </w:r>
      <w:r>
        <w:rPr>
          <w:rFonts w:ascii="Times" w:eastAsia="Times" w:hAnsi="Times" w:cs="Times"/>
          <w:color w:val="000000"/>
          <w:sz w:val="20"/>
        </w:rPr>
        <w:t xml:space="preserve">acked a full understanding of the terms of the agreement or that the purchaser engaged in fraud, duress, or undue influence. We do not understand either the Tax Court or the dissent to view the facts any differently. </w:t>
      </w:r>
    </w:p>
    <w:p w14:paraId="71E626CF" w14:textId="55D01955" w:rsidR="00912D34" w:rsidRDefault="00D50D66">
      <w:pPr>
        <w:widowControl w:val="0"/>
        <w:spacing w:before="200" w:line="260" w:lineRule="atLeast"/>
        <w:jc w:val="both"/>
      </w:pPr>
      <w:bookmarkStart w:id="20" w:name="Bookmark_para_18"/>
      <w:bookmarkStart w:id="21" w:name="Bookmark_I4G0434W0K1MNJ3BT0000400"/>
      <w:bookmarkStart w:id="22" w:name="Bookmark_para_19"/>
      <w:bookmarkStart w:id="23" w:name="Bookmark_I7N01FR4WSN000KB84V003XT"/>
      <w:bookmarkStart w:id="24" w:name="Bookmark_I4G0434W0K1MNJ3BY0000400"/>
      <w:bookmarkEnd w:id="20"/>
      <w:bookmarkEnd w:id="21"/>
      <w:bookmarkEnd w:id="22"/>
      <w:bookmarkEnd w:id="23"/>
      <w:bookmarkEnd w:id="24"/>
      <w:r>
        <w:rPr>
          <w:rFonts w:ascii="Times" w:eastAsia="Times" w:hAnsi="Times" w:cs="Times"/>
          <w:color w:val="000000"/>
          <w:sz w:val="20"/>
        </w:rPr>
        <w:t>Next, we are not here involved with a situation where the Commissioner is attacking the transaction in the form sel</w:t>
      </w:r>
      <w:r>
        <w:rPr>
          <w:rFonts w:ascii="Times" w:eastAsia="Times" w:hAnsi="Times" w:cs="Times"/>
          <w:color w:val="000000"/>
          <w:sz w:val="20"/>
        </w:rPr>
        <w:t>ected by the parties</w:t>
      </w:r>
      <w:r>
        <w:rPr>
          <w:rFonts w:ascii="Times" w:eastAsia="Times" w:hAnsi="Times" w:cs="Times"/>
          <w:color w:val="000000"/>
          <w:sz w:val="20"/>
        </w:rPr>
        <w:t xml:space="preserve">. </w:t>
      </w:r>
      <w:bookmarkStart w:id="25" w:name="Bookmark_I4G0434W0K1MNJ3CJ0000400"/>
      <w:bookmarkEnd w:id="25"/>
      <w:r>
        <w:rPr>
          <w:rFonts w:ascii="Times" w:eastAsia="Times" w:hAnsi="Times" w:cs="Times"/>
          <w:color w:val="000000"/>
          <w:sz w:val="20"/>
        </w:rPr>
        <w:t xml:space="preserve">Where the Commissioner attacks the formal agreement the Court involved is required to examine the "substance" and not merely the "form" of the transaction.  This is so for the very </w:t>
      </w:r>
      <w:r>
        <w:rPr>
          <w:rFonts w:ascii="Times" w:eastAsia="Times" w:hAnsi="Times" w:cs="Times"/>
          <w:color w:val="000000"/>
          <w:sz w:val="20"/>
        </w:rPr>
        <w:t xml:space="preserve">good reason that the legitimate operation of the tax laws is not to be frustrated by forced adherence to the mere form in which the parties may choose to reflect their transaction. </w:t>
      </w:r>
      <w:bookmarkStart w:id="26" w:name="Bookmark_I4G0434W0K1MNJ3CJ0000400_2"/>
      <w:bookmarkEnd w:id="26"/>
      <w:r>
        <w:rPr>
          <w:rFonts w:ascii="Times" w:eastAsia="Times" w:hAnsi="Times" w:cs="Times"/>
          <w:color w:val="000000"/>
          <w:sz w:val="20"/>
        </w:rPr>
        <w:t xml:space="preserve"> </w:t>
      </w:r>
      <w:bookmarkStart w:id="27" w:name="Bookmark_I4G0434W0K1MNJ3CH0000400"/>
      <w:bookmarkEnd w:id="27"/>
      <w:r>
        <w:rPr>
          <w:rFonts w:ascii="Times" w:eastAsia="Times" w:hAnsi="Times" w:cs="Times"/>
          <w:color w:val="000000"/>
          <w:sz w:val="20"/>
        </w:rPr>
        <w:t xml:space="preserve">Gregory v. </w:t>
      </w:r>
      <w:proofErr w:type="spellStart"/>
      <w:r>
        <w:rPr>
          <w:rFonts w:ascii="Times" w:eastAsia="Times" w:hAnsi="Times" w:cs="Times"/>
          <w:color w:val="000000"/>
          <w:sz w:val="20"/>
        </w:rPr>
        <w:t>Helvering</w:t>
      </w:r>
      <w:proofErr w:type="spellEnd"/>
      <w:r>
        <w:rPr>
          <w:rFonts w:ascii="Times" w:eastAsia="Times" w:hAnsi="Times" w:cs="Times"/>
          <w:color w:val="000000"/>
          <w:sz w:val="20"/>
        </w:rPr>
        <w:t xml:space="preserve">, </w:t>
      </w:r>
      <w:r>
        <w:rPr>
          <w:rFonts w:ascii="Times" w:eastAsia="Times" w:hAnsi="Times" w:cs="Times"/>
          <w:color w:val="000000"/>
          <w:sz w:val="20"/>
        </w:rPr>
        <w:t>(1935</w:t>
      </w:r>
      <w:bookmarkStart w:id="28" w:name="Bookmark_I4G0434W0K1MNJ3CK0000400"/>
      <w:bookmarkEnd w:id="28"/>
      <w:r w:rsidR="006B6535">
        <w:rPr>
          <w:rFonts w:ascii="Times" w:eastAsia="Times" w:hAnsi="Times" w:cs="Times"/>
          <w:color w:val="000000"/>
          <w:sz w:val="20"/>
        </w:rPr>
        <w:t xml:space="preserve">); </w:t>
      </w:r>
      <w:r>
        <w:rPr>
          <w:rFonts w:ascii="Times" w:eastAsia="Times" w:hAnsi="Times" w:cs="Times"/>
          <w:color w:val="000000"/>
          <w:sz w:val="20"/>
        </w:rPr>
        <w:t>C.I.R. v. Court Holding Co</w:t>
      </w:r>
      <w:r>
        <w:rPr>
          <w:rFonts w:ascii="Times" w:eastAsia="Times" w:hAnsi="Times" w:cs="Times"/>
          <w:color w:val="000000"/>
          <w:sz w:val="20"/>
        </w:rPr>
        <w:t xml:space="preserve"> (1945). In contrast, the Commissioner here is attempting to hold a party to his agreement unless that party can show in effect that it is not truly the agreement of the parties</w:t>
      </w:r>
      <w:r>
        <w:rPr>
          <w:rFonts w:ascii="Times" w:eastAsia="Times" w:hAnsi="Times" w:cs="Times"/>
          <w:color w:val="000000"/>
          <w:sz w:val="20"/>
        </w:rPr>
        <w:t>.  </w:t>
      </w:r>
      <w:r>
        <w:rPr>
          <w:rFonts w:ascii="Times" w:eastAsia="Times" w:hAnsi="Times" w:cs="Times"/>
          <w:color w:val="000000"/>
          <w:sz w:val="20"/>
        </w:rPr>
        <w:t xml:space="preserve">And to allow the Commissioner alone to pierce formal arrangements does not involve any disparity of treatment because taxpayers have it within their own control to choose in the first place whatever arrangements they care to make. </w:t>
      </w:r>
    </w:p>
    <w:p w14:paraId="256BC398" w14:textId="6C706268" w:rsidR="00912D34" w:rsidRDefault="00D50D66">
      <w:pPr>
        <w:widowControl w:val="0"/>
        <w:spacing w:before="200" w:line="260" w:lineRule="atLeast"/>
        <w:jc w:val="both"/>
      </w:pPr>
      <w:bookmarkStart w:id="29" w:name="Bookmark_para_20"/>
      <w:bookmarkEnd w:id="29"/>
      <w:r>
        <w:rPr>
          <w:rFonts w:ascii="Times" w:eastAsia="Times" w:hAnsi="Times" w:cs="Times"/>
          <w:color w:val="000000"/>
          <w:sz w:val="20"/>
        </w:rPr>
        <w:t>We turn, then</w:t>
      </w:r>
      <w:r>
        <w:rPr>
          <w:rFonts w:ascii="Times" w:eastAsia="Times" w:hAnsi="Times" w:cs="Times"/>
          <w:color w:val="000000"/>
          <w:sz w:val="20"/>
        </w:rPr>
        <w:t xml:space="preserve">, to a consideration of the principle advanced by the Commissioner. </w:t>
      </w:r>
      <w:bookmarkStart w:id="30" w:name="Bookmark_I7N01FR5457000KB84V005FX"/>
      <w:bookmarkStart w:id="31" w:name="Bookmark_I4G0434W0K1MNJ3CW0000400"/>
      <w:bookmarkEnd w:id="30"/>
      <w:bookmarkEnd w:id="31"/>
      <w:r>
        <w:rPr>
          <w:rFonts w:ascii="Times" w:eastAsia="Times" w:hAnsi="Times" w:cs="Times"/>
          <w:color w:val="000000"/>
          <w:sz w:val="20"/>
        </w:rPr>
        <w:t xml:space="preserve"> We begin by noting that the determination as to whether a covenant not to compete was actually executed is important, taxwise, both to the buyer and the </w:t>
      </w:r>
      <w:r>
        <w:rPr>
          <w:rFonts w:ascii="Times" w:eastAsia="Times" w:hAnsi="Times" w:cs="Times"/>
          <w:color w:val="000000"/>
          <w:sz w:val="20"/>
        </w:rPr>
        <w:t xml:space="preserve">seller. A tax challenge aside, </w:t>
      </w:r>
      <w:bookmarkStart w:id="32" w:name="Bookmark_LNHNREFclscc1"/>
      <w:bookmarkEnd w:id="32"/>
      <w:r>
        <w:rPr>
          <w:rFonts w:ascii="Times" w:eastAsia="Times" w:hAnsi="Times" w:cs="Times"/>
          <w:color w:val="000000"/>
          <w:sz w:val="20"/>
        </w:rPr>
        <w:t>the</w:t>
      </w:r>
      <w:r>
        <w:rPr>
          <w:rFonts w:ascii="Times" w:eastAsia="Times" w:hAnsi="Times" w:cs="Times"/>
          <w:color w:val="000000"/>
          <w:sz w:val="20"/>
        </w:rPr>
        <w:t xml:space="preserve"> amount a buyer pays a seller for such a covenant, entered into in connection with a sale of a business, is ordinary income to the covenantor and an amortizable item for the covenantee.  </w:t>
      </w:r>
      <w:bookmarkStart w:id="33" w:name="Bookmark_I4G0434W0K1MNJ3CN0000400"/>
      <w:bookmarkEnd w:id="33"/>
      <w:r>
        <w:rPr>
          <w:rFonts w:ascii="Times" w:eastAsia="Times" w:hAnsi="Times" w:cs="Times"/>
          <w:color w:val="000000"/>
          <w:sz w:val="20"/>
        </w:rPr>
        <w:t>Indeed, the presumed tax consequences of the transaction may, as here, help to determine the total amount a purchaser is willing to pay for such a purchase.  Therefore, to permit a party to an agreement fixing an explicit amount for the covenant not t</w:t>
      </w:r>
      <w:r>
        <w:rPr>
          <w:rFonts w:ascii="Times" w:eastAsia="Times" w:hAnsi="Times" w:cs="Times"/>
          <w:color w:val="000000"/>
          <w:sz w:val="20"/>
        </w:rPr>
        <w:t>o compete to attack that provision for tax purposes, absent proof of the type </w:t>
      </w:r>
      <w:r>
        <w:rPr>
          <w:rFonts w:ascii="Times" w:eastAsia="Times" w:hAnsi="Times" w:cs="Times"/>
          <w:color w:val="000000"/>
          <w:sz w:val="20"/>
        </w:rPr>
        <w:t>which would negate it in an action between the parties, would be in effect to grant, at the instance of a party, a unilateral reformation of the contract with a resulting</w:t>
      </w:r>
      <w:r>
        <w:rPr>
          <w:rFonts w:ascii="Times" w:eastAsia="Times" w:hAnsi="Times" w:cs="Times"/>
          <w:color w:val="000000"/>
          <w:sz w:val="20"/>
        </w:rPr>
        <w:t xml:space="preserve"> unjust enrichment.  If allowed, such an attack would encourage parties unjustifiably to risk litigation after consummation of a transaction in order to avoid the tax consequences of their agreements.  And to go behind the agreement at the behest of a part</w:t>
      </w:r>
      <w:r>
        <w:rPr>
          <w:rFonts w:ascii="Times" w:eastAsia="Times" w:hAnsi="Times" w:cs="Times"/>
          <w:color w:val="000000"/>
          <w:sz w:val="20"/>
        </w:rPr>
        <w:t xml:space="preserve">y may also permit a party to an admittedly valid agreement to use the tax laws to obtain relief from an unfavorable agreement. </w:t>
      </w:r>
    </w:p>
    <w:p w14:paraId="323B6361" w14:textId="77777777" w:rsidR="00912D34" w:rsidRDefault="00D50D66">
      <w:pPr>
        <w:widowControl w:val="0"/>
        <w:spacing w:before="200" w:line="260" w:lineRule="atLeast"/>
        <w:jc w:val="both"/>
      </w:pPr>
      <w:bookmarkStart w:id="34" w:name="Bookmark_para_21"/>
      <w:bookmarkEnd w:id="34"/>
      <w:r>
        <w:rPr>
          <w:rFonts w:ascii="Times" w:eastAsia="Times" w:hAnsi="Times" w:cs="Times"/>
          <w:color w:val="000000"/>
          <w:sz w:val="20"/>
        </w:rPr>
        <w:t>Of vital importance, such attacks would nullify the reasonably predictable tax consequences of the agreement to the other party thereto.  Here the buyer would be forced to defend the agreement in order to amortize the amount allocated to the covenant. If u</w:t>
      </w:r>
      <w:r>
        <w:rPr>
          <w:rFonts w:ascii="Times" w:eastAsia="Times" w:hAnsi="Times" w:cs="Times"/>
          <w:color w:val="000000"/>
          <w:sz w:val="20"/>
        </w:rPr>
        <w:t xml:space="preserve">nsuccessful, the buyer would lose a tax advantage it had paid the selling-taxpayers to acquire.  In the future buyers would be unwilling to pay sellers for tax savings so unlikely to materialize. </w:t>
      </w:r>
    </w:p>
    <w:p w14:paraId="2B604CD1" w14:textId="2E7C1C5B" w:rsidR="00912D34" w:rsidRDefault="00D50D66">
      <w:pPr>
        <w:widowControl w:val="0"/>
        <w:spacing w:before="200" w:line="260" w:lineRule="atLeast"/>
        <w:jc w:val="both"/>
      </w:pPr>
      <w:bookmarkStart w:id="35" w:name="Bookmark_para_22"/>
      <w:bookmarkEnd w:id="35"/>
      <w:r>
        <w:rPr>
          <w:rFonts w:ascii="Times" w:eastAsia="Times" w:hAnsi="Times" w:cs="Times"/>
          <w:color w:val="000000"/>
          <w:sz w:val="20"/>
        </w:rPr>
        <w:t>Finally, this type of attack would cause the Commissioner c</w:t>
      </w:r>
      <w:r>
        <w:rPr>
          <w:rFonts w:ascii="Times" w:eastAsia="Times" w:hAnsi="Times" w:cs="Times"/>
          <w:color w:val="000000"/>
          <w:sz w:val="20"/>
        </w:rPr>
        <w:t>onsiderable problems in the collection of taxes.  The Commissioner would not be able to accept taxpayers' agreements at face value.  </w:t>
      </w:r>
      <w:r>
        <w:rPr>
          <w:rFonts w:ascii="Times" w:eastAsia="Times" w:hAnsi="Times" w:cs="Times"/>
          <w:color w:val="000000"/>
          <w:sz w:val="20"/>
        </w:rPr>
        <w:t xml:space="preserve"> He would be confronted with the necessity for litigation against both buyer and seller in order to collect taxes pr</w:t>
      </w:r>
      <w:r>
        <w:rPr>
          <w:rFonts w:ascii="Times" w:eastAsia="Times" w:hAnsi="Times" w:cs="Times"/>
          <w:color w:val="000000"/>
          <w:sz w:val="20"/>
        </w:rPr>
        <w:t>operly due.  This is so because when the Commissioner tries to collect taxes from one party he may, as here, dispute the economic reality of his agreement.  When the Commissioner turns to the other party, there will likely be the arguments that the first p</w:t>
      </w:r>
      <w:r>
        <w:rPr>
          <w:rFonts w:ascii="Times" w:eastAsia="Times" w:hAnsi="Times" w:cs="Times"/>
          <w:color w:val="000000"/>
          <w:sz w:val="20"/>
        </w:rPr>
        <w:t xml:space="preserve">arty, as here, received consideration for bearing the tax burden resulting from the sale and that the covenants did indeed have economic reality. </w:t>
      </w:r>
    </w:p>
    <w:p w14:paraId="286FB9D4" w14:textId="2C33A592" w:rsidR="00794F02" w:rsidRDefault="00D50D66" w:rsidP="00794F02">
      <w:pPr>
        <w:widowControl w:val="0"/>
        <w:spacing w:before="200" w:line="260" w:lineRule="atLeast"/>
        <w:jc w:val="both"/>
        <w:rPr>
          <w:rFonts w:ascii="Times" w:eastAsia="Times" w:hAnsi="Times" w:cs="Times"/>
          <w:color w:val="000000"/>
          <w:sz w:val="20"/>
        </w:rPr>
      </w:pPr>
      <w:bookmarkStart w:id="36" w:name="Bookmark_para_23"/>
      <w:bookmarkEnd w:id="36"/>
      <w:r>
        <w:rPr>
          <w:rFonts w:ascii="Times" w:eastAsia="Times" w:hAnsi="Times" w:cs="Times"/>
          <w:color w:val="000000"/>
          <w:sz w:val="20"/>
        </w:rPr>
        <w:t xml:space="preserve">For these reasons we adopt the following rule of law: </w:t>
      </w:r>
      <w:bookmarkStart w:id="37" w:name="Bookmark_LNHNREFclscc2"/>
      <w:bookmarkEnd w:id="37"/>
      <w:r>
        <w:rPr>
          <w:rFonts w:ascii="Times" w:eastAsia="Times" w:hAnsi="Times" w:cs="Times"/>
          <w:color w:val="000000"/>
          <w:sz w:val="20"/>
        </w:rPr>
        <w:t>a party can challenge the tax consequences of his agree</w:t>
      </w:r>
      <w:r>
        <w:rPr>
          <w:rFonts w:ascii="Times" w:eastAsia="Times" w:hAnsi="Times" w:cs="Times"/>
          <w:color w:val="000000"/>
          <w:sz w:val="20"/>
        </w:rPr>
        <w:t xml:space="preserve">ment as construed by the Commissioner only by adducing proof which in an action between the parties to the agreement would be admissible to alter that construction or to show its unenforceability because of mistake, undue influence, fraud, duress, etc.  </w:t>
      </w:r>
    </w:p>
    <w:p w14:paraId="735E5017" w14:textId="3A5C50B3" w:rsidR="00912D34" w:rsidRDefault="00D50D66" w:rsidP="00794F02">
      <w:pPr>
        <w:widowControl w:val="0"/>
        <w:spacing w:before="200" w:line="260" w:lineRule="atLeast"/>
        <w:jc w:val="both"/>
      </w:pPr>
      <w:bookmarkStart w:id="38" w:name="Bookmark_para_38"/>
      <w:bookmarkStart w:id="39" w:name="Bookmark_I4G0434W0K1MNJ3KH0000400_2"/>
      <w:bookmarkStart w:id="40" w:name="Bookmark_para_39"/>
      <w:bookmarkStart w:id="41" w:name="Bookmark_para_41"/>
      <w:bookmarkStart w:id="42" w:name="Bookmark_para_42"/>
      <w:bookmarkStart w:id="43" w:name="Bookmark_I4G0434W0K1MNJ3MM0000400"/>
      <w:bookmarkStart w:id="44" w:name="Bookmark_para_47"/>
      <w:bookmarkEnd w:id="38"/>
      <w:bookmarkEnd w:id="39"/>
      <w:bookmarkEnd w:id="40"/>
      <w:bookmarkEnd w:id="41"/>
      <w:bookmarkEnd w:id="42"/>
      <w:bookmarkEnd w:id="43"/>
      <w:bookmarkEnd w:id="44"/>
      <w:r>
        <w:rPr>
          <w:rFonts w:ascii="Times" w:eastAsia="Times" w:hAnsi="Times" w:cs="Times"/>
          <w:color w:val="000000"/>
          <w:sz w:val="20"/>
        </w:rPr>
        <w:t xml:space="preserve">Therefore, the decision of the Tax Court which disallowed the Commissioner's assessments must be vacated. </w:t>
      </w:r>
      <w:bookmarkStart w:id="45" w:name="Dissent_by"/>
      <w:bookmarkEnd w:id="45"/>
    </w:p>
    <w:p w14:paraId="04337E5E" w14:textId="77777777" w:rsidR="00912D34" w:rsidRDefault="00D50D66">
      <w:pPr>
        <w:ind w:left="200"/>
      </w:pPr>
      <w:r>
        <w:br/>
      </w:r>
      <w:r w:rsidR="00AA18CF">
        <w:rPr>
          <w:noProof/>
        </w:rPr>
        <mc:AlternateContent>
          <mc:Choice Requires="wps">
            <w:drawing>
              <wp:anchor distT="0" distB="0" distL="114300" distR="114300" simplePos="0" relativeHeight="251660288" behindDoc="0" locked="0" layoutInCell="1" allowOverlap="1" wp14:anchorId="51610C00" wp14:editId="13163278">
                <wp:simplePos x="0" y="0"/>
                <wp:positionH relativeFrom="column">
                  <wp:posOffset>0</wp:posOffset>
                </wp:positionH>
                <wp:positionV relativeFrom="paragraph">
                  <wp:posOffset>127000</wp:posOffset>
                </wp:positionV>
                <wp:extent cx="6502400"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565575"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" strokeweight="1pt">
                <o:lock v:ext="edit" shapetype="f"/>
              </v:line>
            </w:pict>
          </mc:Fallback>
        </mc:AlternateContent>
      </w:r>
      <w:r>
        <w:rPr>
          <w:rFonts w:ascii="Times" w:eastAsia="Times" w:hAnsi="Times" w:cs="Times"/>
          <w:b/>
          <w:color w:val="767676"/>
          <w:sz w:val="16"/>
        </w:rPr>
        <w:t>End of Document</w:t>
      </w:r>
    </w:p>
    <w:sectPr w:rsidR="00912D34">
      <w:type w:val="continuous"/>
      <w:pgSz w:w="12240" w:h="15840"/>
      <w:pgMar w:top="840" w:right="1000" w:bottom="840" w:left="1000" w:header="400" w:footer="400"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18499" w14:textId="77777777" w:rsidR="00D50D66" w:rsidRDefault="00D50D66">
      <w:r>
        <w:separator/>
      </w:r>
    </w:p>
  </w:endnote>
  <w:endnote w:type="continuationSeparator" w:id="0">
    <w:p w14:paraId="38ECD705" w14:textId="77777777" w:rsidR="00D50D66" w:rsidRDefault="00D50D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altName w:val="times"/>
    <w:panose1 w:val="00000500000000020000"/>
    <w:charset w:val="00"/>
    <w:family w:val="auto"/>
    <w:pitch w:val="variable"/>
    <w:sig w:usb0="E00002FF" w:usb1="5000205A"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912D34" w14:paraId="6D660D18" w14:textId="77777777">
      <w:trPr>
        <w:jc w:val="center"/>
      </w:trPr>
      <w:tc>
        <w:tcPr>
          <w:tcW w:w="2600" w:type="dxa"/>
          <w:tcMar>
            <w:top w:w="200" w:type="dxa"/>
          </w:tcMar>
          <w:vAlign w:val="center"/>
        </w:tcPr>
        <w:p w14:paraId="5CD34B55" w14:textId="77777777" w:rsidR="00912D34" w:rsidRDefault="00912D34"/>
      </w:tc>
      <w:tc>
        <w:tcPr>
          <w:tcW w:w="4880" w:type="dxa"/>
          <w:tcMar>
            <w:top w:w="200" w:type="dxa"/>
          </w:tcMar>
          <w:vAlign w:val="center"/>
        </w:tcPr>
        <w:p w14:paraId="30FDD951" w14:textId="77777777" w:rsidR="00912D34" w:rsidRDefault="00912D34">
          <w:pPr>
            <w:jc w:val="center"/>
          </w:pPr>
        </w:p>
      </w:tc>
      <w:tc>
        <w:tcPr>
          <w:tcW w:w="2600" w:type="dxa"/>
          <w:tcMar>
            <w:top w:w="200" w:type="dxa"/>
          </w:tcMar>
          <w:vAlign w:val="center"/>
        </w:tcPr>
        <w:p w14:paraId="1586BF50" w14:textId="77777777" w:rsidR="00912D34" w:rsidRDefault="00D50D66">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AA18CF">
            <w:rPr>
              <w:rFonts w:ascii="Arial" w:eastAsia="Arial" w:hAnsi="Arial" w:cs="Arial"/>
              <w:noProof/>
              <w:sz w:val="20"/>
            </w:rPr>
            <w:t>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AA18CF">
            <w:rPr>
              <w:rFonts w:ascii="Arial" w:eastAsia="Arial" w:hAnsi="Arial" w:cs="Arial"/>
              <w:noProof/>
              <w:sz w:val="20"/>
            </w:rPr>
            <w:t>3</w:t>
          </w:r>
          <w:r>
            <w:rPr>
              <w:rFonts w:ascii="Arial" w:eastAsia="Arial" w:hAnsi="Arial" w:cs="Arial"/>
              <w:sz w:val="20"/>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533A1" w14:textId="77777777" w:rsidR="00912D34" w:rsidRDefault="00912D34">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8EEA3" w14:textId="77777777" w:rsidR="00D50D66" w:rsidRDefault="00D50D66">
      <w:r>
        <w:separator/>
      </w:r>
    </w:p>
  </w:footnote>
  <w:footnote w:type="continuationSeparator" w:id="0">
    <w:p w14:paraId="558CE4A0" w14:textId="77777777" w:rsidR="00D50D66" w:rsidRDefault="00D50D66">
      <w:r>
        <w:continuationSeparator/>
      </w:r>
    </w:p>
  </w:footnote>
  <w:footnote w:id="1">
    <w:p w14:paraId="01B6FD95" w14:textId="77777777" w:rsidR="00912D34" w:rsidRDefault="00D50D66">
      <w:pPr>
        <w:widowControl w:val="0"/>
        <w:spacing w:before="120" w:line="240" w:lineRule="atLeast"/>
        <w:jc w:val="both"/>
      </w:pPr>
      <w:r>
        <w:rPr>
          <w:rFonts w:ascii="Times" w:eastAsia="Times" w:hAnsi="Times" w:cs="Times"/>
          <w:color w:val="000000"/>
          <w:sz w:val="18"/>
          <w:vertAlign w:val="superscript"/>
        </w:rPr>
        <w:t>3 </w:t>
      </w:r>
      <w:bookmarkStart w:id="14" w:name="Bookmark_fnpara_3"/>
      <w:bookmarkEnd w:id="14"/>
      <w:r>
        <w:rPr>
          <w:rFonts w:ascii="Times" w:eastAsia="Times" w:hAnsi="Times" w:cs="Times"/>
          <w:color w:val="000000"/>
          <w:sz w:val="18"/>
        </w:rPr>
        <w:t>Thrift amortized that part of the payment which had been allocated to the covenant not to compete and the Commissioner has preserved his position with respect to that matter, presumably pending this determination.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912D34" w14:paraId="1B48558F" w14:textId="77777777">
      <w:trPr>
        <w:jc w:val="center"/>
      </w:trPr>
      <w:tc>
        <w:tcPr>
          <w:tcW w:w="10080" w:type="dxa"/>
          <w:vAlign w:val="center"/>
        </w:tcPr>
        <w:p w14:paraId="000A0401" w14:textId="77777777" w:rsidR="00912D34" w:rsidRDefault="00912D34"/>
      </w:tc>
    </w:tr>
    <w:tr w:rsidR="00912D34" w14:paraId="47CF0E0F" w14:textId="77777777">
      <w:trPr>
        <w:jc w:val="center"/>
      </w:trPr>
      <w:tc>
        <w:tcPr>
          <w:tcW w:w="10080" w:type="dxa"/>
        </w:tcPr>
        <w:p w14:paraId="41071575" w14:textId="77777777" w:rsidR="00912D34" w:rsidRDefault="00D50D66">
          <w:pPr>
            <w:spacing w:before="60" w:after="200"/>
            <w:jc w:val="center"/>
          </w:pPr>
          <w:r>
            <w:rPr>
              <w:rFonts w:ascii="Times" w:eastAsia="Times" w:hAnsi="Times" w:cs="Times"/>
              <w:sz w:val="20"/>
            </w:rPr>
            <w:t>Commissioner v. Danielson</w:t>
          </w: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544AA4"/>
    <w:rsid w:val="006B6535"/>
    <w:rsid w:val="00794F02"/>
    <w:rsid w:val="00912D34"/>
    <w:rsid w:val="00A77B3E"/>
    <w:rsid w:val="00AA18CF"/>
    <w:rsid w:val="00CA2A55"/>
    <w:rsid w:val="00D50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F24931"/>
  <w15:docId w15:val="{070C0B48-39F4-E143-972B-11F16D872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1571</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Commissioner v. Danielson</vt:lpstr>
    </vt:vector>
  </TitlesOfParts>
  <Company/>
  <LinksUpToDate>false</LinksUpToDate>
  <CharactersWithSpaces>10511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Commissioner v. Danielson</dc:title>
  <cp:lastModifiedBy>Jeffrey M. Colon</cp:lastModifiedBy>
  <cp:revision>2</cp:revision>
  <dcterms:created xsi:type="dcterms:W3CDTF">2022-03-21T03:43:00Z</dcterms:created>
  <dcterms:modified xsi:type="dcterms:W3CDTF">2022-03-21T03:43:00Z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167025590</vt:lpwstr>
  </property>
  <property fmtid="{D5CDD505-2E9C-101B-9397-08002B2CF9AE}" pid="3" name="LADocCount">
    <vt:lpwstr>1</vt:lpwstr>
  </property>
  <property fmtid="{D5CDD505-2E9C-101B-9397-08002B2CF9AE}" pid="4" name="UserPermID">
    <vt:lpwstr>urn:user:PA901699</vt:lpwstr>
  </property>
</Properties>
</file>