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5FB159" w14:textId="77777777" w:rsidR="00EC187B" w:rsidRDefault="00EC187B">
      <w:pPr>
        <w:sectPr w:rsidR="00EC187B">
          <w:headerReference w:type="default" r:id="rId6"/>
          <w:footerReference w:type="default" r:id="rId7"/>
          <w:footerReference w:type="first" r:id="rId8"/>
          <w:pgSz w:w="12240" w:h="15840"/>
          <w:pgMar w:top="840" w:right="1000" w:bottom="840" w:left="1000" w:header="400" w:footer="400" w:gutter="0"/>
          <w:cols w:space="720"/>
          <w:titlePg/>
        </w:sectPr>
      </w:pPr>
    </w:p>
    <w:p w14:paraId="7C5FB15A" w14:textId="77777777" w:rsidR="00EC187B" w:rsidRDefault="00EC187B">
      <w:bookmarkStart w:id="0" w:name="Bookmark_1"/>
      <w:bookmarkEnd w:id="0"/>
    </w:p>
    <w:p w14:paraId="7C5FB15B" w14:textId="77777777" w:rsidR="00EC187B" w:rsidRDefault="00434380">
      <w:pPr>
        <w:pStyle w:val="Heading1"/>
        <w:keepNext w:val="0"/>
        <w:widowControl w:val="0"/>
        <w:spacing w:after="200" w:line="340" w:lineRule="atLeast"/>
        <w:jc w:val="center"/>
      </w:pPr>
      <w:r>
        <w:rPr>
          <w:rFonts w:ascii="Times" w:eastAsia="Times" w:hAnsi="Times" w:cs="Times"/>
          <w:color w:val="000000"/>
          <w:sz w:val="28"/>
        </w:rPr>
        <w:t>Lynch v. Commissioner</w:t>
      </w:r>
    </w:p>
    <w:p w14:paraId="7C5FB169" w14:textId="7FAD10DD" w:rsidR="00EC187B" w:rsidRDefault="00434380" w:rsidP="007639D0">
      <w:pPr>
        <w:widowControl w:val="0"/>
        <w:spacing w:before="120" w:line="260" w:lineRule="atLeast"/>
        <w:jc w:val="center"/>
      </w:pPr>
      <w:r>
        <w:rPr>
          <w:rFonts w:ascii="Times" w:eastAsia="Times" w:hAnsi="Times" w:cs="Times"/>
          <w:color w:val="000000"/>
          <w:sz w:val="20"/>
        </w:rPr>
        <w:t>United States Court of Appeals for the Ninth Circuit</w:t>
      </w:r>
      <w:r w:rsidR="00E41986">
        <w:rPr>
          <w:rFonts w:ascii="Times" w:eastAsia="Times" w:hAnsi="Times" w:cs="Times"/>
          <w:color w:val="000000"/>
          <w:sz w:val="20"/>
        </w:rPr>
        <w:t>, 198</w:t>
      </w:r>
      <w:bookmarkStart w:id="1" w:name="Reporter"/>
      <w:bookmarkStart w:id="2" w:name="Opinion"/>
      <w:bookmarkEnd w:id="1"/>
      <w:bookmarkEnd w:id="2"/>
      <w:r w:rsidR="006C0AD3">
        <w:rPr>
          <w:rFonts w:ascii="Times" w:eastAsia="Times" w:hAnsi="Times" w:cs="Times"/>
          <w:color w:val="000000"/>
          <w:sz w:val="20"/>
        </w:rPr>
        <w:t>6</w:t>
      </w:r>
    </w:p>
    <w:p w14:paraId="7C5FB16B" w14:textId="6063FA32" w:rsidR="00EC187B" w:rsidRDefault="008F5C82" w:rsidP="00E41986">
      <w:pPr>
        <w:spacing w:line="60" w:lineRule="exact"/>
      </w:pPr>
      <w:r>
        <w:rPr>
          <w:noProof/>
        </w:rPr>
      </w:r>
      <w:r w:rsidR="008F5C82">
        <w:rPr>
          <w:noProof/>
        </w:rPr>
        <w:pict w14:anchorId="7C5FB193">
          <v:line id="_x0000_s1027" alt="" style="position:absolute;z-index:251658240;mso-wrap-edited:f;mso-width-percent:0;mso-height-percent:0;mso-width-percent:0;mso-height-percent:0" from="0,2pt" to="251pt,2pt" strokecolor="#009ddb" strokeweight="2pt">
            <w10:wrap type="topAndBottom"/>
          </v:line>
        </w:pict>
      </w:r>
    </w:p>
    <w:p w14:paraId="7C5FB16D" w14:textId="38C6C91B" w:rsidR="00EC187B" w:rsidRDefault="00434380">
      <w:pPr>
        <w:widowControl w:val="0"/>
        <w:spacing w:before="200" w:line="260" w:lineRule="atLeast"/>
        <w:jc w:val="both"/>
      </w:pPr>
      <w:bookmarkStart w:id="3" w:name="Bookmark_para_2"/>
      <w:bookmarkEnd w:id="3"/>
      <w:r>
        <w:rPr>
          <w:rFonts w:ascii="Times" w:eastAsia="Times" w:hAnsi="Times" w:cs="Times"/>
          <w:color w:val="000000"/>
          <w:sz w:val="20"/>
        </w:rPr>
        <w:t xml:space="preserve">HALL, Circuit Judge: </w:t>
      </w:r>
      <w:bookmarkStart w:id="4" w:name="Bookmark_para_3"/>
      <w:bookmarkEnd w:id="4"/>
    </w:p>
    <w:p w14:paraId="7C5FB16E" w14:textId="77777777" w:rsidR="00EC187B" w:rsidRDefault="00434380">
      <w:pPr>
        <w:widowControl w:val="0"/>
        <w:spacing w:before="200" w:line="260" w:lineRule="atLeast"/>
        <w:jc w:val="both"/>
      </w:pPr>
      <w:bookmarkStart w:id="5" w:name="Bookmark_para_4"/>
      <w:bookmarkEnd w:id="5"/>
      <w:r>
        <w:rPr>
          <w:rFonts w:ascii="Times" w:eastAsia="Times" w:hAnsi="Times" w:cs="Times"/>
          <w:color w:val="000000"/>
          <w:sz w:val="20"/>
        </w:rPr>
        <w:t xml:space="preserve">I </w:t>
      </w:r>
    </w:p>
    <w:p w14:paraId="7C5FB16F" w14:textId="491FC9D6" w:rsidR="00EC187B" w:rsidRDefault="00434380">
      <w:pPr>
        <w:widowControl w:val="0"/>
        <w:spacing w:before="200" w:line="260" w:lineRule="atLeast"/>
        <w:jc w:val="both"/>
      </w:pPr>
      <w:bookmarkStart w:id="6" w:name="Bookmark_para_5"/>
      <w:bookmarkEnd w:id="6"/>
      <w:r>
        <w:rPr>
          <w:rFonts w:ascii="Times" w:eastAsia="Times" w:hAnsi="Times" w:cs="Times"/>
          <w:color w:val="000000"/>
          <w:sz w:val="20"/>
        </w:rPr>
        <w:t xml:space="preserve">Taxpayers, William and </w:t>
      </w:r>
      <w:proofErr w:type="spellStart"/>
      <w:r>
        <w:rPr>
          <w:rFonts w:ascii="Times" w:eastAsia="Times" w:hAnsi="Times" w:cs="Times"/>
          <w:color w:val="000000"/>
          <w:sz w:val="20"/>
        </w:rPr>
        <w:t>Mima</w:t>
      </w:r>
      <w:proofErr w:type="spellEnd"/>
      <w:r>
        <w:rPr>
          <w:rFonts w:ascii="Times" w:eastAsia="Times" w:hAnsi="Times" w:cs="Times"/>
          <w:color w:val="000000"/>
          <w:sz w:val="20"/>
        </w:rPr>
        <w:t xml:space="preserve"> Lynch, formed the W.</w:t>
      </w:r>
      <w:r>
        <w:rPr>
          <w:rFonts w:ascii="Times" w:eastAsia="Times" w:hAnsi="Times" w:cs="Times"/>
          <w:color w:val="000000"/>
          <w:sz w:val="20"/>
        </w:rPr>
        <w:t>M. Lynch Co. on April 1, 1960. The corporation issued all of its outstanding stock to William Lynch (taxpayer). The taxpayer specialized in leasing cast-in-place  </w:t>
      </w:r>
      <w:r w:rsidR="008F5C82">
        <w:rPr>
          <w:rFonts w:ascii="Times" w:eastAsia="Times" w:hAnsi="Times" w:cs="Times"/>
          <w:color w:val="000000"/>
          <w:sz w:val="20"/>
        </w:rPr>
        <w:t xml:space="preserve"> </w:t>
      </w:r>
      <w:r>
        <w:rPr>
          <w:rFonts w:ascii="Times" w:eastAsia="Times" w:hAnsi="Times" w:cs="Times"/>
          <w:color w:val="000000"/>
          <w:sz w:val="20"/>
        </w:rPr>
        <w:t xml:space="preserve">concrete pipe machines. </w:t>
      </w:r>
      <w:r>
        <w:rPr>
          <w:rFonts w:ascii="Times" w:eastAsia="Times" w:hAnsi="Times" w:cs="Times"/>
          <w:color w:val="000000"/>
          <w:sz w:val="20"/>
        </w:rPr>
        <w:t>He owned the machines individually but leased them to the</w:t>
      </w:r>
      <w:r>
        <w:rPr>
          <w:rFonts w:ascii="Times" w:eastAsia="Times" w:hAnsi="Times" w:cs="Times"/>
          <w:color w:val="000000"/>
          <w:sz w:val="20"/>
        </w:rPr>
        <w:t xml:space="preserve"> corporation which in turn subleased the equipment to independent contractors. </w:t>
      </w:r>
    </w:p>
    <w:p w14:paraId="7C5FB170" w14:textId="3B025C74" w:rsidR="00EC187B" w:rsidRDefault="00434380">
      <w:pPr>
        <w:widowControl w:val="0"/>
        <w:spacing w:before="200" w:line="260" w:lineRule="atLeast"/>
        <w:jc w:val="both"/>
      </w:pPr>
      <w:bookmarkStart w:id="7" w:name="Bookmark_para_6"/>
      <w:bookmarkEnd w:id="7"/>
      <w:r>
        <w:rPr>
          <w:rFonts w:ascii="Times" w:eastAsia="Times" w:hAnsi="Times" w:cs="Times"/>
          <w:color w:val="000000"/>
          <w:sz w:val="20"/>
        </w:rPr>
        <w:t xml:space="preserve">On December 17, 1975 the taxpayer sold 50 shares of the corporation's stock to his son, Gilbert Lynch (Gilbert), for $17,170. Gilbert paid for the stock with a $16,000 </w:t>
      </w:r>
      <w:r>
        <w:rPr>
          <w:rFonts w:ascii="Times" w:eastAsia="Times" w:hAnsi="Times" w:cs="Times"/>
          <w:color w:val="000000"/>
          <w:sz w:val="20"/>
        </w:rPr>
        <w:t xml:space="preserve">check given to him by the taxpayer and $1,170 from his own savings. The taxpayer and his wife also resigned as directors and officers of the corporation on the same day. </w:t>
      </w:r>
    </w:p>
    <w:p w14:paraId="7C5FB171" w14:textId="77777777" w:rsidR="00EC187B" w:rsidRDefault="00434380">
      <w:pPr>
        <w:widowControl w:val="0"/>
        <w:spacing w:before="200" w:line="260" w:lineRule="atLeast"/>
        <w:jc w:val="both"/>
      </w:pPr>
      <w:bookmarkStart w:id="8" w:name="Bookmark_para_7"/>
      <w:bookmarkEnd w:id="8"/>
      <w:r>
        <w:rPr>
          <w:rFonts w:ascii="Times" w:eastAsia="Times" w:hAnsi="Times" w:cs="Times"/>
          <w:color w:val="000000"/>
          <w:sz w:val="20"/>
        </w:rPr>
        <w:t>On December 31, 1975 the corporation redeemed all 2300 shares of the taxpayer's stock</w:t>
      </w:r>
      <w:r>
        <w:rPr>
          <w:rFonts w:ascii="Times" w:eastAsia="Times" w:hAnsi="Times" w:cs="Times"/>
          <w:color w:val="000000"/>
          <w:sz w:val="20"/>
        </w:rPr>
        <w:t xml:space="preserve">. In exchange for his stock, the taxpayer received $17,900 of property and a promissory note for $771,920. Gilbert, as the sole remaining shareholder, pledged his 50 shares as a guarantee for the note. In the event that the corporation defaulted on any of </w:t>
      </w:r>
      <w:r>
        <w:rPr>
          <w:rFonts w:ascii="Times" w:eastAsia="Times" w:hAnsi="Times" w:cs="Times"/>
          <w:color w:val="000000"/>
          <w:sz w:val="20"/>
        </w:rPr>
        <w:t xml:space="preserve">the note payments, the taxpayer would have the right to vote or sell Gilbert's 50 shares. </w:t>
      </w:r>
    </w:p>
    <w:p w14:paraId="7C5FB172" w14:textId="5578BED5" w:rsidR="00EC187B" w:rsidRDefault="00434380">
      <w:pPr>
        <w:widowControl w:val="0"/>
        <w:spacing w:before="200" w:line="260" w:lineRule="atLeast"/>
        <w:jc w:val="both"/>
      </w:pPr>
      <w:bookmarkStart w:id="9" w:name="Bookmark_para_8"/>
      <w:bookmarkEnd w:id="9"/>
      <w:r>
        <w:rPr>
          <w:rFonts w:ascii="Times" w:eastAsia="Times" w:hAnsi="Times" w:cs="Times"/>
          <w:color w:val="000000"/>
          <w:sz w:val="20"/>
        </w:rPr>
        <w:t>In the years immediately preceding the redemption, Gilbert had assumed greater managerial responsibility in the corporation. He wished, however, to retain the taxpay</w:t>
      </w:r>
      <w:r>
        <w:rPr>
          <w:rFonts w:ascii="Times" w:eastAsia="Times" w:hAnsi="Times" w:cs="Times"/>
          <w:color w:val="000000"/>
          <w:sz w:val="20"/>
        </w:rPr>
        <w:t>er's technical expertise with cast-in-place concrete pipe machines. On the date of the redemption, the taxpayer also entered into a consulting agreement with the corporation. The consulting agreement provided the taxpayer with payments of $500 per month fo</w:t>
      </w:r>
      <w:r>
        <w:rPr>
          <w:rFonts w:ascii="Times" w:eastAsia="Times" w:hAnsi="Times" w:cs="Times"/>
          <w:color w:val="000000"/>
          <w:sz w:val="20"/>
        </w:rPr>
        <w:t>r five </w:t>
      </w:r>
      <w:r>
        <w:rPr>
          <w:rFonts w:ascii="Times" w:eastAsia="Times" w:hAnsi="Times" w:cs="Times"/>
          <w:color w:val="000000"/>
          <w:sz w:val="20"/>
        </w:rPr>
        <w:t xml:space="preserve">years, plus reimbursement for business related travel, entertainment, and automobile expenses. </w:t>
      </w:r>
      <w:r>
        <w:rPr>
          <w:rFonts w:ascii="Times" w:eastAsia="Times" w:hAnsi="Times" w:cs="Times"/>
          <w:color w:val="000000"/>
          <w:sz w:val="20"/>
        </w:rPr>
        <w:t>In February 1977, the corporation and the taxpayer mutually agreed to reduce the monthly payments to $250. The corporation never withheld payrol</w:t>
      </w:r>
      <w:r>
        <w:rPr>
          <w:rFonts w:ascii="Times" w:eastAsia="Times" w:hAnsi="Times" w:cs="Times"/>
          <w:color w:val="000000"/>
          <w:sz w:val="20"/>
        </w:rPr>
        <w:t xml:space="preserve">l taxes from payments made to the taxpayer. </w:t>
      </w:r>
    </w:p>
    <w:p w14:paraId="7C5FB173" w14:textId="77777777" w:rsidR="00EC187B" w:rsidRDefault="00434380">
      <w:pPr>
        <w:widowControl w:val="0"/>
        <w:spacing w:before="200" w:line="260" w:lineRule="atLeast"/>
        <w:jc w:val="both"/>
      </w:pPr>
      <w:bookmarkStart w:id="10" w:name="Bookmark_para_9"/>
      <w:bookmarkEnd w:id="10"/>
      <w:r>
        <w:rPr>
          <w:rFonts w:ascii="Times" w:eastAsia="Times" w:hAnsi="Times" w:cs="Times"/>
          <w:color w:val="000000"/>
          <w:sz w:val="20"/>
        </w:rPr>
        <w:t>After the redemption, the taxpayer shared his former office with Gilbert. The taxpayer came to the office daily for approximately one year; thereafter his appearances dwindled to about once or twice per week. Wh</w:t>
      </w:r>
      <w:r>
        <w:rPr>
          <w:rFonts w:ascii="Times" w:eastAsia="Times" w:hAnsi="Times" w:cs="Times"/>
          <w:color w:val="000000"/>
          <w:sz w:val="20"/>
        </w:rPr>
        <w:t xml:space="preserve">en the corporation moved to a new building in 1979, the taxpayer received a private office. </w:t>
      </w:r>
    </w:p>
    <w:p w14:paraId="7C5FB174" w14:textId="37DCB2AD" w:rsidR="00EC187B" w:rsidRDefault="00434380">
      <w:pPr>
        <w:widowControl w:val="0"/>
        <w:spacing w:before="200" w:line="260" w:lineRule="atLeast"/>
        <w:jc w:val="both"/>
      </w:pPr>
      <w:bookmarkStart w:id="11" w:name="Bookmark_para_10"/>
      <w:bookmarkEnd w:id="11"/>
      <w:r>
        <w:rPr>
          <w:rFonts w:ascii="Times" w:eastAsia="Times" w:hAnsi="Times" w:cs="Times"/>
          <w:color w:val="000000"/>
          <w:sz w:val="20"/>
        </w:rPr>
        <w:t>In addition to the consulting agreement, the taxpayer had other ties to the corporation. He remained covered by the corporation's group medical insurance policy un</w:t>
      </w:r>
      <w:r>
        <w:rPr>
          <w:rFonts w:ascii="Times" w:eastAsia="Times" w:hAnsi="Times" w:cs="Times"/>
          <w:color w:val="000000"/>
          <w:sz w:val="20"/>
        </w:rPr>
        <w:t>til 1980. When his coverage ended, the taxpayer had received the benefit of $4,487.54 in </w:t>
      </w:r>
      <w:r>
        <w:rPr>
          <w:rFonts w:ascii="Times" w:eastAsia="Times" w:hAnsi="Times" w:cs="Times"/>
          <w:color w:val="000000"/>
          <w:sz w:val="20"/>
        </w:rPr>
        <w:t>premiums paid by the corporation. He was also covered by a medical reimbursement plan, created the day of the redemption, which provided a maximum annual paymen</w:t>
      </w:r>
      <w:r>
        <w:rPr>
          <w:rFonts w:ascii="Times" w:eastAsia="Times" w:hAnsi="Times" w:cs="Times"/>
          <w:color w:val="000000"/>
          <w:sz w:val="20"/>
        </w:rPr>
        <w:t xml:space="preserve">t of $1,000 per member. Payments to the taxpayer under the plan totaled $96.05. </w:t>
      </w:r>
    </w:p>
    <w:p w14:paraId="7C5FB175" w14:textId="77777777" w:rsidR="00EC187B" w:rsidRDefault="00434380">
      <w:pPr>
        <w:widowControl w:val="0"/>
        <w:spacing w:before="200" w:line="260" w:lineRule="atLeast"/>
        <w:jc w:val="both"/>
      </w:pPr>
      <w:bookmarkStart w:id="12" w:name="Bookmark_para_11"/>
      <w:bookmarkEnd w:id="12"/>
      <w:r>
        <w:rPr>
          <w:rFonts w:ascii="Times" w:eastAsia="Times" w:hAnsi="Times" w:cs="Times"/>
          <w:color w:val="000000"/>
          <w:sz w:val="20"/>
        </w:rPr>
        <w:t xml:space="preserve">II </w:t>
      </w:r>
    </w:p>
    <w:p w14:paraId="7C5FB176" w14:textId="50D30250" w:rsidR="00EC187B" w:rsidRDefault="00434380">
      <w:pPr>
        <w:widowControl w:val="0"/>
        <w:spacing w:before="200" w:line="260" w:lineRule="atLeast"/>
        <w:jc w:val="both"/>
      </w:pPr>
      <w:bookmarkStart w:id="13" w:name="Bookmark_para_12"/>
      <w:bookmarkEnd w:id="13"/>
      <w:r>
        <w:rPr>
          <w:rFonts w:ascii="Times" w:eastAsia="Times" w:hAnsi="Times" w:cs="Times"/>
          <w:color w:val="000000"/>
          <w:sz w:val="20"/>
        </w:rPr>
        <w:t>We must decide whether the redemption of the taxpayer's stock in this case is taxable as a dividend distribution under 26 U.S.C. § 301 or as long-term capital gain under 2</w:t>
      </w:r>
      <w:r>
        <w:rPr>
          <w:rFonts w:ascii="Times" w:eastAsia="Times" w:hAnsi="Times" w:cs="Times"/>
          <w:color w:val="000000"/>
          <w:sz w:val="20"/>
        </w:rPr>
        <w:t>6 U.S.C. § 302(a).</w:t>
      </w:r>
      <w:r w:rsidR="00AF24B0">
        <w:rPr>
          <w:rFonts w:ascii="Times" w:eastAsia="Times" w:hAnsi="Times" w:cs="Times"/>
          <w:vertAlign w:val="superscript"/>
        </w:rPr>
        <w:footnoteReference w:customMarkFollows="1" w:id="1"/>
        <w:t>4</w:t>
      </w:r>
      <w:r w:rsidR="00AF24B0">
        <w:rPr>
          <w:rFonts w:ascii="Times" w:eastAsia="Times" w:hAnsi="Times" w:cs="Times"/>
          <w:color w:val="000000"/>
          <w:sz w:val="20"/>
        </w:rPr>
        <w:t xml:space="preserve"> </w:t>
      </w:r>
      <w:r>
        <w:rPr>
          <w:rFonts w:ascii="Times" w:eastAsia="Times" w:hAnsi="Times" w:cs="Times"/>
          <w:color w:val="000000"/>
          <w:sz w:val="20"/>
        </w:rPr>
        <w:t xml:space="preserve"> </w:t>
      </w:r>
    </w:p>
    <w:p w14:paraId="7C5FB177" w14:textId="4A0C9B77" w:rsidR="00EC187B" w:rsidRDefault="00434380">
      <w:pPr>
        <w:widowControl w:val="0"/>
        <w:spacing w:before="200" w:line="260" w:lineRule="atLeast"/>
        <w:jc w:val="both"/>
      </w:pPr>
      <w:bookmarkStart w:id="15" w:name="Bookmark_para_13"/>
      <w:bookmarkEnd w:id="15"/>
      <w:r>
        <w:rPr>
          <w:rFonts w:ascii="Times" w:eastAsia="Times" w:hAnsi="Times" w:cs="Times"/>
          <w:color w:val="000000"/>
          <w:sz w:val="20"/>
        </w:rPr>
        <w:t xml:space="preserve">Section 302(b)(3) </w:t>
      </w:r>
      <w:bookmarkStart w:id="16" w:name="Bookmark_LNHNREFclscc2"/>
      <w:bookmarkEnd w:id="16"/>
      <w:r>
        <w:rPr>
          <w:rFonts w:ascii="Times" w:eastAsia="Times" w:hAnsi="Times" w:cs="Times"/>
          <w:color w:val="000000"/>
          <w:sz w:val="20"/>
        </w:rPr>
        <w:t>provides that a shareholder is entitled to</w:t>
      </w:r>
      <w:r>
        <w:rPr>
          <w:rFonts w:ascii="Times" w:eastAsia="Times" w:hAnsi="Times" w:cs="Times"/>
          <w:color w:val="000000"/>
          <w:sz w:val="20"/>
        </w:rPr>
        <w:t xml:space="preserve"> sale or exchange treatment if the corporation redeems </w:t>
      </w:r>
      <w:proofErr w:type="gramStart"/>
      <w:r>
        <w:rPr>
          <w:rFonts w:ascii="Times" w:eastAsia="Times" w:hAnsi="Times" w:cs="Times"/>
          <w:color w:val="000000"/>
          <w:sz w:val="20"/>
        </w:rPr>
        <w:t>all of</w:t>
      </w:r>
      <w:proofErr w:type="gramEnd"/>
      <w:r>
        <w:rPr>
          <w:rFonts w:ascii="Times" w:eastAsia="Times" w:hAnsi="Times" w:cs="Times"/>
          <w:color w:val="000000"/>
          <w:sz w:val="20"/>
        </w:rPr>
        <w:t xml:space="preserve"> the shareholder's stock. In order to determine whether there is a complete redemption for purposes of section 302(b)(3), the family attribution rules of section 318(a) must be applied unless the</w:t>
      </w:r>
      <w:r>
        <w:rPr>
          <w:rFonts w:ascii="Times" w:eastAsia="Times" w:hAnsi="Times" w:cs="Times"/>
          <w:color w:val="000000"/>
          <w:sz w:val="20"/>
        </w:rPr>
        <w:t xml:space="preserve"> requirements of section 302(c)(2) are satisfied. Here, if the family attribution rules apply, the taxpayer will be deemed to own constructively the 50 shares held by Gilbert (100% of the corporation's stock) and the transaction would not qualify as a comp</w:t>
      </w:r>
      <w:r>
        <w:rPr>
          <w:rFonts w:ascii="Times" w:eastAsia="Times" w:hAnsi="Times" w:cs="Times"/>
          <w:color w:val="000000"/>
          <w:sz w:val="20"/>
        </w:rPr>
        <w:t xml:space="preserve">lete redemption within the meaning of section 302(b)(3). </w:t>
      </w:r>
    </w:p>
    <w:p w14:paraId="7C5FB178" w14:textId="77777777" w:rsidR="00EC187B" w:rsidRDefault="00434380">
      <w:pPr>
        <w:widowControl w:val="0"/>
        <w:spacing w:before="200" w:line="260" w:lineRule="atLeast"/>
        <w:jc w:val="both"/>
      </w:pPr>
      <w:bookmarkStart w:id="17" w:name="Bookmark_para_14"/>
      <w:bookmarkEnd w:id="17"/>
      <w:r>
        <w:rPr>
          <w:rFonts w:ascii="Times" w:eastAsia="Times" w:hAnsi="Times" w:cs="Times"/>
          <w:color w:val="000000"/>
          <w:sz w:val="20"/>
        </w:rPr>
        <w:t xml:space="preserve">Section 302(c)(2)(A) states in relevant part: </w:t>
      </w:r>
    </w:p>
    <w:p w14:paraId="7C5FB179" w14:textId="77777777" w:rsidR="00EC187B" w:rsidRDefault="00434380">
      <w:pPr>
        <w:widowControl w:val="0"/>
        <w:spacing w:line="260" w:lineRule="atLeast"/>
        <w:ind w:left="400"/>
        <w:jc w:val="both"/>
      </w:pPr>
      <w:bookmarkStart w:id="18" w:name="Bookmark_para_15"/>
      <w:bookmarkEnd w:id="18"/>
      <w:r>
        <w:rPr>
          <w:rFonts w:ascii="Times" w:eastAsia="Times" w:hAnsi="Times" w:cs="Times"/>
          <w:color w:val="000000"/>
          <w:sz w:val="20"/>
        </w:rPr>
        <w:t xml:space="preserve">In the case of a distribution described in subsection (b)(3), [the family attribution rules in] section 318(a)(1) shall not apply if -- </w:t>
      </w:r>
    </w:p>
    <w:p w14:paraId="7C5FB17A" w14:textId="77777777" w:rsidR="00EC187B" w:rsidRDefault="00434380">
      <w:pPr>
        <w:widowControl w:val="0"/>
        <w:spacing w:before="200" w:line="260" w:lineRule="atLeast"/>
        <w:ind w:left="400"/>
        <w:jc w:val="both"/>
      </w:pPr>
      <w:bookmarkStart w:id="19" w:name="Bookmark_para_16"/>
      <w:bookmarkEnd w:id="19"/>
      <w:r>
        <w:rPr>
          <w:rFonts w:ascii="Times" w:eastAsia="Times" w:hAnsi="Times" w:cs="Times"/>
          <w:color w:val="000000"/>
          <w:sz w:val="20"/>
        </w:rPr>
        <w:t>(</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immediately after the distribution the </w:t>
      </w:r>
      <w:proofErr w:type="spellStart"/>
      <w:r>
        <w:rPr>
          <w:rFonts w:ascii="Times" w:eastAsia="Times" w:hAnsi="Times" w:cs="Times"/>
          <w:color w:val="000000"/>
          <w:sz w:val="20"/>
        </w:rPr>
        <w:t>distributee</w:t>
      </w:r>
      <w:proofErr w:type="spellEnd"/>
      <w:r>
        <w:rPr>
          <w:rFonts w:ascii="Times" w:eastAsia="Times" w:hAnsi="Times" w:cs="Times"/>
          <w:color w:val="000000"/>
          <w:sz w:val="20"/>
        </w:rPr>
        <w:t> [**7]  has no interest in the corporation (including an interest</w:t>
      </w:r>
      <w:r>
        <w:rPr>
          <w:rFonts w:ascii="Times" w:eastAsia="Times" w:hAnsi="Times" w:cs="Times"/>
          <w:color w:val="000000"/>
          <w:sz w:val="20"/>
        </w:rPr>
        <w:t xml:space="preserve"> as officer, director, or employee), other than an interest as a creditor. . . .</w:t>
      </w:r>
    </w:p>
    <w:p w14:paraId="7C5FB17B" w14:textId="77777777" w:rsidR="00EC187B" w:rsidRDefault="00434380">
      <w:pPr>
        <w:widowControl w:val="0"/>
        <w:spacing w:line="260" w:lineRule="atLeast"/>
        <w:jc w:val="both"/>
      </w:pPr>
      <w:r>
        <w:rPr>
          <w:rFonts w:ascii="Times" w:eastAsia="Times" w:hAnsi="Times" w:cs="Times"/>
          <w:color w:val="000000"/>
          <w:sz w:val="20"/>
        </w:rPr>
        <w:t>The Commissioner argues that in every case the performance of post-redemption services is a prohibited interest under section 302(c)(2)(A)(</w:t>
      </w:r>
      <w:proofErr w:type="spellStart"/>
      <w:r>
        <w:rPr>
          <w:rFonts w:ascii="Times" w:eastAsia="Times" w:hAnsi="Times" w:cs="Times"/>
          <w:color w:val="000000"/>
          <w:sz w:val="20"/>
        </w:rPr>
        <w:t>i</w:t>
      </w:r>
      <w:proofErr w:type="spellEnd"/>
      <w:r>
        <w:rPr>
          <w:rFonts w:ascii="Times" w:eastAsia="Times" w:hAnsi="Times" w:cs="Times"/>
          <w:color w:val="000000"/>
          <w:sz w:val="20"/>
        </w:rPr>
        <w:t>), regardless of whether the taxpay</w:t>
      </w:r>
      <w:r>
        <w:rPr>
          <w:rFonts w:ascii="Times" w:eastAsia="Times" w:hAnsi="Times" w:cs="Times"/>
          <w:color w:val="000000"/>
          <w:sz w:val="20"/>
        </w:rPr>
        <w:t xml:space="preserve">er is an officer, director, employee, or independent contractor. </w:t>
      </w:r>
    </w:p>
    <w:p w14:paraId="7C5FB17C" w14:textId="77777777" w:rsidR="00EC187B" w:rsidRDefault="00434380">
      <w:pPr>
        <w:widowControl w:val="0"/>
        <w:spacing w:before="200" w:line="260" w:lineRule="atLeast"/>
        <w:jc w:val="both"/>
      </w:pPr>
      <w:bookmarkStart w:id="20" w:name="Bookmark_para_17"/>
      <w:bookmarkStart w:id="21" w:name="Bookmark_I4FMYMBG0K1MNJ3VT0000400"/>
      <w:bookmarkEnd w:id="20"/>
      <w:bookmarkEnd w:id="21"/>
      <w:r>
        <w:rPr>
          <w:rFonts w:ascii="Times" w:eastAsia="Times" w:hAnsi="Times" w:cs="Times"/>
          <w:color w:val="000000"/>
          <w:sz w:val="20"/>
        </w:rPr>
        <w:t>The Tax Court rejected the Commissioner's argument, finding that the services rendered by the taxpayer did not amount to a prohibited interest in the corporation. In reaching this conclusion</w:t>
      </w:r>
      <w:r>
        <w:rPr>
          <w:rFonts w:ascii="Times" w:eastAsia="Times" w:hAnsi="Times" w:cs="Times"/>
          <w:color w:val="000000"/>
          <w:sz w:val="20"/>
        </w:rPr>
        <w:t xml:space="preserve">, the Tax Court relied on a test derived from </w:t>
      </w:r>
      <w:bookmarkStart w:id="22" w:name="Bookmark_I4FMYMBG0K1MNJ3VS0000400"/>
      <w:bookmarkEnd w:id="22"/>
      <w:r>
        <w:rPr>
          <w:rFonts w:ascii="Times" w:eastAsia="Times" w:hAnsi="Times" w:cs="Times"/>
          <w:i/>
          <w:color w:val="000000"/>
          <w:sz w:val="20"/>
        </w:rPr>
        <w:t>Lewis v. Commissioner</w:t>
      </w:r>
      <w:r>
        <w:rPr>
          <w:rFonts w:ascii="Times" w:eastAsia="Times" w:hAnsi="Times" w:cs="Times"/>
          <w:color w:val="000000"/>
          <w:sz w:val="20"/>
        </w:rPr>
        <w:t xml:space="preserve">, 47 T.C. 129, 136 (1966) (Simpson, J., concurring): </w:t>
      </w:r>
    </w:p>
    <w:p w14:paraId="7C5FB17D" w14:textId="77CD0538" w:rsidR="00EC187B" w:rsidRDefault="00434380">
      <w:pPr>
        <w:widowControl w:val="0"/>
        <w:spacing w:before="200" w:line="260" w:lineRule="atLeast"/>
        <w:ind w:left="400"/>
        <w:jc w:val="both"/>
      </w:pPr>
      <w:bookmarkStart w:id="23" w:name="Bookmark_para_18"/>
      <w:bookmarkStart w:id="24" w:name="Bookmark_I4FMYMBG0K1MNJ3VT0000400_2"/>
      <w:bookmarkEnd w:id="23"/>
      <w:bookmarkEnd w:id="24"/>
      <w:r>
        <w:rPr>
          <w:rFonts w:ascii="Times" w:eastAsia="Times" w:hAnsi="Times" w:cs="Times"/>
          <w:color w:val="000000"/>
          <w:sz w:val="20"/>
        </w:rPr>
        <w:lastRenderedPageBreak/>
        <w:t>Immediately after the enactment of the 1954 Code, it was recognized that section 302(c)(2)(A)(</w:t>
      </w:r>
      <w:proofErr w:type="spellStart"/>
      <w:r>
        <w:rPr>
          <w:rFonts w:ascii="Times" w:eastAsia="Times" w:hAnsi="Times" w:cs="Times"/>
          <w:color w:val="000000"/>
          <w:sz w:val="20"/>
        </w:rPr>
        <w:t>i</w:t>
      </w:r>
      <w:proofErr w:type="spellEnd"/>
      <w:r>
        <w:rPr>
          <w:rFonts w:ascii="Times" w:eastAsia="Times" w:hAnsi="Times" w:cs="Times"/>
          <w:color w:val="000000"/>
          <w:sz w:val="20"/>
        </w:rPr>
        <w:t>) did not prohibit office holding per se</w:t>
      </w:r>
      <w:r>
        <w:rPr>
          <w:rFonts w:ascii="Times" w:eastAsia="Times" w:hAnsi="Times" w:cs="Times"/>
          <w:color w:val="000000"/>
          <w:sz w:val="20"/>
        </w:rPr>
        <w:t xml:space="preserve">, but was concerned with a retained financial stake in the corporation, such as a profit-sharing plan, or in the creation of an ostensible sale that really changed nothing so far as corporate management was concerned. </w:t>
      </w:r>
      <w:bookmarkStart w:id="25" w:name="Bookmark_I4FMYMBG0K1MNJ3VW0000400"/>
      <w:bookmarkEnd w:id="25"/>
      <w:r>
        <w:rPr>
          <w:rFonts w:ascii="Times" w:eastAsia="Times" w:hAnsi="Times" w:cs="Times"/>
          <w:color w:val="000000"/>
          <w:sz w:val="20"/>
        </w:rPr>
        <w:t>Thus, in determining whether a prohibi</w:t>
      </w:r>
      <w:r>
        <w:rPr>
          <w:rFonts w:ascii="Times" w:eastAsia="Times" w:hAnsi="Times" w:cs="Times"/>
          <w:color w:val="000000"/>
          <w:sz w:val="20"/>
        </w:rPr>
        <w:t>ted interest has been retained under section 302(c)(2)(A)(</w:t>
      </w:r>
      <w:proofErr w:type="spellStart"/>
      <w:r>
        <w:rPr>
          <w:rFonts w:ascii="Times" w:eastAsia="Times" w:hAnsi="Times" w:cs="Times"/>
          <w:color w:val="000000"/>
          <w:sz w:val="20"/>
        </w:rPr>
        <w:t>i</w:t>
      </w:r>
      <w:proofErr w:type="spellEnd"/>
      <w:r>
        <w:rPr>
          <w:rFonts w:ascii="Times" w:eastAsia="Times" w:hAnsi="Times" w:cs="Times"/>
          <w:color w:val="000000"/>
          <w:sz w:val="20"/>
        </w:rPr>
        <w:t>), we must look to whether </w:t>
      </w:r>
      <w:r>
        <w:rPr>
          <w:rFonts w:ascii="Times" w:eastAsia="Times" w:hAnsi="Times" w:cs="Times"/>
          <w:color w:val="000000"/>
          <w:sz w:val="20"/>
        </w:rPr>
        <w:t xml:space="preserve">the former stockholder has either retained a financial stake in the corporation or continued to control the corporation and benefit by its operations. </w:t>
      </w:r>
      <w:bookmarkStart w:id="26" w:name="Bookmark_I4FMYMBG0K1MNJ3VW0000400_2"/>
      <w:bookmarkEnd w:id="26"/>
      <w:r>
        <w:rPr>
          <w:rFonts w:ascii="Times" w:eastAsia="Times" w:hAnsi="Times" w:cs="Times"/>
          <w:color w:val="000000"/>
          <w:sz w:val="20"/>
        </w:rPr>
        <w:t>In particula</w:t>
      </w:r>
      <w:r>
        <w:rPr>
          <w:rFonts w:ascii="Times" w:eastAsia="Times" w:hAnsi="Times" w:cs="Times"/>
          <w:color w:val="000000"/>
          <w:sz w:val="20"/>
        </w:rPr>
        <w:t>r, where the interest retained is not that of an officer, director, or employee, we must examine the facts and circumstances to determine whether a prohibited interest has been retained under section 302(c)(2)(A)(</w:t>
      </w:r>
      <w:proofErr w:type="spellStart"/>
      <w:r>
        <w:rPr>
          <w:rFonts w:ascii="Times" w:eastAsia="Times" w:hAnsi="Times" w:cs="Times"/>
          <w:color w:val="000000"/>
          <w:sz w:val="20"/>
        </w:rPr>
        <w:t>i</w:t>
      </w:r>
      <w:proofErr w:type="spellEnd"/>
      <w:r>
        <w:rPr>
          <w:rFonts w:ascii="Times" w:eastAsia="Times" w:hAnsi="Times" w:cs="Times"/>
          <w:color w:val="000000"/>
          <w:sz w:val="20"/>
        </w:rPr>
        <w:t>).</w:t>
      </w:r>
    </w:p>
    <w:p w14:paraId="4ED14EFA" w14:textId="77777777" w:rsidR="000C2CDC" w:rsidRDefault="00434380" w:rsidP="000C2CDC">
      <w:pPr>
        <w:widowControl w:val="0"/>
        <w:spacing w:line="260" w:lineRule="atLeast"/>
        <w:jc w:val="both"/>
      </w:pPr>
      <w:bookmarkStart w:id="27" w:name="Bookmark_I4FMYMBG0K1MNJ3VW0000400_3"/>
      <w:bookmarkEnd w:id="27"/>
      <w:r>
        <w:rPr>
          <w:rFonts w:ascii="Times" w:eastAsia="Times" w:hAnsi="Times" w:cs="Times"/>
          <w:color w:val="000000"/>
          <w:sz w:val="20"/>
        </w:rPr>
        <w:t xml:space="preserve"> </w:t>
      </w:r>
      <w:bookmarkStart w:id="28" w:name="Bookmark_I4FMYMBG0K1MNJ3VV0000400"/>
      <w:bookmarkStart w:id="29" w:name="Bookmark_para_19"/>
      <w:bookmarkStart w:id="30" w:name="Bookmark_I4FMYMBG0K1MNJ3VY0000400"/>
      <w:bookmarkStart w:id="31" w:name="Bookmark_I4FMYMBG0K1MNJ3W50000400"/>
      <w:bookmarkEnd w:id="28"/>
      <w:bookmarkEnd w:id="29"/>
      <w:bookmarkEnd w:id="30"/>
      <w:bookmarkEnd w:id="31"/>
    </w:p>
    <w:p w14:paraId="7C5FB181" w14:textId="1D39186E" w:rsidR="00EC187B" w:rsidRDefault="00434380" w:rsidP="000C2CDC">
      <w:pPr>
        <w:widowControl w:val="0"/>
        <w:spacing w:line="260" w:lineRule="atLeast"/>
        <w:jc w:val="both"/>
      </w:pPr>
      <w:r>
        <w:rPr>
          <w:rFonts w:ascii="Times" w:eastAsia="Times" w:hAnsi="Times" w:cs="Times"/>
          <w:color w:val="000000"/>
          <w:sz w:val="20"/>
        </w:rPr>
        <w:t>After citing the "control or financial stake" standard, the Tax Court engaged in a two-step analysis. First, the court concluded that the taxpayer was an independent contractor rather than an employee because</w:t>
      </w:r>
      <w:r>
        <w:rPr>
          <w:rFonts w:ascii="Times" w:eastAsia="Times" w:hAnsi="Times" w:cs="Times"/>
          <w:color w:val="000000"/>
          <w:sz w:val="20"/>
        </w:rPr>
        <w:t xml:space="preserve"> the corporation had no right under the consulting agreement to control his actions.</w:t>
      </w:r>
      <w:bookmarkStart w:id="32" w:name="Bookmark_I4FMYMBG0K1MNJ3VX0000400"/>
      <w:bookmarkEnd w:id="32"/>
      <w:r>
        <w:rPr>
          <w:rFonts w:ascii="Times" w:eastAsia="Times" w:hAnsi="Times" w:cs="Times"/>
          <w:color w:val="000000"/>
          <w:sz w:val="20"/>
        </w:rPr>
        <w:t xml:space="preserve"> </w:t>
      </w:r>
      <w:bookmarkStart w:id="33" w:name="Bookmark_I4FMYMBG0K1MNJ3W10000400"/>
      <w:bookmarkEnd w:id="33"/>
      <w:r>
        <w:rPr>
          <w:rFonts w:ascii="Times" w:eastAsia="Times" w:hAnsi="Times" w:cs="Times"/>
          <w:color w:val="000000"/>
          <w:sz w:val="20"/>
        </w:rPr>
        <w:t>Second, the court undertook a "facts and circumstances" analysis to determine whether the taxpayer had a financial stake in the corporation or managerial co</w:t>
      </w:r>
      <w:r>
        <w:rPr>
          <w:rFonts w:ascii="Times" w:eastAsia="Times" w:hAnsi="Times" w:cs="Times"/>
          <w:color w:val="000000"/>
          <w:sz w:val="20"/>
        </w:rPr>
        <w:t xml:space="preserve">ntrol after the redemption. Because the consulting agreement was not linked to the future profitability of the corporation, the court found that the taxpayer had no financial stake. </w:t>
      </w:r>
      <w:bookmarkStart w:id="34" w:name="Bookmark_I4FMYMBG0K1MNJ3W30000400"/>
      <w:bookmarkStart w:id="35" w:name="Bookmark_I4FMYMBG0K1MNJ3W00000400"/>
      <w:bookmarkStart w:id="36" w:name="Bookmark_I4FMYMBG0K1MNJ3W30000400_2"/>
      <w:bookmarkEnd w:id="34"/>
      <w:bookmarkEnd w:id="35"/>
      <w:bookmarkEnd w:id="36"/>
      <w:r>
        <w:rPr>
          <w:rFonts w:ascii="Times" w:eastAsia="Times" w:hAnsi="Times" w:cs="Times"/>
          <w:color w:val="000000"/>
          <w:sz w:val="20"/>
        </w:rPr>
        <w:t>The court also found no </w:t>
      </w:r>
      <w:r>
        <w:rPr>
          <w:rFonts w:ascii="Times" w:eastAsia="Times" w:hAnsi="Times" w:cs="Times"/>
          <w:color w:val="000000"/>
          <w:sz w:val="20"/>
        </w:rPr>
        <w:t>evidence that the taxpayer e</w:t>
      </w:r>
      <w:r>
        <w:rPr>
          <w:rFonts w:ascii="Times" w:eastAsia="Times" w:hAnsi="Times" w:cs="Times"/>
          <w:color w:val="000000"/>
          <w:sz w:val="20"/>
        </w:rPr>
        <w:t xml:space="preserve">xerted control over the corporation.  </w:t>
      </w:r>
      <w:bookmarkStart w:id="37" w:name="Bookmark_I4FMYMBG0K1MNJ3W20000400"/>
      <w:bookmarkEnd w:id="37"/>
      <w:r>
        <w:rPr>
          <w:rFonts w:ascii="Times" w:eastAsia="Times" w:hAnsi="Times" w:cs="Times"/>
          <w:color w:val="000000"/>
          <w:sz w:val="20"/>
        </w:rPr>
        <w:t>Thus, the Tax Court determined that the taxpayer held no interest prohibited by section 302(c)(2) (A)(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w:t>
      </w:r>
    </w:p>
    <w:p w14:paraId="7C5FB182" w14:textId="77777777" w:rsidR="00EC187B" w:rsidRDefault="00434380">
      <w:pPr>
        <w:widowControl w:val="0"/>
        <w:spacing w:before="200" w:line="260" w:lineRule="atLeast"/>
        <w:jc w:val="both"/>
      </w:pPr>
      <w:bookmarkStart w:id="38" w:name="Bookmark_para_20"/>
      <w:bookmarkEnd w:id="38"/>
      <w:r>
        <w:rPr>
          <w:rFonts w:ascii="Times" w:eastAsia="Times" w:hAnsi="Times" w:cs="Times"/>
          <w:color w:val="000000"/>
          <w:sz w:val="20"/>
        </w:rPr>
        <w:t xml:space="preserve">III </w:t>
      </w:r>
    </w:p>
    <w:p w14:paraId="7C5FB184" w14:textId="77777777" w:rsidR="00EC187B" w:rsidRDefault="00434380">
      <w:pPr>
        <w:widowControl w:val="0"/>
        <w:spacing w:before="200" w:line="260" w:lineRule="atLeast"/>
        <w:jc w:val="both"/>
      </w:pPr>
      <w:bookmarkStart w:id="39" w:name="Bookmark_para_21"/>
      <w:bookmarkStart w:id="40" w:name="Bookmark_I4FMYMBG0K1MNJ3W70000400"/>
      <w:bookmarkStart w:id="41" w:name="Bookmark_I4FMYMBG0K1MNJ3WC0000400"/>
      <w:bookmarkStart w:id="42" w:name="Bookmark_para_22"/>
      <w:bookmarkEnd w:id="39"/>
      <w:bookmarkEnd w:id="40"/>
      <w:bookmarkEnd w:id="41"/>
      <w:bookmarkEnd w:id="42"/>
      <w:r>
        <w:rPr>
          <w:rFonts w:ascii="Times" w:eastAsia="Times" w:hAnsi="Times" w:cs="Times"/>
          <w:color w:val="000000"/>
          <w:sz w:val="20"/>
        </w:rPr>
        <w:t>We reject</w:t>
      </w:r>
      <w:r>
        <w:rPr>
          <w:rFonts w:ascii="Times" w:eastAsia="Times" w:hAnsi="Times" w:cs="Times"/>
          <w:color w:val="000000"/>
          <w:sz w:val="20"/>
        </w:rPr>
        <w:t xml:space="preserve"> the Tax Court's interpretation of section 302(c)(2)(A)(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w:t>
      </w:r>
      <w:bookmarkStart w:id="43" w:name="Bookmark_LNHNREFclscc3"/>
      <w:bookmarkEnd w:id="43"/>
      <w:r>
        <w:rPr>
          <w:rFonts w:ascii="Times" w:eastAsia="Times" w:hAnsi="Times" w:cs="Times"/>
          <w:color w:val="000000"/>
          <w:sz w:val="20"/>
        </w:rPr>
        <w:t>An individualized determination of whether a taxpayer has retained a financial stake or continued to control the corporation after the redemption is inconsistent with Congress' desire to bring a m</w:t>
      </w:r>
      <w:r>
        <w:rPr>
          <w:rFonts w:ascii="Times" w:eastAsia="Times" w:hAnsi="Times" w:cs="Times"/>
          <w:color w:val="000000"/>
          <w:sz w:val="20"/>
        </w:rPr>
        <w:t>easure of certainty to the tax consequences of a corporate redemption. We hold that a taxpayer who provides post-redemption services, either as an employee or an independent contractor, holds a prohibited interest in the corporation because he is not a cre</w:t>
      </w:r>
      <w:r>
        <w:rPr>
          <w:rFonts w:ascii="Times" w:eastAsia="Times" w:hAnsi="Times" w:cs="Times"/>
          <w:color w:val="000000"/>
          <w:sz w:val="20"/>
        </w:rPr>
        <w:t xml:space="preserve">ditor. </w:t>
      </w:r>
    </w:p>
    <w:p w14:paraId="7C5FB185" w14:textId="1AF82361" w:rsidR="00EC187B" w:rsidRDefault="00434380">
      <w:pPr>
        <w:widowControl w:val="0"/>
        <w:spacing w:before="200" w:line="260" w:lineRule="atLeast"/>
        <w:jc w:val="both"/>
      </w:pPr>
      <w:bookmarkStart w:id="44" w:name="Bookmark_para_23"/>
      <w:bookmarkEnd w:id="44"/>
      <w:r>
        <w:rPr>
          <w:rFonts w:ascii="Times" w:eastAsia="Times" w:hAnsi="Times" w:cs="Times"/>
          <w:color w:val="000000"/>
          <w:sz w:val="20"/>
        </w:rPr>
        <w:t xml:space="preserve">The legislative history of section 302 states that Congress intended to provide "definite standards in order to provide certainty in specific instances." </w:t>
      </w:r>
      <w:r>
        <w:rPr>
          <w:rFonts w:ascii="Times" w:eastAsia="Times" w:hAnsi="Times" w:cs="Times"/>
          <w:color w:val="000000"/>
          <w:sz w:val="20"/>
        </w:rPr>
        <w:t>"In lieu of a factual inquiry in every case, [section 302] is intended to prescribe specific conditions from which the taxpayer </w:t>
      </w:r>
      <w:r>
        <w:rPr>
          <w:rFonts w:ascii="Times" w:eastAsia="Times" w:hAnsi="Times" w:cs="Times"/>
          <w:color w:val="000000"/>
          <w:sz w:val="20"/>
        </w:rPr>
        <w:t xml:space="preserve">may ascertain whether a given redemption" will qualify as a sale or be treated as a dividend distribution. </w:t>
      </w:r>
      <w:r>
        <w:rPr>
          <w:rFonts w:ascii="Times" w:eastAsia="Times" w:hAnsi="Times" w:cs="Times"/>
          <w:color w:val="000000"/>
          <w:sz w:val="20"/>
        </w:rPr>
        <w:t xml:space="preserve">The facts and circumstances approach created by the Tax Court undermines the ability of taxpayers </w:t>
      </w:r>
      <w:r>
        <w:rPr>
          <w:rFonts w:ascii="Times" w:eastAsia="Times" w:hAnsi="Times" w:cs="Times"/>
          <w:color w:val="000000"/>
          <w:sz w:val="20"/>
        </w:rPr>
        <w:t>to execute a redemption and know the tax consequences with certainty.</w:t>
      </w:r>
      <w:r>
        <w:rPr>
          <w:rFonts w:ascii="Times" w:eastAsia="Times" w:hAnsi="Times" w:cs="Times"/>
          <w:color w:val="000000"/>
          <w:sz w:val="20"/>
        </w:rPr>
        <w:t xml:space="preserve"> </w:t>
      </w:r>
    </w:p>
    <w:p w14:paraId="7C5FB186" w14:textId="4D77B8AE" w:rsidR="00EC187B" w:rsidRDefault="00434380">
      <w:pPr>
        <w:widowControl w:val="0"/>
        <w:spacing w:before="200" w:line="260" w:lineRule="atLeast"/>
        <w:jc w:val="both"/>
      </w:pPr>
      <w:bookmarkStart w:id="45" w:name="Bookmark_para_24"/>
      <w:bookmarkEnd w:id="45"/>
      <w:r>
        <w:rPr>
          <w:rFonts w:ascii="Times" w:eastAsia="Times" w:hAnsi="Times" w:cs="Times"/>
          <w:color w:val="000000"/>
          <w:sz w:val="20"/>
        </w:rPr>
        <w:t xml:space="preserve">The taxpayer's claim that the Senate rejected the mechanical operation of the House's version of section 302 is misleading. The Senate did reject the House bill because the "definitive conditions" were "unnecessarily restrictive." </w:t>
      </w:r>
      <w:r>
        <w:rPr>
          <w:rFonts w:ascii="Times" w:eastAsia="Times" w:hAnsi="Times" w:cs="Times"/>
          <w:color w:val="000000"/>
          <w:sz w:val="20"/>
        </w:rPr>
        <w:t>However, the Senate's response was to add paragraph (b)(1) to section 302, which reestablished the flexible, but notoriously vague, "not essentially equivalent to a dividend" test.</w:t>
      </w:r>
      <w:r>
        <w:rPr>
          <w:rFonts w:ascii="Times" w:eastAsia="Times" w:hAnsi="Times" w:cs="Times"/>
          <w:color w:val="000000"/>
          <w:sz w:val="20"/>
        </w:rPr>
        <w:t xml:space="preserve"> This test provided that all payments from a corporation that were not essentially equivalent to a dividend should be taxed as capital gains. The confusion that stemmed from a case-by-case inquiry into "dividend equivalence" prompted the Congress to enact </w:t>
      </w:r>
      <w:r>
        <w:rPr>
          <w:rFonts w:ascii="Times" w:eastAsia="Times" w:hAnsi="Times" w:cs="Times"/>
          <w:color w:val="000000"/>
          <w:sz w:val="20"/>
        </w:rPr>
        <w:t xml:space="preserve">definite standards for the safe harbors in section 302(b)(2) </w:t>
      </w:r>
      <w:r>
        <w:rPr>
          <w:rFonts w:ascii="Times" w:eastAsia="Times" w:hAnsi="Times" w:cs="Times"/>
          <w:color w:val="000000"/>
          <w:sz w:val="20"/>
        </w:rPr>
        <w:t>and (b)(3). The Tax Court's refusal to recognize that section 302(c)(2)(A)(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prohibits </w:t>
      </w:r>
      <w:r>
        <w:rPr>
          <w:rFonts w:ascii="Times" w:eastAsia="Times" w:hAnsi="Times" w:cs="Times"/>
          <w:i/>
          <w:color w:val="000000"/>
          <w:sz w:val="20"/>
        </w:rPr>
        <w:t>all</w:t>
      </w:r>
      <w:r>
        <w:rPr>
          <w:rFonts w:ascii="Times" w:eastAsia="Times" w:hAnsi="Times" w:cs="Times"/>
          <w:color w:val="000000"/>
          <w:sz w:val="20"/>
        </w:rPr>
        <w:t xml:space="preserve"> </w:t>
      </w:r>
      <w:proofErr w:type="spellStart"/>
      <w:r>
        <w:rPr>
          <w:rFonts w:ascii="Times" w:eastAsia="Times" w:hAnsi="Times" w:cs="Times"/>
          <w:color w:val="000000"/>
          <w:sz w:val="20"/>
        </w:rPr>
        <w:t>noncreditor</w:t>
      </w:r>
      <w:proofErr w:type="spellEnd"/>
      <w:r>
        <w:rPr>
          <w:rFonts w:ascii="Times" w:eastAsia="Times" w:hAnsi="Times" w:cs="Times"/>
          <w:color w:val="000000"/>
          <w:sz w:val="20"/>
        </w:rPr>
        <w:t xml:space="preserve"> interests in the corporation creates the same uncertainty as the "dividend equival</w:t>
      </w:r>
      <w:r>
        <w:rPr>
          <w:rFonts w:ascii="Times" w:eastAsia="Times" w:hAnsi="Times" w:cs="Times"/>
          <w:color w:val="000000"/>
          <w:sz w:val="20"/>
        </w:rPr>
        <w:t xml:space="preserve">ence" test. </w:t>
      </w:r>
    </w:p>
    <w:p w14:paraId="7C5FB187" w14:textId="2243F471" w:rsidR="00EC187B" w:rsidRDefault="00434380">
      <w:pPr>
        <w:widowControl w:val="0"/>
        <w:spacing w:before="200" w:line="260" w:lineRule="atLeast"/>
        <w:jc w:val="both"/>
      </w:pPr>
      <w:bookmarkStart w:id="46" w:name="Bookmark_para_25"/>
      <w:bookmarkStart w:id="47" w:name="Bookmark_I4FMYMBG0K1MNJ3WH0000400"/>
      <w:bookmarkEnd w:id="46"/>
      <w:bookmarkEnd w:id="47"/>
      <w:r>
        <w:rPr>
          <w:rFonts w:ascii="Times" w:eastAsia="Times" w:hAnsi="Times" w:cs="Times"/>
          <w:color w:val="000000"/>
          <w:sz w:val="20"/>
        </w:rPr>
        <w:t xml:space="preserve">The problem with the Tax Court's approach is apparent when this case is compared with </w:t>
      </w:r>
      <w:bookmarkStart w:id="48" w:name="Bookmark_I4FMYMBG0K1MNJ3WG0000400"/>
      <w:bookmarkEnd w:id="48"/>
      <w:r>
        <w:rPr>
          <w:rFonts w:ascii="Times" w:eastAsia="Times" w:hAnsi="Times" w:cs="Times"/>
          <w:i/>
          <w:color w:val="000000"/>
          <w:sz w:val="20"/>
        </w:rPr>
        <w:t>Seda v. Commissioner</w:t>
      </w:r>
      <w:r>
        <w:rPr>
          <w:rFonts w:ascii="Times" w:eastAsia="Times" w:hAnsi="Times" w:cs="Times"/>
          <w:color w:val="000000"/>
          <w:sz w:val="20"/>
        </w:rPr>
        <w:t xml:space="preserve">, 82 T.C. 484 (1984). In </w:t>
      </w:r>
      <w:r>
        <w:rPr>
          <w:rFonts w:ascii="Times" w:eastAsia="Times" w:hAnsi="Times" w:cs="Times"/>
          <w:i/>
          <w:color w:val="000000"/>
          <w:sz w:val="20"/>
        </w:rPr>
        <w:t>Seda</w:t>
      </w:r>
      <w:r>
        <w:rPr>
          <w:rFonts w:ascii="Times" w:eastAsia="Times" w:hAnsi="Times" w:cs="Times"/>
          <w:color w:val="000000"/>
          <w:sz w:val="20"/>
        </w:rPr>
        <w:t>, a former shareholder, at his son's insistence, continued working for the corporation for two years after t</w:t>
      </w:r>
      <w:r>
        <w:rPr>
          <w:rFonts w:ascii="Times" w:eastAsia="Times" w:hAnsi="Times" w:cs="Times"/>
          <w:color w:val="000000"/>
          <w:sz w:val="20"/>
        </w:rPr>
        <w:t xml:space="preserve">he redemption. </w:t>
      </w:r>
      <w:bookmarkStart w:id="49" w:name="Bookmark_I4FMYMBG0K1MNJ3WK0000400"/>
      <w:bookmarkEnd w:id="49"/>
      <w:r>
        <w:rPr>
          <w:rFonts w:ascii="Times" w:eastAsia="Times" w:hAnsi="Times" w:cs="Times"/>
          <w:color w:val="000000"/>
          <w:sz w:val="20"/>
        </w:rPr>
        <w:t xml:space="preserve">He received a salary of $1,000 per month. </w:t>
      </w:r>
      <w:bookmarkStart w:id="50" w:name="Bookmark_I4FMYMBG0K1MNJ3WK0000400_2"/>
      <w:bookmarkEnd w:id="50"/>
      <w:r>
        <w:rPr>
          <w:rFonts w:ascii="Times" w:eastAsia="Times" w:hAnsi="Times" w:cs="Times"/>
          <w:color w:val="000000"/>
          <w:sz w:val="20"/>
        </w:rPr>
        <w:t>The Tax Court refused to hold that section 302(c)(2)(A)(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prohibits the retention of employment relations per se, despite the unequivocal language in the statute. </w:t>
      </w:r>
      <w:bookmarkStart w:id="51" w:name="Bookmark_I4FMYMBG0K1MNJ3WJ0000400"/>
      <w:bookmarkEnd w:id="51"/>
      <w:r>
        <w:rPr>
          <w:rFonts w:ascii="Times" w:eastAsia="Times" w:hAnsi="Times" w:cs="Times"/>
          <w:color w:val="000000"/>
          <w:sz w:val="20"/>
        </w:rPr>
        <w:t>Instead, the court a</w:t>
      </w:r>
      <w:r>
        <w:rPr>
          <w:rFonts w:ascii="Times" w:eastAsia="Times" w:hAnsi="Times" w:cs="Times"/>
          <w:color w:val="000000"/>
          <w:sz w:val="20"/>
        </w:rPr>
        <w:t xml:space="preserve">pplied the facts and circumstances approach to determine whether the former shareholder retained a financial stake or continued to control the corporation. </w:t>
      </w:r>
      <w:bookmarkStart w:id="52" w:name="Bookmark_I4FMYMBG0K1MNJ3WN0000400"/>
      <w:bookmarkEnd w:id="52"/>
      <w:r>
        <w:rPr>
          <w:rFonts w:ascii="Times" w:eastAsia="Times" w:hAnsi="Times" w:cs="Times"/>
          <w:color w:val="000000"/>
          <w:sz w:val="20"/>
        </w:rPr>
        <w:t>The Tax Court found that the monthly payments of $1,000 constituted a financial stake in the corpora</w:t>
      </w:r>
      <w:r>
        <w:rPr>
          <w:rFonts w:ascii="Times" w:eastAsia="Times" w:hAnsi="Times" w:cs="Times"/>
          <w:color w:val="000000"/>
          <w:sz w:val="20"/>
        </w:rPr>
        <w:t xml:space="preserve">tion. </w:t>
      </w:r>
      <w:bookmarkStart w:id="53" w:name="Bookmark_I4FMYMBG0K1MNJ3WT0000400"/>
      <w:bookmarkEnd w:id="53"/>
      <w:r>
        <w:rPr>
          <w:rFonts w:ascii="Times" w:eastAsia="Times" w:hAnsi="Times" w:cs="Times"/>
          <w:color w:val="000000"/>
          <w:sz w:val="20"/>
        </w:rPr>
        <w:t xml:space="preserve">This result is at odds with the holding in </w:t>
      </w:r>
      <w:r>
        <w:rPr>
          <w:rFonts w:ascii="Times" w:eastAsia="Times" w:hAnsi="Times" w:cs="Times"/>
          <w:i/>
          <w:color w:val="000000"/>
          <w:sz w:val="20"/>
        </w:rPr>
        <w:t>Lynch</w:t>
      </w:r>
      <w:r>
        <w:rPr>
          <w:rFonts w:ascii="Times" w:eastAsia="Times" w:hAnsi="Times" w:cs="Times"/>
          <w:color w:val="000000"/>
          <w:sz w:val="20"/>
        </w:rPr>
        <w:t xml:space="preserve"> that payments of $500 per month do </w:t>
      </w:r>
      <w:r>
        <w:rPr>
          <w:rFonts w:ascii="Times" w:eastAsia="Times" w:hAnsi="Times" w:cs="Times"/>
          <w:i/>
          <w:color w:val="000000"/>
          <w:sz w:val="20"/>
        </w:rPr>
        <w:t>not</w:t>
      </w:r>
      <w:r>
        <w:rPr>
          <w:rFonts w:ascii="Times" w:eastAsia="Times" w:hAnsi="Times" w:cs="Times"/>
          <w:color w:val="000000"/>
          <w:sz w:val="20"/>
        </w:rPr>
        <w:t xml:space="preserve"> constitute a financial stake in the corporation. </w:t>
      </w:r>
      <w:bookmarkStart w:id="54" w:name="Bookmark_I4FMYMBG0K1MNJ3WW0000400"/>
      <w:bookmarkStart w:id="55" w:name="Bookmark_I4FMYMBG0K1MNJ3WW0000400_2"/>
      <w:bookmarkStart w:id="56" w:name="Bookmark_I4FMYMBG0K1MNJ3WT0000400_2"/>
      <w:bookmarkEnd w:id="54"/>
      <w:bookmarkEnd w:id="55"/>
      <w:bookmarkEnd w:id="56"/>
      <w:r>
        <w:rPr>
          <w:rFonts w:ascii="Times" w:eastAsia="Times" w:hAnsi="Times" w:cs="Times"/>
          <w:color w:val="000000"/>
          <w:sz w:val="20"/>
        </w:rPr>
        <w:t xml:space="preserve">The court also found in </w:t>
      </w:r>
      <w:r>
        <w:rPr>
          <w:rFonts w:ascii="Times" w:eastAsia="Times" w:hAnsi="Times" w:cs="Times"/>
          <w:i/>
          <w:color w:val="000000"/>
          <w:sz w:val="20"/>
        </w:rPr>
        <w:t>Seda</w:t>
      </w:r>
      <w:r>
        <w:rPr>
          <w:rFonts w:ascii="Times" w:eastAsia="Times" w:hAnsi="Times" w:cs="Times"/>
          <w:color w:val="000000"/>
          <w:sz w:val="20"/>
        </w:rPr>
        <w:t xml:space="preserve"> no evidence that the former shareholder had ceased to manage the corporation</w:t>
      </w:r>
      <w:r w:rsidR="00121560">
        <w:rPr>
          <w:rFonts w:ascii="Times" w:eastAsia="Times" w:hAnsi="Times" w:cs="Times"/>
          <w:color w:val="000000"/>
          <w:sz w:val="20"/>
        </w:rPr>
        <w:t xml:space="preserve">. </w:t>
      </w:r>
      <w:r>
        <w:rPr>
          <w:rFonts w:ascii="Times" w:eastAsia="Times" w:hAnsi="Times" w:cs="Times"/>
          <w:color w:val="000000"/>
          <w:sz w:val="20"/>
        </w:rPr>
        <w:t xml:space="preserve">Again, this </w:t>
      </w:r>
      <w:r>
        <w:rPr>
          <w:rFonts w:ascii="Times" w:eastAsia="Times" w:hAnsi="Times" w:cs="Times"/>
          <w:color w:val="000000"/>
          <w:sz w:val="20"/>
        </w:rPr>
        <w:t xml:space="preserve">is contrary to the holding in </w:t>
      </w:r>
      <w:r>
        <w:rPr>
          <w:rFonts w:ascii="Times" w:eastAsia="Times" w:hAnsi="Times" w:cs="Times"/>
          <w:i/>
          <w:color w:val="000000"/>
          <w:sz w:val="20"/>
        </w:rPr>
        <w:t>Lynch</w:t>
      </w:r>
      <w:r>
        <w:rPr>
          <w:rFonts w:ascii="Times" w:eastAsia="Times" w:hAnsi="Times" w:cs="Times"/>
          <w:color w:val="000000"/>
          <w:sz w:val="20"/>
        </w:rPr>
        <w:t xml:space="preserve"> that the taxpayer exercised no control over the corporation after the redemp</w:t>
      </w:r>
      <w:r>
        <w:rPr>
          <w:rFonts w:ascii="Times" w:eastAsia="Times" w:hAnsi="Times" w:cs="Times"/>
          <w:color w:val="000000"/>
          <w:sz w:val="20"/>
        </w:rPr>
        <w:t xml:space="preserve">tion, even though he worked daily for a year and shared his old office with his son. </w:t>
      </w:r>
      <w:r w:rsidR="007F3814">
        <w:rPr>
          <w:rFonts w:ascii="Times" w:eastAsia="Times" w:hAnsi="Times" w:cs="Times"/>
          <w:i/>
          <w:color w:val="000000"/>
          <w:sz w:val="20"/>
        </w:rPr>
        <w:t>\</w:t>
      </w:r>
      <w:r>
        <w:rPr>
          <w:rFonts w:ascii="Times" w:eastAsia="Times" w:hAnsi="Times" w:cs="Times"/>
          <w:color w:val="000000"/>
          <w:sz w:val="20"/>
        </w:rPr>
        <w:t xml:space="preserve"> </w:t>
      </w:r>
      <w:r>
        <w:rPr>
          <w:rFonts w:ascii="Times" w:eastAsia="Times" w:hAnsi="Times" w:cs="Times"/>
          <w:i/>
          <w:color w:val="000000"/>
          <w:sz w:val="20"/>
        </w:rPr>
        <w:t>Seda</w:t>
      </w:r>
      <w:r>
        <w:rPr>
          <w:rFonts w:ascii="Times" w:eastAsia="Times" w:hAnsi="Times" w:cs="Times"/>
          <w:color w:val="000000"/>
          <w:sz w:val="20"/>
        </w:rPr>
        <w:t xml:space="preserve"> and </w:t>
      </w:r>
      <w:r>
        <w:rPr>
          <w:rFonts w:ascii="Times" w:eastAsia="Times" w:hAnsi="Times" w:cs="Times"/>
          <w:i/>
          <w:color w:val="000000"/>
          <w:sz w:val="20"/>
        </w:rPr>
        <w:t>Lynch</w:t>
      </w:r>
      <w:r>
        <w:rPr>
          <w:rFonts w:ascii="Times" w:eastAsia="Times" w:hAnsi="Times" w:cs="Times"/>
          <w:color w:val="000000"/>
          <w:sz w:val="20"/>
        </w:rPr>
        <w:t xml:space="preserve"> thus vividly demonstrate the perils of making an ad hoc determination of "control" or</w:t>
      </w:r>
      <w:r>
        <w:rPr>
          <w:rFonts w:ascii="Times" w:eastAsia="Times" w:hAnsi="Times" w:cs="Times"/>
          <w:color w:val="000000"/>
          <w:sz w:val="20"/>
        </w:rPr>
        <w:t xml:space="preserve"> "financial stake." </w:t>
      </w:r>
    </w:p>
    <w:p w14:paraId="7C5FB188" w14:textId="681747E2" w:rsidR="00EC187B" w:rsidRDefault="003C104D">
      <w:pPr>
        <w:widowControl w:val="0"/>
        <w:spacing w:before="200" w:line="260" w:lineRule="atLeast"/>
        <w:jc w:val="both"/>
      </w:pPr>
      <w:bookmarkStart w:id="57" w:name="Bookmark_para_26"/>
      <w:bookmarkEnd w:id="57"/>
      <w:r>
        <w:rPr>
          <w:rFonts w:ascii="Times" w:eastAsia="Times" w:hAnsi="Times" w:cs="Times"/>
          <w:color w:val="000000"/>
          <w:sz w:val="20"/>
        </w:rPr>
        <w:t>[</w:t>
      </w:r>
      <w:r w:rsidR="00434380">
        <w:rPr>
          <w:rFonts w:ascii="Times" w:eastAsia="Times" w:hAnsi="Times" w:cs="Times"/>
          <w:color w:val="000000"/>
          <w:sz w:val="20"/>
        </w:rPr>
        <w:t xml:space="preserve">In </w:t>
      </w:r>
      <w:proofErr w:type="spellStart"/>
      <w:r w:rsidR="00434380">
        <w:rPr>
          <w:rFonts w:ascii="Times" w:eastAsia="Times" w:hAnsi="Times" w:cs="Times"/>
          <w:i/>
          <w:color w:val="000000"/>
          <w:sz w:val="20"/>
        </w:rPr>
        <w:t>Cerone</w:t>
      </w:r>
      <w:proofErr w:type="spellEnd"/>
      <w:r w:rsidR="00434380">
        <w:rPr>
          <w:rFonts w:ascii="Times" w:eastAsia="Times" w:hAnsi="Times" w:cs="Times"/>
          <w:i/>
          <w:color w:val="000000"/>
          <w:sz w:val="20"/>
        </w:rPr>
        <w:t xml:space="preserve"> v. Commissioner</w:t>
      </w:r>
      <w:r w:rsidR="00434380">
        <w:rPr>
          <w:rFonts w:ascii="Times" w:eastAsia="Times" w:hAnsi="Times" w:cs="Times"/>
          <w:color w:val="000000"/>
          <w:sz w:val="20"/>
        </w:rPr>
        <w:t>, No. 1683-80 (July 1, 1986),</w:t>
      </w:r>
      <w:r w:rsidR="00434380">
        <w:rPr>
          <w:rFonts w:ascii="Times" w:eastAsia="Times" w:hAnsi="Times" w:cs="Times"/>
          <w:color w:val="000000"/>
          <w:sz w:val="20"/>
        </w:rPr>
        <w:t> </w:t>
      </w:r>
      <w:r w:rsidR="00434380">
        <w:rPr>
          <w:rFonts w:ascii="Times" w:eastAsia="Times" w:hAnsi="Times" w:cs="Times"/>
          <w:color w:val="000000"/>
          <w:sz w:val="20"/>
        </w:rPr>
        <w:t>a father and son owned all the shares of a corporation formed to o</w:t>
      </w:r>
      <w:r w:rsidR="00434380">
        <w:rPr>
          <w:rFonts w:ascii="Times" w:eastAsia="Times" w:hAnsi="Times" w:cs="Times"/>
          <w:color w:val="000000"/>
          <w:sz w:val="20"/>
        </w:rPr>
        <w:t>perate their restaurant. The corporation agreed to redeem all of the father's shares in order to resolve certain disagreements between the father and son concerning the management of the business. However, the father remained an employee of the corporation</w:t>
      </w:r>
      <w:r w:rsidR="00434380">
        <w:rPr>
          <w:rFonts w:ascii="Times" w:eastAsia="Times" w:hAnsi="Times" w:cs="Times"/>
          <w:color w:val="000000"/>
          <w:sz w:val="20"/>
        </w:rPr>
        <w:t xml:space="preserve"> for at least five years after the redemption, drawing a salary of $14,400 for the first three years and less thereafter. The father claimed that he was entitled to capital gains treatment on the redemption because he had terminated </w:t>
      </w:r>
      <w:r w:rsidR="00434380">
        <w:rPr>
          <w:rFonts w:ascii="Times" w:eastAsia="Times" w:hAnsi="Times" w:cs="Times"/>
          <w:color w:val="000000"/>
          <w:sz w:val="20"/>
        </w:rPr>
        <w:lastRenderedPageBreak/>
        <w:t>his interest in the cor</w:t>
      </w:r>
      <w:r w:rsidR="00434380">
        <w:rPr>
          <w:rFonts w:ascii="Times" w:eastAsia="Times" w:hAnsi="Times" w:cs="Times"/>
          <w:color w:val="000000"/>
          <w:sz w:val="20"/>
        </w:rPr>
        <w:t xml:space="preserve">poration within the meaning of section 302(b)(3). </w:t>
      </w:r>
      <w:r w:rsidR="0036344E">
        <w:rPr>
          <w:rFonts w:ascii="Times" w:eastAsia="Times" w:hAnsi="Times" w:cs="Times"/>
          <w:color w:val="000000"/>
          <w:sz w:val="20"/>
        </w:rPr>
        <w:t xml:space="preserve">  T</w:t>
      </w:r>
      <w:r w:rsidR="0036344E">
        <w:rPr>
          <w:rFonts w:ascii="Times" w:eastAsia="Times" w:hAnsi="Times" w:cs="Times"/>
          <w:color w:val="000000"/>
          <w:sz w:val="20"/>
        </w:rPr>
        <w:t xml:space="preserve">he Tax Court eventually concluded that the father in </w:t>
      </w:r>
      <w:proofErr w:type="spellStart"/>
      <w:r w:rsidR="0036344E">
        <w:rPr>
          <w:rFonts w:ascii="Times" w:eastAsia="Times" w:hAnsi="Times" w:cs="Times"/>
          <w:i/>
          <w:color w:val="000000"/>
          <w:sz w:val="20"/>
        </w:rPr>
        <w:t>Cerone</w:t>
      </w:r>
      <w:proofErr w:type="spellEnd"/>
      <w:r w:rsidR="0036344E">
        <w:rPr>
          <w:rFonts w:ascii="Times" w:eastAsia="Times" w:hAnsi="Times" w:cs="Times"/>
          <w:color w:val="000000"/>
          <w:sz w:val="20"/>
        </w:rPr>
        <w:t xml:space="preserve"> held a financial stake in the corporation because he had drawn a salary that was $2,400 per year more than the taxpayer in </w:t>
      </w:r>
      <w:r w:rsidR="0036344E">
        <w:rPr>
          <w:rFonts w:ascii="Times" w:eastAsia="Times" w:hAnsi="Times" w:cs="Times"/>
          <w:i/>
          <w:color w:val="000000"/>
          <w:sz w:val="20"/>
        </w:rPr>
        <w:t>Seda</w:t>
      </w:r>
      <w:r w:rsidR="0036344E">
        <w:rPr>
          <w:rFonts w:ascii="Times" w:eastAsia="Times" w:hAnsi="Times" w:cs="Times"/>
          <w:color w:val="000000"/>
          <w:sz w:val="20"/>
        </w:rPr>
        <w:t xml:space="preserve"> and had been employed by the corporation for a longer period after the redemption.</w:t>
      </w:r>
      <w:r w:rsidR="0036344E">
        <w:rPr>
          <w:rFonts w:ascii="Times" w:eastAsia="Times" w:hAnsi="Times" w:cs="Times"/>
          <w:color w:val="000000"/>
          <w:sz w:val="20"/>
        </w:rPr>
        <w:t>]</w:t>
      </w:r>
    </w:p>
    <w:p w14:paraId="7C5FB18A" w14:textId="4D4D2775" w:rsidR="00EC187B" w:rsidRDefault="00434380">
      <w:pPr>
        <w:widowControl w:val="0"/>
        <w:spacing w:before="200" w:line="260" w:lineRule="atLeast"/>
        <w:jc w:val="both"/>
      </w:pPr>
      <w:bookmarkStart w:id="58" w:name="Bookmark_para_27"/>
      <w:bookmarkStart w:id="59" w:name="Bookmark_para_28"/>
      <w:bookmarkEnd w:id="58"/>
      <w:bookmarkEnd w:id="59"/>
      <w:r>
        <w:rPr>
          <w:rFonts w:ascii="Times" w:eastAsia="Times" w:hAnsi="Times" w:cs="Times"/>
          <w:color w:val="000000"/>
          <w:sz w:val="20"/>
        </w:rPr>
        <w:t>Alth</w:t>
      </w:r>
      <w:r>
        <w:rPr>
          <w:rFonts w:ascii="Times" w:eastAsia="Times" w:hAnsi="Times" w:cs="Times"/>
          <w:color w:val="000000"/>
          <w:sz w:val="20"/>
        </w:rPr>
        <w:t xml:space="preserve">ough the Tax Court reached the correct result in </w:t>
      </w:r>
      <w:proofErr w:type="spellStart"/>
      <w:r>
        <w:rPr>
          <w:rFonts w:ascii="Times" w:eastAsia="Times" w:hAnsi="Times" w:cs="Times"/>
          <w:i/>
          <w:color w:val="000000"/>
          <w:sz w:val="20"/>
        </w:rPr>
        <w:t>Cerone</w:t>
      </w:r>
      <w:proofErr w:type="spellEnd"/>
      <w:r>
        <w:rPr>
          <w:rFonts w:ascii="Times" w:eastAsia="Times" w:hAnsi="Times" w:cs="Times"/>
          <w:color w:val="000000"/>
          <w:sz w:val="20"/>
        </w:rPr>
        <w:t>, its approach undermines the definite contours of the safe harbor Congress intended to create with sections 302(b)(3) and 302(c)(2)(A)(</w:t>
      </w:r>
      <w:proofErr w:type="spellStart"/>
      <w:r>
        <w:rPr>
          <w:rFonts w:ascii="Times" w:eastAsia="Times" w:hAnsi="Times" w:cs="Times"/>
          <w:color w:val="000000"/>
          <w:sz w:val="20"/>
        </w:rPr>
        <w:t>i</w:t>
      </w:r>
      <w:proofErr w:type="spellEnd"/>
      <w:r>
        <w:rPr>
          <w:rFonts w:ascii="Times" w:eastAsia="Times" w:hAnsi="Times" w:cs="Times"/>
          <w:color w:val="000000"/>
          <w:sz w:val="20"/>
        </w:rPr>
        <w:t>). Whether a taxpayer has a financial stake according to the Tax</w:t>
      </w:r>
      <w:r>
        <w:rPr>
          <w:rFonts w:ascii="Times" w:eastAsia="Times" w:hAnsi="Times" w:cs="Times"/>
          <w:color w:val="000000"/>
          <w:sz w:val="20"/>
        </w:rPr>
        <w:t xml:space="preserve"> Court seems to depend on two factors, length of employment and the amount of salary. Length of employment after the redemption is irrelevant because Congress wanted taxpayers to know whether they were entitled to capital </w:t>
      </w:r>
      <w:r>
        <w:rPr>
          <w:rFonts w:ascii="Times" w:eastAsia="Times" w:hAnsi="Times" w:cs="Times"/>
          <w:color w:val="000000"/>
          <w:sz w:val="20"/>
        </w:rPr>
        <w:t>gains treatment on the dat</w:t>
      </w:r>
      <w:r>
        <w:rPr>
          <w:rFonts w:ascii="Times" w:eastAsia="Times" w:hAnsi="Times" w:cs="Times"/>
          <w:color w:val="000000"/>
          <w:sz w:val="20"/>
        </w:rPr>
        <w:t xml:space="preserve">e their shares were redeemed. </w:t>
      </w:r>
      <w:r>
        <w:rPr>
          <w:rFonts w:ascii="Times" w:eastAsia="Times" w:hAnsi="Times" w:cs="Times"/>
          <w:color w:val="000000"/>
          <w:sz w:val="20"/>
        </w:rPr>
        <w:t xml:space="preserve">As </w:t>
      </w:r>
      <w:proofErr w:type="gramStart"/>
      <w:r>
        <w:rPr>
          <w:rFonts w:ascii="Times" w:eastAsia="Times" w:hAnsi="Times" w:cs="Times"/>
          <w:color w:val="000000"/>
          <w:sz w:val="20"/>
        </w:rPr>
        <w:t>for the amount of</w:t>
      </w:r>
      <w:proofErr w:type="gramEnd"/>
      <w:r>
        <w:rPr>
          <w:rFonts w:ascii="Times" w:eastAsia="Times" w:hAnsi="Times" w:cs="Times"/>
          <w:color w:val="000000"/>
          <w:sz w:val="20"/>
        </w:rPr>
        <w:t xml:space="preserve"> annual salary, the Tax Court's present benchmark appears to be the $12,000 figure in </w:t>
      </w:r>
      <w:r>
        <w:rPr>
          <w:rFonts w:ascii="Times" w:eastAsia="Times" w:hAnsi="Times" w:cs="Times"/>
          <w:i/>
          <w:color w:val="000000"/>
          <w:sz w:val="20"/>
        </w:rPr>
        <w:t>Seda</w:t>
      </w:r>
      <w:r>
        <w:rPr>
          <w:rFonts w:ascii="Times" w:eastAsia="Times" w:hAnsi="Times" w:cs="Times"/>
          <w:color w:val="000000"/>
          <w:sz w:val="20"/>
        </w:rPr>
        <w:t xml:space="preserve">. Salary at or above this level will be deemed to be a financial stake in the enterprise, </w:t>
      </w:r>
      <w:r>
        <w:rPr>
          <w:rFonts w:ascii="Times" w:eastAsia="Times" w:hAnsi="Times" w:cs="Times"/>
          <w:color w:val="000000"/>
          <w:sz w:val="20"/>
        </w:rPr>
        <w:t>though the $6,000 annual payments in this case were held not to be a financial stake. There is no support in the legislative history of section 302 for the idea that Congress meant only to prohibit service contracts of a certain worth, and taxpayers should</w:t>
      </w:r>
      <w:r>
        <w:rPr>
          <w:rFonts w:ascii="Times" w:eastAsia="Times" w:hAnsi="Times" w:cs="Times"/>
          <w:color w:val="000000"/>
          <w:sz w:val="20"/>
        </w:rPr>
        <w:t xml:space="preserve"> not be left to speculate as to what income level will give rise to a financial stake. </w:t>
      </w:r>
    </w:p>
    <w:p w14:paraId="7C5FB18B" w14:textId="4C8BC2B2" w:rsidR="00EC187B" w:rsidRDefault="00434380">
      <w:pPr>
        <w:widowControl w:val="0"/>
        <w:spacing w:before="200" w:line="260" w:lineRule="atLeast"/>
        <w:jc w:val="both"/>
      </w:pPr>
      <w:bookmarkStart w:id="60" w:name="Bookmark_para_29"/>
      <w:bookmarkEnd w:id="60"/>
      <w:r>
        <w:rPr>
          <w:rFonts w:ascii="Times" w:eastAsia="Times" w:hAnsi="Times" w:cs="Times"/>
          <w:color w:val="000000"/>
          <w:sz w:val="20"/>
        </w:rPr>
        <w:t xml:space="preserve">In this case, the taxpayer points to the fact that the taxpayers in </w:t>
      </w:r>
      <w:r>
        <w:rPr>
          <w:rFonts w:ascii="Times" w:eastAsia="Times" w:hAnsi="Times" w:cs="Times"/>
          <w:i/>
          <w:color w:val="000000"/>
          <w:sz w:val="20"/>
        </w:rPr>
        <w:t>Seda</w:t>
      </w:r>
      <w:r>
        <w:rPr>
          <w:rFonts w:ascii="Times" w:eastAsia="Times" w:hAnsi="Times" w:cs="Times"/>
          <w:color w:val="000000"/>
          <w:sz w:val="20"/>
        </w:rPr>
        <w:t xml:space="preserve"> and </w:t>
      </w:r>
      <w:proofErr w:type="spellStart"/>
      <w:r>
        <w:rPr>
          <w:rFonts w:ascii="Times" w:eastAsia="Times" w:hAnsi="Times" w:cs="Times"/>
          <w:i/>
          <w:color w:val="000000"/>
          <w:sz w:val="20"/>
        </w:rPr>
        <w:t>Cerone</w:t>
      </w:r>
      <w:proofErr w:type="spellEnd"/>
      <w:r>
        <w:rPr>
          <w:rFonts w:ascii="Times" w:eastAsia="Times" w:hAnsi="Times" w:cs="Times"/>
          <w:color w:val="000000"/>
          <w:sz w:val="20"/>
        </w:rPr>
        <w:t xml:space="preserve"> were employees, while he was an independent contractor. On appeal, the Commissioner </w:t>
      </w:r>
      <w:r>
        <w:rPr>
          <w:rFonts w:ascii="Times" w:eastAsia="Times" w:hAnsi="Times" w:cs="Times"/>
          <w:color w:val="000000"/>
          <w:sz w:val="20"/>
        </w:rPr>
        <w:t xml:space="preserve">concedes the taxpayer's independent contractor status. We fail to see, however, any meaningful way to distinguish </w:t>
      </w:r>
      <w:r>
        <w:rPr>
          <w:rFonts w:ascii="Times" w:eastAsia="Times" w:hAnsi="Times" w:cs="Times"/>
          <w:i/>
          <w:color w:val="000000"/>
          <w:sz w:val="20"/>
        </w:rPr>
        <w:t>Seda</w:t>
      </w:r>
      <w:r>
        <w:rPr>
          <w:rFonts w:ascii="Times" w:eastAsia="Times" w:hAnsi="Times" w:cs="Times"/>
          <w:color w:val="000000"/>
          <w:sz w:val="20"/>
        </w:rPr>
        <w:t> </w:t>
      </w:r>
      <w:r>
        <w:rPr>
          <w:rFonts w:ascii="Times" w:eastAsia="Times" w:hAnsi="Times" w:cs="Times"/>
          <w:color w:val="000000"/>
          <w:sz w:val="20"/>
        </w:rPr>
        <w:t xml:space="preserve">and </w:t>
      </w:r>
      <w:proofErr w:type="spellStart"/>
      <w:r>
        <w:rPr>
          <w:rFonts w:ascii="Times" w:eastAsia="Times" w:hAnsi="Times" w:cs="Times"/>
          <w:i/>
          <w:color w:val="000000"/>
          <w:sz w:val="20"/>
        </w:rPr>
        <w:t>Cerone</w:t>
      </w:r>
      <w:proofErr w:type="spellEnd"/>
      <w:r>
        <w:rPr>
          <w:rFonts w:ascii="Times" w:eastAsia="Times" w:hAnsi="Times" w:cs="Times"/>
          <w:color w:val="000000"/>
          <w:sz w:val="20"/>
        </w:rPr>
        <w:t xml:space="preserve"> from </w:t>
      </w:r>
      <w:r>
        <w:rPr>
          <w:rFonts w:ascii="Times" w:eastAsia="Times" w:hAnsi="Times" w:cs="Times"/>
          <w:i/>
          <w:color w:val="000000"/>
          <w:sz w:val="20"/>
        </w:rPr>
        <w:t>Lynch</w:t>
      </w:r>
      <w:r>
        <w:rPr>
          <w:rFonts w:ascii="Times" w:eastAsia="Times" w:hAnsi="Times" w:cs="Times"/>
          <w:color w:val="000000"/>
          <w:sz w:val="20"/>
        </w:rPr>
        <w:t xml:space="preserve"> by differentiating between employees and independent contractors. All of the taxpayers performed services for their corporations following the redemption. To hold that only the employee taxpayers held a prohibited interest would elevate form over substanc</w:t>
      </w:r>
      <w:r>
        <w:rPr>
          <w:rFonts w:ascii="Times" w:eastAsia="Times" w:hAnsi="Times" w:cs="Times"/>
          <w:color w:val="000000"/>
          <w:sz w:val="20"/>
        </w:rPr>
        <w:t>e. The parenthetical language in section 302(c)(2)(A)(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merely provides a subset </w:t>
      </w:r>
      <w:proofErr w:type="gramStart"/>
      <w:r>
        <w:rPr>
          <w:rFonts w:ascii="Times" w:eastAsia="Times" w:hAnsi="Times" w:cs="Times"/>
          <w:color w:val="000000"/>
          <w:sz w:val="20"/>
        </w:rPr>
        <w:t>of  </w:t>
      </w:r>
      <w:r>
        <w:rPr>
          <w:rFonts w:ascii="Times" w:eastAsia="Times" w:hAnsi="Times" w:cs="Times"/>
          <w:color w:val="000000"/>
          <w:sz w:val="20"/>
        </w:rPr>
        <w:t>prohibited</w:t>
      </w:r>
      <w:proofErr w:type="gramEnd"/>
      <w:r>
        <w:rPr>
          <w:rFonts w:ascii="Times" w:eastAsia="Times" w:hAnsi="Times" w:cs="Times"/>
          <w:color w:val="000000"/>
          <w:sz w:val="20"/>
        </w:rPr>
        <w:t xml:space="preserve"> interests from the universe of such interests, and in no way limits us from finding that an independent contractor retains a prohibited interest. Furt</w:t>
      </w:r>
      <w:r>
        <w:rPr>
          <w:rFonts w:ascii="Times" w:eastAsia="Times" w:hAnsi="Times" w:cs="Times"/>
          <w:color w:val="000000"/>
          <w:sz w:val="20"/>
        </w:rPr>
        <w:t>hermore, the Tax Court has in effect come to ignore the parenthetical language. If employment relationships are not prohibited interests per se, then the taxpayer's status as an employee or independent contractor is irrelevant. What really matters under th</w:t>
      </w:r>
      <w:r>
        <w:rPr>
          <w:rFonts w:ascii="Times" w:eastAsia="Times" w:hAnsi="Times" w:cs="Times"/>
          <w:color w:val="000000"/>
          <w:sz w:val="20"/>
        </w:rPr>
        <w:t xml:space="preserve">e Tax Court's approach is how the taxpayer fares under a facts and circumstances review of whether he has a financial stake in the corporation or managerial control. </w:t>
      </w:r>
      <w:r>
        <w:rPr>
          <w:rFonts w:ascii="Times" w:eastAsia="Times" w:hAnsi="Times" w:cs="Times"/>
          <w:color w:val="000000"/>
          <w:sz w:val="20"/>
        </w:rPr>
        <w:t xml:space="preserve">Tax planners are left to guess where along the continuum of monthly payments from $500 </w:t>
      </w:r>
      <w:r>
        <w:rPr>
          <w:rFonts w:ascii="Times" w:eastAsia="Times" w:hAnsi="Times" w:cs="Times"/>
          <w:color w:val="000000"/>
          <w:sz w:val="20"/>
        </w:rPr>
        <w:t xml:space="preserve">to $1000 capital gains treatment ends and ordinary income tax begins. </w:t>
      </w:r>
    </w:p>
    <w:p w14:paraId="7C5FB18C" w14:textId="7B021093" w:rsidR="00EC187B" w:rsidRDefault="00434380">
      <w:pPr>
        <w:widowControl w:val="0"/>
        <w:spacing w:before="200" w:line="260" w:lineRule="atLeast"/>
        <w:jc w:val="both"/>
      </w:pPr>
      <w:bookmarkStart w:id="61" w:name="Bookmark_para_30"/>
      <w:bookmarkEnd w:id="61"/>
      <w:r>
        <w:rPr>
          <w:rFonts w:ascii="Times" w:eastAsia="Times" w:hAnsi="Times" w:cs="Times"/>
          <w:color w:val="000000"/>
          <w:sz w:val="20"/>
        </w:rPr>
        <w:t> </w:t>
      </w:r>
      <w:bookmarkStart w:id="62" w:name="Bookmark_I4FMYMBG0K1MNJ3XD0000400"/>
      <w:bookmarkStart w:id="63" w:name="Bookmark_I4FMYMBG0K1MNJ3XG0000400"/>
      <w:bookmarkEnd w:id="62"/>
      <w:bookmarkEnd w:id="63"/>
      <w:r w:rsidR="007639D0">
        <w:rPr>
          <w:rFonts w:ascii="Times" w:eastAsia="Times" w:hAnsi="Times" w:cs="Times"/>
          <w:color w:val="000000"/>
          <w:sz w:val="20"/>
        </w:rPr>
        <w:t>…</w:t>
      </w:r>
      <w:proofErr w:type="gramStart"/>
      <w:r>
        <w:rPr>
          <w:rFonts w:ascii="Times" w:eastAsia="Times" w:hAnsi="Times" w:cs="Times"/>
          <w:color w:val="000000"/>
          <w:sz w:val="20"/>
        </w:rPr>
        <w:t>In order to</w:t>
      </w:r>
      <w:proofErr w:type="gramEnd"/>
      <w:r>
        <w:rPr>
          <w:rFonts w:ascii="Times" w:eastAsia="Times" w:hAnsi="Times" w:cs="Times"/>
          <w:color w:val="000000"/>
          <w:sz w:val="20"/>
        </w:rPr>
        <w:t xml:space="preserve"> avoid these inconsistencies, we conclude that those who provide post-redemption services, whether as </w:t>
      </w:r>
      <w:r>
        <w:rPr>
          <w:rFonts w:ascii="Times" w:eastAsia="Times" w:hAnsi="Times" w:cs="Times"/>
          <w:color w:val="000000"/>
          <w:sz w:val="20"/>
        </w:rPr>
        <w:t>independent contractors or employees, hold an interest prohibited by section 302(c)(2</w:t>
      </w:r>
      <w:r>
        <w:rPr>
          <w:rFonts w:ascii="Times" w:eastAsia="Times" w:hAnsi="Times" w:cs="Times"/>
          <w:color w:val="000000"/>
          <w:sz w:val="20"/>
        </w:rPr>
        <w:t>)(A)(</w:t>
      </w:r>
      <w:proofErr w:type="spellStart"/>
      <w:r>
        <w:rPr>
          <w:rFonts w:ascii="Times" w:eastAsia="Times" w:hAnsi="Times" w:cs="Times"/>
          <w:color w:val="000000"/>
          <w:sz w:val="20"/>
        </w:rPr>
        <w:t>i</w:t>
      </w:r>
      <w:proofErr w:type="spellEnd"/>
      <w:r>
        <w:rPr>
          <w:rFonts w:ascii="Times" w:eastAsia="Times" w:hAnsi="Times" w:cs="Times"/>
          <w:color w:val="000000"/>
          <w:sz w:val="20"/>
        </w:rPr>
        <w:t xml:space="preserve">) because they are more than merely creditors. </w:t>
      </w:r>
    </w:p>
    <w:p w14:paraId="7C5FB18D" w14:textId="1A543980" w:rsidR="00EC187B" w:rsidRDefault="00434380">
      <w:pPr>
        <w:widowControl w:val="0"/>
        <w:spacing w:before="200" w:line="260" w:lineRule="atLeast"/>
        <w:jc w:val="both"/>
      </w:pPr>
      <w:bookmarkStart w:id="64" w:name="Bookmark_para_31"/>
      <w:bookmarkStart w:id="65" w:name="Bookmark_I4FMYMBG0K1MNJ3XJ0000400"/>
      <w:bookmarkStart w:id="66" w:name="Bookmark_para_32"/>
      <w:bookmarkEnd w:id="64"/>
      <w:bookmarkEnd w:id="65"/>
      <w:bookmarkEnd w:id="66"/>
      <w:r>
        <w:rPr>
          <w:rFonts w:ascii="Times" w:eastAsia="Times" w:hAnsi="Times" w:cs="Times"/>
          <w:color w:val="000000"/>
          <w:sz w:val="20"/>
        </w:rPr>
        <w:t xml:space="preserve">We believe that any attempt to define </w:t>
      </w:r>
      <w:proofErr w:type="gramStart"/>
      <w:r>
        <w:rPr>
          <w:rFonts w:ascii="Times" w:eastAsia="Times" w:hAnsi="Times" w:cs="Times"/>
          <w:color w:val="000000"/>
          <w:sz w:val="20"/>
        </w:rPr>
        <w:t>prohibited  </w:t>
      </w:r>
      <w:r>
        <w:rPr>
          <w:rFonts w:ascii="Times" w:eastAsia="Times" w:hAnsi="Times" w:cs="Times"/>
          <w:color w:val="000000"/>
          <w:sz w:val="20"/>
        </w:rPr>
        <w:t>interests</w:t>
      </w:r>
      <w:proofErr w:type="gramEnd"/>
      <w:r>
        <w:rPr>
          <w:rFonts w:ascii="Times" w:eastAsia="Times" w:hAnsi="Times" w:cs="Times"/>
          <w:color w:val="000000"/>
          <w:sz w:val="20"/>
        </w:rPr>
        <w:t xml:space="preserve"> based on the level of control leads to the same difficulties inherent in making a case-by-case determination of what constitutes a financial stake. </w:t>
      </w:r>
      <w:r>
        <w:rPr>
          <w:rFonts w:ascii="Times" w:eastAsia="Times" w:hAnsi="Times" w:cs="Times"/>
          <w:vertAlign w:val="superscript"/>
        </w:rPr>
        <w:footnoteReference w:customMarkFollows="1" w:id="2"/>
        <w:t>8</w:t>
      </w:r>
      <w:r>
        <w:rPr>
          <w:rFonts w:ascii="Times" w:eastAsia="Times" w:hAnsi="Times" w:cs="Times"/>
          <w:color w:val="000000"/>
          <w:sz w:val="20"/>
        </w:rPr>
        <w:t xml:space="preserve"> </w:t>
      </w:r>
    </w:p>
    <w:p w14:paraId="7C5FB18E" w14:textId="77777777" w:rsidR="00EC187B" w:rsidRDefault="00434380">
      <w:pPr>
        <w:widowControl w:val="0"/>
        <w:spacing w:before="200" w:line="260" w:lineRule="atLeast"/>
        <w:jc w:val="both"/>
      </w:pPr>
      <w:r>
        <w:rPr>
          <w:rFonts w:ascii="Times" w:eastAsia="Times" w:hAnsi="Times" w:cs="Times"/>
          <w:color w:val="000000"/>
          <w:sz w:val="20"/>
        </w:rPr>
        <w:t>IV</w:t>
      </w:r>
    </w:p>
    <w:p w14:paraId="7C5FB18F" w14:textId="3EFE80F6" w:rsidR="00EC187B" w:rsidRDefault="00434380">
      <w:pPr>
        <w:widowControl w:val="0"/>
        <w:spacing w:before="200" w:line="260" w:lineRule="atLeast"/>
        <w:jc w:val="both"/>
      </w:pPr>
      <w:bookmarkStart w:id="68" w:name="Bookmark_para_33"/>
      <w:bookmarkEnd w:id="68"/>
      <w:r>
        <w:rPr>
          <w:rFonts w:ascii="Times" w:eastAsia="Times" w:hAnsi="Times" w:cs="Times"/>
          <w:color w:val="000000"/>
          <w:sz w:val="20"/>
        </w:rPr>
        <w:t xml:space="preserve">Our decision today comports with the plain language of section 302 and its legislative history. </w:t>
      </w:r>
      <w:r>
        <w:rPr>
          <w:rFonts w:ascii="Times" w:eastAsia="Times" w:hAnsi="Times" w:cs="Times"/>
          <w:color w:val="000000"/>
          <w:sz w:val="20"/>
        </w:rPr>
        <w:t>Taxpayers who wish to receive capita</w:t>
      </w:r>
      <w:r>
        <w:rPr>
          <w:rFonts w:ascii="Times" w:eastAsia="Times" w:hAnsi="Times" w:cs="Times"/>
          <w:color w:val="000000"/>
          <w:sz w:val="20"/>
        </w:rPr>
        <w:t xml:space="preserve">l gains treatment upon the redemption of their shares must completely sever all </w:t>
      </w:r>
      <w:proofErr w:type="spellStart"/>
      <w:r>
        <w:rPr>
          <w:rFonts w:ascii="Times" w:eastAsia="Times" w:hAnsi="Times" w:cs="Times"/>
          <w:color w:val="000000"/>
          <w:sz w:val="20"/>
        </w:rPr>
        <w:t>noncreditor</w:t>
      </w:r>
      <w:proofErr w:type="spellEnd"/>
      <w:r>
        <w:rPr>
          <w:rFonts w:ascii="Times" w:eastAsia="Times" w:hAnsi="Times" w:cs="Times"/>
          <w:color w:val="000000"/>
          <w:sz w:val="20"/>
        </w:rPr>
        <w:t xml:space="preserve"> interests in the corporation. </w:t>
      </w:r>
      <w:r>
        <w:rPr>
          <w:rFonts w:ascii="Times" w:eastAsia="Times" w:hAnsi="Times" w:cs="Times"/>
          <w:vertAlign w:val="superscript"/>
        </w:rPr>
        <w:footnoteReference w:customMarkFollows="1" w:id="3"/>
        <w:t>9</w:t>
      </w:r>
      <w:r>
        <w:rPr>
          <w:rFonts w:ascii="Times" w:eastAsia="Times" w:hAnsi="Times" w:cs="Times"/>
          <w:color w:val="000000"/>
          <w:sz w:val="20"/>
        </w:rPr>
        <w:t xml:space="preserve"> We hold that the taxpayer, as an independent contractor, held such a </w:t>
      </w:r>
      <w:proofErr w:type="spellStart"/>
      <w:r>
        <w:rPr>
          <w:rFonts w:ascii="Times" w:eastAsia="Times" w:hAnsi="Times" w:cs="Times"/>
          <w:color w:val="000000"/>
          <w:sz w:val="20"/>
        </w:rPr>
        <w:t>noncreditor</w:t>
      </w:r>
      <w:proofErr w:type="spellEnd"/>
      <w:r>
        <w:rPr>
          <w:rFonts w:ascii="Times" w:eastAsia="Times" w:hAnsi="Times" w:cs="Times"/>
          <w:color w:val="000000"/>
          <w:sz w:val="20"/>
        </w:rPr>
        <w:t xml:space="preserve"> interest, and so cannot find shelter in the safe h</w:t>
      </w:r>
      <w:r>
        <w:rPr>
          <w:rFonts w:ascii="Times" w:eastAsia="Times" w:hAnsi="Times" w:cs="Times"/>
          <w:color w:val="000000"/>
          <w:sz w:val="20"/>
        </w:rPr>
        <w:t>arbor of section 302(c)(2)(A)(</w:t>
      </w:r>
      <w:proofErr w:type="spellStart"/>
      <w:r>
        <w:rPr>
          <w:rFonts w:ascii="Times" w:eastAsia="Times" w:hAnsi="Times" w:cs="Times"/>
          <w:color w:val="000000"/>
          <w:sz w:val="20"/>
        </w:rPr>
        <w:t>i</w:t>
      </w:r>
      <w:proofErr w:type="spellEnd"/>
      <w:r>
        <w:rPr>
          <w:rFonts w:ascii="Times" w:eastAsia="Times" w:hAnsi="Times" w:cs="Times"/>
          <w:color w:val="000000"/>
          <w:sz w:val="20"/>
        </w:rPr>
        <w:t>). Accordingly, the family attribution rules of section 318 apply and the taxpayer fails to qualify for a complete redemption under section 302(b)(3). The payments from the corporation in redemption of the taxpayer's shares m</w:t>
      </w:r>
      <w:r>
        <w:rPr>
          <w:rFonts w:ascii="Times" w:eastAsia="Times" w:hAnsi="Times" w:cs="Times"/>
          <w:color w:val="000000"/>
          <w:sz w:val="20"/>
        </w:rPr>
        <w:t xml:space="preserve">ust be characterized as a dividend distribution taxable as ordinary income under section 301. </w:t>
      </w:r>
    </w:p>
    <w:p w14:paraId="7C5FB190" w14:textId="08D693CA" w:rsidR="00EC187B" w:rsidRDefault="00434380">
      <w:pPr>
        <w:widowControl w:val="0"/>
        <w:spacing w:before="200" w:line="260" w:lineRule="atLeast"/>
        <w:jc w:val="both"/>
      </w:pPr>
      <w:bookmarkStart w:id="71" w:name="Bookmark_para_34"/>
      <w:bookmarkEnd w:id="71"/>
      <w:r>
        <w:rPr>
          <w:rFonts w:ascii="Times" w:eastAsia="Times" w:hAnsi="Times" w:cs="Times"/>
          <w:color w:val="000000"/>
          <w:sz w:val="20"/>
        </w:rPr>
        <w:t xml:space="preserve">REVERSED.  </w:t>
      </w:r>
    </w:p>
    <w:p w14:paraId="7C5FB191" w14:textId="77777777" w:rsidR="00EC187B" w:rsidRDefault="00EC187B"/>
    <w:p w14:paraId="7C5FB192" w14:textId="46DEEB33" w:rsidR="00EC187B" w:rsidRDefault="00EC187B">
      <w:pPr>
        <w:ind w:left="200"/>
      </w:pPr>
    </w:p>
    <w:sectPr w:rsidR="00EC187B">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FB1A2" w14:textId="77777777" w:rsidR="00000000" w:rsidRDefault="00434380">
      <w:r>
        <w:separator/>
      </w:r>
    </w:p>
  </w:endnote>
  <w:endnote w:type="continuationSeparator" w:id="0">
    <w:p w14:paraId="7C5FB1A4" w14:textId="77777777" w:rsidR="00000000" w:rsidRDefault="0043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C187B" w14:paraId="7C5FB19C" w14:textId="77777777">
      <w:trPr>
        <w:jc w:val="center"/>
      </w:trPr>
      <w:tc>
        <w:tcPr>
          <w:tcW w:w="2600" w:type="dxa"/>
          <w:tcMar>
            <w:top w:w="200" w:type="dxa"/>
          </w:tcMar>
          <w:vAlign w:val="center"/>
        </w:tcPr>
        <w:p w14:paraId="7C5FB199" w14:textId="77777777" w:rsidR="00EC187B" w:rsidRDefault="00EC187B"/>
      </w:tc>
      <w:tc>
        <w:tcPr>
          <w:tcW w:w="4880" w:type="dxa"/>
          <w:tcMar>
            <w:top w:w="200" w:type="dxa"/>
          </w:tcMar>
          <w:vAlign w:val="center"/>
        </w:tcPr>
        <w:p w14:paraId="7C5FB19A" w14:textId="77777777" w:rsidR="00EC187B" w:rsidRDefault="00EC187B">
          <w:pPr>
            <w:jc w:val="center"/>
          </w:pPr>
        </w:p>
      </w:tc>
      <w:tc>
        <w:tcPr>
          <w:tcW w:w="2600" w:type="dxa"/>
          <w:tcMar>
            <w:top w:w="200" w:type="dxa"/>
          </w:tcMar>
          <w:vAlign w:val="center"/>
        </w:tcPr>
        <w:p w14:paraId="7C5FB19B" w14:textId="2AAE3B96" w:rsidR="00EC187B" w:rsidRDefault="0043438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8F5C82">
            <w:rPr>
              <w:rFonts w:ascii="Arial" w:eastAsia="Arial" w:hAnsi="Arial" w:cs="Arial"/>
              <w:sz w:val="20"/>
            </w:rPr>
            <w:fldChar w:fldCharType="separate"/>
          </w:r>
          <w:r w:rsidR="008F5C82">
            <w:rPr>
              <w:rFonts w:ascii="Arial" w:eastAsia="Arial" w:hAnsi="Arial" w:cs="Arial"/>
              <w:noProof/>
              <w:sz w:val="20"/>
            </w:rPr>
            <w:t>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8F5C82">
            <w:rPr>
              <w:rFonts w:ascii="Arial" w:eastAsia="Arial" w:hAnsi="Arial" w:cs="Arial"/>
              <w:sz w:val="20"/>
            </w:rPr>
            <w:fldChar w:fldCharType="separate"/>
          </w:r>
          <w:r w:rsidR="008F5C82">
            <w:rPr>
              <w:rFonts w:ascii="Arial" w:eastAsia="Arial" w:hAnsi="Arial" w:cs="Arial"/>
              <w:noProof/>
              <w:sz w:val="20"/>
            </w:rPr>
            <w:t>2</w:t>
          </w:r>
          <w:r>
            <w:rPr>
              <w:rFonts w:ascii="Arial" w:eastAsia="Arial" w:hAnsi="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5FB19D" w14:textId="77777777" w:rsidR="00EC187B" w:rsidRDefault="00EC187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5FB19E" w14:textId="77777777" w:rsidR="00000000" w:rsidRDefault="00434380">
      <w:r>
        <w:separator/>
      </w:r>
    </w:p>
  </w:footnote>
  <w:footnote w:type="continuationSeparator" w:id="0">
    <w:p w14:paraId="7C5FB1A0" w14:textId="77777777" w:rsidR="00000000" w:rsidRDefault="00434380">
      <w:r>
        <w:continuationSeparator/>
      </w:r>
    </w:p>
  </w:footnote>
  <w:footnote w:id="1">
    <w:p w14:paraId="670452A5" w14:textId="77777777" w:rsidR="00AF24B0" w:rsidRDefault="00AF24B0" w:rsidP="00AF24B0">
      <w:pPr>
        <w:widowControl w:val="0"/>
        <w:spacing w:before="120" w:line="240" w:lineRule="atLeast"/>
        <w:jc w:val="both"/>
      </w:pPr>
      <w:r>
        <w:rPr>
          <w:rFonts w:ascii="Times" w:eastAsia="Times" w:hAnsi="Times" w:cs="Times"/>
          <w:color w:val="000000"/>
          <w:sz w:val="18"/>
          <w:vertAlign w:val="superscript"/>
        </w:rPr>
        <w:t>4 </w:t>
      </w:r>
      <w:bookmarkStart w:id="14" w:name="Bookmark_fnpara_4"/>
      <w:bookmarkEnd w:id="14"/>
      <w:r>
        <w:rPr>
          <w:rFonts w:ascii="Times" w:eastAsia="Times" w:hAnsi="Times" w:cs="Times"/>
          <w:color w:val="000000"/>
          <w:sz w:val="18"/>
        </w:rPr>
        <w:t xml:space="preserve">On the date of the redemption, W.M. Lynch Co. had accumulated earnings and profits of </w:t>
      </w:r>
      <w:proofErr w:type="gramStart"/>
      <w:r>
        <w:rPr>
          <w:rFonts w:ascii="Times" w:eastAsia="Times" w:hAnsi="Times" w:cs="Times"/>
          <w:color w:val="000000"/>
          <w:sz w:val="18"/>
        </w:rPr>
        <w:t>$315,863, and</w:t>
      </w:r>
      <w:proofErr w:type="gramEnd"/>
      <w:r>
        <w:rPr>
          <w:rFonts w:ascii="Times" w:eastAsia="Times" w:hAnsi="Times" w:cs="Times"/>
          <w:color w:val="000000"/>
          <w:sz w:val="18"/>
        </w:rPr>
        <w:t xml:space="preserve"> had never paid a dividend.</w:t>
      </w:r>
    </w:p>
  </w:footnote>
  <w:footnote w:id="2">
    <w:p w14:paraId="7C5FB1A5" w14:textId="77777777" w:rsidR="00EC187B" w:rsidRDefault="00434380">
      <w:pPr>
        <w:widowControl w:val="0"/>
        <w:spacing w:before="120" w:line="240" w:lineRule="atLeast"/>
        <w:jc w:val="both"/>
      </w:pPr>
      <w:r>
        <w:rPr>
          <w:rFonts w:ascii="Times" w:eastAsia="Times" w:hAnsi="Times" w:cs="Times"/>
          <w:color w:val="000000"/>
          <w:sz w:val="18"/>
          <w:vertAlign w:val="superscript"/>
        </w:rPr>
        <w:t>8 </w:t>
      </w:r>
      <w:bookmarkStart w:id="67" w:name="Bookmark_fnpara_8"/>
      <w:bookmarkEnd w:id="67"/>
      <w:r>
        <w:rPr>
          <w:rFonts w:ascii="Times" w:eastAsia="Times" w:hAnsi="Times" w:cs="Times"/>
          <w:color w:val="000000"/>
          <w:sz w:val="18"/>
        </w:rPr>
        <w:t>Determining the existence of control is particularly difficult in the context of a family-held corporation. The exercise of control often will not be o</w:t>
      </w:r>
      <w:r>
        <w:rPr>
          <w:rFonts w:ascii="Times" w:eastAsia="Times" w:hAnsi="Times" w:cs="Times"/>
          <w:color w:val="000000"/>
          <w:sz w:val="18"/>
        </w:rPr>
        <w:t xml:space="preserve">bvious because a parent may influence a child, and hence corporate </w:t>
      </w:r>
      <w:proofErr w:type="spellStart"/>
      <w:r>
        <w:rPr>
          <w:rFonts w:ascii="Times" w:eastAsia="Times" w:hAnsi="Times" w:cs="Times"/>
          <w:color w:val="000000"/>
          <w:sz w:val="18"/>
        </w:rPr>
        <w:t>decisionmaking</w:t>
      </w:r>
      <w:proofErr w:type="spellEnd"/>
      <w:r>
        <w:rPr>
          <w:rFonts w:ascii="Times" w:eastAsia="Times" w:hAnsi="Times" w:cs="Times"/>
          <w:color w:val="000000"/>
          <w:sz w:val="18"/>
        </w:rPr>
        <w:t>, in myriad ways. Our rule that the provision of services is a prohibited interest eliminates the need to make a speculative inquiry into whether the parent still controls the</w:t>
      </w:r>
      <w:r>
        <w:rPr>
          <w:rFonts w:ascii="Times" w:eastAsia="Times" w:hAnsi="Times" w:cs="Times"/>
          <w:color w:val="000000"/>
          <w:sz w:val="18"/>
        </w:rPr>
        <w:t xml:space="preserve"> corporation after the redemption. Of course, no rule could or should prohibit post-redemption parent-child communication concerning the management of the corporation.</w:t>
      </w:r>
    </w:p>
  </w:footnote>
  <w:footnote w:id="3">
    <w:p w14:paraId="7C5FB1A6" w14:textId="77777777" w:rsidR="00EC187B" w:rsidRDefault="00434380">
      <w:pPr>
        <w:widowControl w:val="0"/>
        <w:spacing w:before="200" w:line="240" w:lineRule="atLeast"/>
        <w:jc w:val="both"/>
      </w:pPr>
      <w:r>
        <w:rPr>
          <w:rFonts w:ascii="Times" w:eastAsia="Times" w:hAnsi="Times" w:cs="Times"/>
          <w:color w:val="000000"/>
          <w:sz w:val="18"/>
          <w:vertAlign w:val="superscript"/>
        </w:rPr>
        <w:t>9 </w:t>
      </w:r>
      <w:bookmarkStart w:id="69" w:name="Bookmark_fnpara_9"/>
      <w:bookmarkEnd w:id="69"/>
      <w:r>
        <w:rPr>
          <w:rFonts w:ascii="Times" w:eastAsia="Times" w:hAnsi="Times" w:cs="Times"/>
          <w:color w:val="000000"/>
          <w:sz w:val="18"/>
        </w:rPr>
        <w:t>Our definition of a prohibited interest still leaves an open question as to the permis</w:t>
      </w:r>
      <w:r>
        <w:rPr>
          <w:rFonts w:ascii="Times" w:eastAsia="Times" w:hAnsi="Times" w:cs="Times"/>
          <w:color w:val="000000"/>
          <w:sz w:val="18"/>
        </w:rPr>
        <w:t>sible scope of a creditor's interest under section 302(c)(2)(A)(</w:t>
      </w:r>
      <w:proofErr w:type="spellStart"/>
      <w:r>
        <w:rPr>
          <w:rFonts w:ascii="Times" w:eastAsia="Times" w:hAnsi="Times" w:cs="Times"/>
          <w:color w:val="000000"/>
          <w:sz w:val="18"/>
        </w:rPr>
        <w:t>i</w:t>
      </w:r>
      <w:proofErr w:type="spellEnd"/>
      <w:r>
        <w:rPr>
          <w:rFonts w:ascii="Times" w:eastAsia="Times" w:hAnsi="Times" w:cs="Times"/>
          <w:color w:val="000000"/>
          <w:sz w:val="18"/>
        </w:rPr>
        <w:t xml:space="preserve">). </w:t>
      </w:r>
      <w:r>
        <w:rPr>
          <w:rFonts w:ascii="Times" w:eastAsia="Times" w:hAnsi="Times" w:cs="Times"/>
          <w:i/>
          <w:color w:val="000000"/>
          <w:sz w:val="18"/>
        </w:rPr>
        <w:t>See, e.g.</w:t>
      </w:r>
      <w:r>
        <w:rPr>
          <w:rFonts w:ascii="Times" w:eastAsia="Times" w:hAnsi="Times" w:cs="Times"/>
          <w:color w:val="000000"/>
          <w:sz w:val="18"/>
        </w:rPr>
        <w:t xml:space="preserve">, Treas. Reg. § 1.302-4(d) (a creditor's claim must not be subordinate to the claims of general creditors or in any other sense proprietary, </w:t>
      </w:r>
      <w:r>
        <w:rPr>
          <w:rFonts w:ascii="Times" w:eastAsia="Times" w:hAnsi="Times" w:cs="Times"/>
          <w:i/>
          <w:color w:val="000000"/>
          <w:sz w:val="18"/>
        </w:rPr>
        <w:t>i.e.</w:t>
      </w:r>
      <w:r>
        <w:rPr>
          <w:rFonts w:ascii="Times" w:eastAsia="Times" w:hAnsi="Times" w:cs="Times"/>
          <w:color w:val="000000"/>
          <w:sz w:val="18"/>
        </w:rPr>
        <w:t>, principal payments or interest r</w:t>
      </w:r>
      <w:r>
        <w:rPr>
          <w:rFonts w:ascii="Times" w:eastAsia="Times" w:hAnsi="Times" w:cs="Times"/>
          <w:color w:val="000000"/>
          <w:sz w:val="18"/>
        </w:rPr>
        <w:t xml:space="preserve">ates must not be contingent on the earnings of the corporation). </w:t>
      </w:r>
    </w:p>
    <w:p w14:paraId="7C5FB1A7" w14:textId="77777777" w:rsidR="00EC187B" w:rsidRDefault="00434380">
      <w:pPr>
        <w:widowControl w:val="0"/>
        <w:spacing w:before="120" w:line="240" w:lineRule="atLeast"/>
        <w:jc w:val="both"/>
      </w:pPr>
      <w:bookmarkStart w:id="70" w:name="Bookmark_fnpara_10"/>
      <w:bookmarkEnd w:id="70"/>
      <w:r>
        <w:rPr>
          <w:rFonts w:ascii="Times" w:eastAsia="Times" w:hAnsi="Times" w:cs="Times"/>
          <w:color w:val="000000"/>
          <w:sz w:val="18"/>
        </w:rPr>
        <w:t>The taxpayer argues that some creditor relationships might result in an "opportunity to influence" as great or greater than any officer, director, or employee relationship. He cites Rev. Rul</w:t>
      </w:r>
      <w:r>
        <w:rPr>
          <w:rFonts w:ascii="Times" w:eastAsia="Times" w:hAnsi="Times" w:cs="Times"/>
          <w:color w:val="000000"/>
          <w:sz w:val="18"/>
        </w:rPr>
        <w:t>ing 77-467, 1977-2 C.B. 92 which concluded that a taxpayer who leased real property to a corporation, after the corporation redeemed his shares, held a creditor's interest under section 302(c)(2)(A)(</w:t>
      </w:r>
      <w:proofErr w:type="spellStart"/>
      <w:r>
        <w:rPr>
          <w:rFonts w:ascii="Times" w:eastAsia="Times" w:hAnsi="Times" w:cs="Times"/>
          <w:color w:val="000000"/>
          <w:sz w:val="18"/>
        </w:rPr>
        <w:t>i</w:t>
      </w:r>
      <w:proofErr w:type="spellEnd"/>
      <w:r>
        <w:rPr>
          <w:rFonts w:ascii="Times" w:eastAsia="Times" w:hAnsi="Times" w:cs="Times"/>
          <w:color w:val="000000"/>
          <w:sz w:val="18"/>
        </w:rPr>
        <w:t>). While the taxpayer here may be correct in his assessm</w:t>
      </w:r>
      <w:r>
        <w:rPr>
          <w:rFonts w:ascii="Times" w:eastAsia="Times" w:hAnsi="Times" w:cs="Times"/>
          <w:color w:val="000000"/>
          <w:sz w:val="18"/>
        </w:rPr>
        <w:t>ent of a creditor's "opportunity to influence" a corporation, he overlooks the fact that Congress specifically allowed the right to retain such an interest.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C187B" w14:paraId="7C5FB196" w14:textId="77777777">
      <w:trPr>
        <w:jc w:val="center"/>
      </w:trPr>
      <w:tc>
        <w:tcPr>
          <w:tcW w:w="10080" w:type="dxa"/>
          <w:vAlign w:val="center"/>
        </w:tcPr>
        <w:p w14:paraId="7C5FB195" w14:textId="77777777" w:rsidR="00EC187B" w:rsidRDefault="00EC187B"/>
      </w:tc>
    </w:tr>
    <w:tr w:rsidR="00EC187B" w14:paraId="7C5FB198" w14:textId="77777777">
      <w:trPr>
        <w:jc w:val="center"/>
      </w:trPr>
      <w:tc>
        <w:tcPr>
          <w:tcW w:w="10080" w:type="dxa"/>
        </w:tcPr>
        <w:p w14:paraId="7C5FB197" w14:textId="77777777" w:rsidR="00EC187B" w:rsidRDefault="00434380">
          <w:pPr>
            <w:spacing w:before="60" w:after="200"/>
            <w:jc w:val="center"/>
          </w:pPr>
          <w:r>
            <w:rPr>
              <w:rFonts w:ascii="Times" w:eastAsia="Times" w:hAnsi="Times" w:cs="Times"/>
              <w:sz w:val="20"/>
            </w:rPr>
            <w:t>Lynch v. Commissioner</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15F24"/>
    <w:rsid w:val="000C2CDC"/>
    <w:rsid w:val="00121560"/>
    <w:rsid w:val="002E4CAC"/>
    <w:rsid w:val="0032440A"/>
    <w:rsid w:val="0036344E"/>
    <w:rsid w:val="003C104D"/>
    <w:rsid w:val="00406791"/>
    <w:rsid w:val="00434380"/>
    <w:rsid w:val="00476003"/>
    <w:rsid w:val="00503ACD"/>
    <w:rsid w:val="006C0AD3"/>
    <w:rsid w:val="007639D0"/>
    <w:rsid w:val="00772034"/>
    <w:rsid w:val="007F3814"/>
    <w:rsid w:val="008A166A"/>
    <w:rsid w:val="008F5C82"/>
    <w:rsid w:val="008F6276"/>
    <w:rsid w:val="00990277"/>
    <w:rsid w:val="00A0113B"/>
    <w:rsid w:val="00A502CF"/>
    <w:rsid w:val="00A77B3E"/>
    <w:rsid w:val="00AF244C"/>
    <w:rsid w:val="00AF24B0"/>
    <w:rsid w:val="00B74B15"/>
    <w:rsid w:val="00CA2A55"/>
    <w:rsid w:val="00E41986"/>
    <w:rsid w:val="00EC187B"/>
    <w:rsid w:val="00FC204C"/>
    <w:rsid w:val="00FE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C5FB159"/>
  <w15:docId w15:val="{75808257-4BFA-3848-AC38-6F16D25F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292F9F294C3F4CAD839B56B38B4D42" ma:contentTypeVersion="9" ma:contentTypeDescription="Create a new document." ma:contentTypeScope="" ma:versionID="7956e4db1216c98a8e36382e830393de">
  <xsd:schema xmlns:xsd="http://www.w3.org/2001/XMLSchema" xmlns:xs="http://www.w3.org/2001/XMLSchema" xmlns:p="http://schemas.microsoft.com/office/2006/metadata/properties" xmlns:ns2="c7474d1f-094f-44b1-a562-73ea0c9f11cc" targetNamespace="http://schemas.microsoft.com/office/2006/metadata/properties" ma:root="true" ma:fieldsID="969614cc26e692d9cebec2f10d88060a" ns2:_="">
    <xsd:import namespace="c7474d1f-094f-44b1-a562-73ea0c9f11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474d1f-094f-44b1-a562-73ea0c9f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6D8318-78B4-4BD5-AA32-5CC465217C81}"/>
</file>

<file path=customXml/itemProps2.xml><?xml version="1.0" encoding="utf-8"?>
<ds:datastoreItem xmlns:ds="http://schemas.openxmlformats.org/officeDocument/2006/customXml" ds:itemID="{F649F7F1-DE58-45C4-9449-1EE4EABF504A}"/>
</file>

<file path=customXml/itemProps3.xml><?xml version="1.0" encoding="utf-8"?>
<ds:datastoreItem xmlns:ds="http://schemas.openxmlformats.org/officeDocument/2006/customXml" ds:itemID="{CF7F9B1F-B9F5-44EC-88D1-05E57E8EB035}"/>
</file>

<file path=docProps/app.xml><?xml version="1.0" encoding="utf-8"?>
<Properties xmlns="http://schemas.openxmlformats.org/officeDocument/2006/extended-properties" xmlns:vt="http://schemas.openxmlformats.org/officeDocument/2006/docPropsVTypes">
  <Template>Normal.dotm</Template>
  <TotalTime>25</TotalTime>
  <Pages>3</Pages>
  <Words>2214</Words>
  <Characters>11992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Lynch v. Commissioner</dc:title>
  <cp:lastModifiedBy>J Colon</cp:lastModifiedBy>
  <cp:revision>29</cp:revision>
  <dcterms:created xsi:type="dcterms:W3CDTF">2021-02-20T18:42:00Z</dcterms:created>
  <dcterms:modified xsi:type="dcterms:W3CDTF">2021-02-21T00:05:00Z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137051691</vt:lpwstr>
  </property>
  <property fmtid="{D5CDD505-2E9C-101B-9397-08002B2CF9AE}" pid="3" name="LADocCount">
    <vt:lpwstr>1</vt:lpwstr>
  </property>
  <property fmtid="{D5CDD505-2E9C-101B-9397-08002B2CF9AE}" pid="4" name="UserPermID">
    <vt:lpwstr>urn:user:PA901699</vt:lpwstr>
  </property>
  <property fmtid="{D5CDD505-2E9C-101B-9397-08002B2CF9AE}" pid="5" name="ContentTypeId">
    <vt:lpwstr>0x0101006E292F9F294C3F4CAD839B56B38B4D42</vt:lpwstr>
  </property>
</Properties>
</file>