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49E0F" w14:textId="56A550BD" w:rsidR="004E21FC" w:rsidRPr="00035858" w:rsidRDefault="004E21FC" w:rsidP="004E21FC">
      <w:pPr>
        <w:ind w:left="720" w:hanging="360"/>
        <w:rPr>
          <w:rFonts w:asciiTheme="minorHAnsi" w:hAnsiTheme="minorHAnsi" w:cstheme="minorHAnsi"/>
          <w:sz w:val="22"/>
          <w:szCs w:val="22"/>
        </w:rPr>
      </w:pPr>
      <w:r w:rsidRPr="00035858">
        <w:rPr>
          <w:rFonts w:asciiTheme="minorHAnsi" w:hAnsiTheme="minorHAnsi" w:cstheme="minorHAnsi"/>
          <w:sz w:val="22"/>
          <w:szCs w:val="22"/>
        </w:rPr>
        <w:t xml:space="preserve">For the Qs below, assume that the </w:t>
      </w:r>
      <w:r w:rsidR="00592849" w:rsidRPr="00035858">
        <w:rPr>
          <w:rFonts w:asciiTheme="minorHAnsi" w:hAnsiTheme="minorHAnsi" w:cstheme="minorHAnsi"/>
          <w:sz w:val="22"/>
          <w:szCs w:val="22"/>
        </w:rPr>
        <w:t xml:space="preserve">T </w:t>
      </w:r>
      <w:r w:rsidRPr="00035858">
        <w:rPr>
          <w:rFonts w:asciiTheme="minorHAnsi" w:hAnsiTheme="minorHAnsi" w:cstheme="minorHAnsi"/>
          <w:sz w:val="22"/>
          <w:szCs w:val="22"/>
        </w:rPr>
        <w:t>distribution requirement is met.</w:t>
      </w:r>
    </w:p>
    <w:p w14:paraId="501E8071" w14:textId="77777777" w:rsidR="004E21FC" w:rsidRPr="00035858" w:rsidRDefault="004E21FC" w:rsidP="004E21FC">
      <w:pPr>
        <w:ind w:left="720" w:hanging="360"/>
        <w:rPr>
          <w:rFonts w:asciiTheme="minorHAnsi" w:hAnsiTheme="minorHAnsi" w:cstheme="minorHAnsi"/>
          <w:sz w:val="22"/>
          <w:szCs w:val="22"/>
        </w:rPr>
      </w:pPr>
    </w:p>
    <w:p w14:paraId="4FF4A40A" w14:textId="05AF58CC" w:rsidR="004E21FC" w:rsidRPr="00035858" w:rsidRDefault="004E21FC" w:rsidP="004E21FC">
      <w:pPr>
        <w:pStyle w:val="ListParagraph"/>
        <w:numPr>
          <w:ilvl w:val="0"/>
          <w:numId w:val="1"/>
        </w:numPr>
        <w:rPr>
          <w:rFonts w:eastAsia="Times New Roman" w:cstheme="minorHAnsi"/>
          <w:sz w:val="22"/>
          <w:szCs w:val="22"/>
        </w:rPr>
      </w:pPr>
      <w:r w:rsidRPr="00035858">
        <w:rPr>
          <w:rFonts w:eastAsia="Times New Roman" w:cstheme="minorHAnsi"/>
          <w:color w:val="000000"/>
          <w:sz w:val="22"/>
          <w:szCs w:val="22"/>
          <w:shd w:val="clear" w:color="auto" w:fill="FFFFFF"/>
        </w:rPr>
        <w:t xml:space="preserve">T Corporation has </w:t>
      </w:r>
      <w:r w:rsidRPr="00035858">
        <w:rPr>
          <w:rFonts w:eastAsia="Times New Roman" w:cstheme="minorHAnsi"/>
          <w:color w:val="000000"/>
          <w:sz w:val="22"/>
          <w:szCs w:val="22"/>
          <w:shd w:val="clear" w:color="auto" w:fill="FFFFFF"/>
        </w:rPr>
        <w:t>1,000</w:t>
      </w:r>
      <w:r w:rsidRPr="00035858">
        <w:rPr>
          <w:rFonts w:eastAsia="Times New Roman" w:cstheme="minorHAnsi"/>
          <w:color w:val="000000"/>
          <w:sz w:val="22"/>
          <w:szCs w:val="22"/>
          <w:shd w:val="clear" w:color="auto" w:fill="FFFFFF"/>
        </w:rPr>
        <w:t xml:space="preserve">x </w:t>
      </w:r>
      <w:r w:rsidRPr="00035858">
        <w:rPr>
          <w:rFonts w:eastAsia="Times New Roman" w:cstheme="minorHAnsi"/>
          <w:color w:val="000000"/>
          <w:sz w:val="22"/>
          <w:szCs w:val="22"/>
          <w:shd w:val="clear" w:color="auto" w:fill="FFFFFF"/>
        </w:rPr>
        <w:t>of a</w:t>
      </w:r>
      <w:r w:rsidRPr="00035858">
        <w:rPr>
          <w:rFonts w:eastAsia="Times New Roman" w:cstheme="minorHAnsi"/>
          <w:color w:val="000000"/>
          <w:sz w:val="22"/>
          <w:szCs w:val="22"/>
          <w:shd w:val="clear" w:color="auto" w:fill="FFFFFF"/>
        </w:rPr>
        <w:t>ssets</w:t>
      </w:r>
      <w:r w:rsidRPr="00035858">
        <w:rPr>
          <w:rFonts w:eastAsia="Times New Roman" w:cstheme="minorHAnsi"/>
          <w:color w:val="000000"/>
          <w:sz w:val="22"/>
          <w:szCs w:val="22"/>
          <w:shd w:val="clear" w:color="auto" w:fill="FFFFFF"/>
        </w:rPr>
        <w:t xml:space="preserve"> and 0x of liabilities. P acquires all of T’s assets for 1,000x of P voting stock.  </w:t>
      </w:r>
    </w:p>
    <w:p w14:paraId="7745E292" w14:textId="26DCF403" w:rsidR="009034A0" w:rsidRPr="00035858" w:rsidRDefault="004E21FC" w:rsidP="004E21FC">
      <w:pPr>
        <w:pStyle w:val="ListParagraph"/>
        <w:numPr>
          <w:ilvl w:val="0"/>
          <w:numId w:val="1"/>
        </w:numPr>
        <w:rPr>
          <w:rFonts w:cstheme="minorHAnsi"/>
          <w:sz w:val="22"/>
          <w:szCs w:val="22"/>
        </w:rPr>
      </w:pPr>
      <w:r w:rsidRPr="00035858">
        <w:rPr>
          <w:rFonts w:eastAsia="Times New Roman" w:cstheme="minorHAnsi"/>
          <w:color w:val="000000"/>
          <w:sz w:val="22"/>
          <w:szCs w:val="22"/>
          <w:shd w:val="clear" w:color="auto" w:fill="FFFFFF"/>
        </w:rPr>
        <w:t xml:space="preserve">T Corporation has 1,000x of assets and </w:t>
      </w:r>
      <w:r w:rsidRPr="00035858">
        <w:rPr>
          <w:rFonts w:eastAsia="Times New Roman" w:cstheme="minorHAnsi"/>
          <w:color w:val="000000"/>
          <w:sz w:val="22"/>
          <w:szCs w:val="22"/>
          <w:shd w:val="clear" w:color="auto" w:fill="FFFFFF"/>
        </w:rPr>
        <w:t>150</w:t>
      </w:r>
      <w:r w:rsidRPr="00035858">
        <w:rPr>
          <w:rFonts w:eastAsia="Times New Roman" w:cstheme="minorHAnsi"/>
          <w:color w:val="000000"/>
          <w:sz w:val="22"/>
          <w:szCs w:val="22"/>
          <w:shd w:val="clear" w:color="auto" w:fill="FFFFFF"/>
        </w:rPr>
        <w:t xml:space="preserve">x of liabilities. P acquires all of T’s assets </w:t>
      </w:r>
      <w:r w:rsidRPr="00035858">
        <w:rPr>
          <w:rFonts w:eastAsia="Times New Roman" w:cstheme="minorHAnsi"/>
          <w:color w:val="000000"/>
          <w:sz w:val="22"/>
          <w:szCs w:val="22"/>
          <w:shd w:val="clear" w:color="auto" w:fill="FFFFFF"/>
        </w:rPr>
        <w:t>and assumes all of T’s liabilities in exchange for 850x</w:t>
      </w:r>
      <w:r w:rsidRPr="00035858">
        <w:rPr>
          <w:rFonts w:eastAsia="Times New Roman" w:cstheme="minorHAnsi"/>
          <w:color w:val="000000"/>
          <w:sz w:val="22"/>
          <w:szCs w:val="22"/>
          <w:shd w:val="clear" w:color="auto" w:fill="FFFFFF"/>
        </w:rPr>
        <w:t xml:space="preserve"> of P voting stock.  </w:t>
      </w:r>
    </w:p>
    <w:p w14:paraId="171AD594" w14:textId="559C950B" w:rsidR="004E21FC" w:rsidRPr="00035858" w:rsidRDefault="004E21FC" w:rsidP="004E21FC">
      <w:pPr>
        <w:pStyle w:val="ListParagraph"/>
        <w:numPr>
          <w:ilvl w:val="0"/>
          <w:numId w:val="1"/>
        </w:numPr>
        <w:rPr>
          <w:rFonts w:cstheme="minorHAnsi"/>
          <w:sz w:val="22"/>
          <w:szCs w:val="22"/>
        </w:rPr>
      </w:pPr>
      <w:r w:rsidRPr="00035858">
        <w:rPr>
          <w:rFonts w:eastAsia="Times New Roman" w:cstheme="minorHAnsi"/>
          <w:color w:val="000000"/>
          <w:sz w:val="22"/>
          <w:szCs w:val="22"/>
          <w:shd w:val="clear" w:color="auto" w:fill="FFFFFF"/>
        </w:rPr>
        <w:t xml:space="preserve">T Corporation has 1,000x of assets and </w:t>
      </w:r>
      <w:r w:rsidRPr="00035858">
        <w:rPr>
          <w:rFonts w:eastAsia="Times New Roman" w:cstheme="minorHAnsi"/>
          <w:color w:val="000000"/>
          <w:sz w:val="22"/>
          <w:szCs w:val="22"/>
          <w:shd w:val="clear" w:color="auto" w:fill="FFFFFF"/>
        </w:rPr>
        <w:t>3</w:t>
      </w:r>
      <w:r w:rsidRPr="00035858">
        <w:rPr>
          <w:rFonts w:eastAsia="Times New Roman" w:cstheme="minorHAnsi"/>
          <w:color w:val="000000"/>
          <w:sz w:val="22"/>
          <w:szCs w:val="22"/>
          <w:shd w:val="clear" w:color="auto" w:fill="FFFFFF"/>
        </w:rPr>
        <w:t xml:space="preserve">50x of liabilities. P acquires all of T’s assets and assumes all of T’s liabilities in exchange for </w:t>
      </w:r>
      <w:r w:rsidRPr="00035858">
        <w:rPr>
          <w:rFonts w:eastAsia="Times New Roman" w:cstheme="minorHAnsi"/>
          <w:color w:val="000000"/>
          <w:sz w:val="22"/>
          <w:szCs w:val="22"/>
          <w:shd w:val="clear" w:color="auto" w:fill="FFFFFF"/>
        </w:rPr>
        <w:t>6</w:t>
      </w:r>
      <w:r w:rsidRPr="00035858">
        <w:rPr>
          <w:rFonts w:eastAsia="Times New Roman" w:cstheme="minorHAnsi"/>
          <w:color w:val="000000"/>
          <w:sz w:val="22"/>
          <w:szCs w:val="22"/>
          <w:shd w:val="clear" w:color="auto" w:fill="FFFFFF"/>
        </w:rPr>
        <w:t xml:space="preserve">50x of P voting stock.  </w:t>
      </w:r>
    </w:p>
    <w:p w14:paraId="003C3657" w14:textId="38EE8474" w:rsidR="002F545D" w:rsidRPr="00035858" w:rsidRDefault="002F545D" w:rsidP="002F545D">
      <w:pPr>
        <w:pStyle w:val="ListParagraph"/>
        <w:numPr>
          <w:ilvl w:val="0"/>
          <w:numId w:val="1"/>
        </w:numPr>
        <w:rPr>
          <w:rFonts w:eastAsia="Times New Roman" w:cstheme="minorHAnsi"/>
          <w:sz w:val="22"/>
          <w:szCs w:val="22"/>
        </w:rPr>
      </w:pPr>
      <w:r w:rsidRPr="00035858">
        <w:rPr>
          <w:rFonts w:eastAsia="Times New Roman" w:cstheme="minorHAnsi"/>
          <w:color w:val="000000"/>
          <w:sz w:val="22"/>
          <w:szCs w:val="22"/>
          <w:shd w:val="clear" w:color="auto" w:fill="FFFFFF"/>
        </w:rPr>
        <w:t xml:space="preserve">T Corporation has 1,000x of assets and 0x of liabilities. P acquires all of T’s assets for </w:t>
      </w:r>
      <w:r w:rsidRPr="00035858">
        <w:rPr>
          <w:rFonts w:eastAsia="Times New Roman" w:cstheme="minorHAnsi"/>
          <w:color w:val="000000"/>
          <w:sz w:val="22"/>
          <w:szCs w:val="22"/>
          <w:shd w:val="clear" w:color="auto" w:fill="FFFFFF"/>
        </w:rPr>
        <w:t>850</w:t>
      </w:r>
      <w:r w:rsidRPr="00035858">
        <w:rPr>
          <w:rFonts w:eastAsia="Times New Roman" w:cstheme="minorHAnsi"/>
          <w:color w:val="000000"/>
          <w:sz w:val="22"/>
          <w:szCs w:val="22"/>
          <w:shd w:val="clear" w:color="auto" w:fill="FFFFFF"/>
        </w:rPr>
        <w:t>x of P voting stock</w:t>
      </w:r>
      <w:r w:rsidRPr="00035858">
        <w:rPr>
          <w:rFonts w:eastAsia="Times New Roman" w:cstheme="minorHAnsi"/>
          <w:color w:val="000000"/>
          <w:sz w:val="22"/>
          <w:szCs w:val="22"/>
          <w:shd w:val="clear" w:color="auto" w:fill="FFFFFF"/>
        </w:rPr>
        <w:t xml:space="preserve"> and 150x of $</w:t>
      </w:r>
      <w:r w:rsidRPr="00035858">
        <w:rPr>
          <w:rFonts w:eastAsia="Times New Roman" w:cstheme="minorHAnsi"/>
          <w:color w:val="000000"/>
          <w:sz w:val="22"/>
          <w:szCs w:val="22"/>
          <w:shd w:val="clear" w:color="auto" w:fill="FFFFFF"/>
        </w:rPr>
        <w:t xml:space="preserve">.  </w:t>
      </w:r>
    </w:p>
    <w:p w14:paraId="380E48D7" w14:textId="3B15FE08" w:rsidR="002F545D" w:rsidRPr="00035858" w:rsidRDefault="002F545D" w:rsidP="002F545D">
      <w:pPr>
        <w:pStyle w:val="ListParagraph"/>
        <w:numPr>
          <w:ilvl w:val="0"/>
          <w:numId w:val="1"/>
        </w:numPr>
        <w:rPr>
          <w:rFonts w:cstheme="minorHAnsi"/>
          <w:sz w:val="22"/>
          <w:szCs w:val="22"/>
        </w:rPr>
      </w:pPr>
      <w:r w:rsidRPr="00035858">
        <w:rPr>
          <w:rFonts w:eastAsia="Times New Roman" w:cstheme="minorHAnsi"/>
          <w:color w:val="000000"/>
          <w:sz w:val="22"/>
          <w:szCs w:val="22"/>
          <w:shd w:val="clear" w:color="auto" w:fill="FFFFFF"/>
        </w:rPr>
        <w:t>T Corporation has 1,000x of assets and 150x of liabilities. P acquires all of T’s assets and assumes all of T’s liabilities in exchange for 8</w:t>
      </w:r>
      <w:r w:rsidRPr="00035858">
        <w:rPr>
          <w:rFonts w:eastAsia="Times New Roman" w:cstheme="minorHAnsi"/>
          <w:color w:val="000000"/>
          <w:sz w:val="22"/>
          <w:szCs w:val="22"/>
          <w:shd w:val="clear" w:color="auto" w:fill="FFFFFF"/>
        </w:rPr>
        <w:t>00</w:t>
      </w:r>
      <w:r w:rsidRPr="00035858">
        <w:rPr>
          <w:rFonts w:eastAsia="Times New Roman" w:cstheme="minorHAnsi"/>
          <w:color w:val="000000"/>
          <w:sz w:val="22"/>
          <w:szCs w:val="22"/>
          <w:shd w:val="clear" w:color="auto" w:fill="FFFFFF"/>
        </w:rPr>
        <w:t>x of P voting stock</w:t>
      </w:r>
      <w:r w:rsidRPr="00035858">
        <w:rPr>
          <w:rFonts w:eastAsia="Times New Roman" w:cstheme="minorHAnsi"/>
          <w:color w:val="000000"/>
          <w:sz w:val="22"/>
          <w:szCs w:val="22"/>
          <w:shd w:val="clear" w:color="auto" w:fill="FFFFFF"/>
        </w:rPr>
        <w:t xml:space="preserve"> and 50x of $</w:t>
      </w:r>
      <w:r w:rsidRPr="00035858">
        <w:rPr>
          <w:rFonts w:eastAsia="Times New Roman" w:cstheme="minorHAnsi"/>
          <w:color w:val="000000"/>
          <w:sz w:val="22"/>
          <w:szCs w:val="22"/>
          <w:shd w:val="clear" w:color="auto" w:fill="FFFFFF"/>
        </w:rPr>
        <w:t xml:space="preserve">.  </w:t>
      </w:r>
    </w:p>
    <w:p w14:paraId="254118CE" w14:textId="00ECD8A3" w:rsidR="002F545D" w:rsidRPr="00035858" w:rsidRDefault="002F545D" w:rsidP="002F545D">
      <w:pPr>
        <w:pStyle w:val="ListParagraph"/>
        <w:numPr>
          <w:ilvl w:val="0"/>
          <w:numId w:val="1"/>
        </w:numPr>
        <w:rPr>
          <w:rFonts w:cstheme="minorHAnsi"/>
          <w:sz w:val="22"/>
          <w:szCs w:val="22"/>
        </w:rPr>
      </w:pPr>
      <w:r w:rsidRPr="00035858">
        <w:rPr>
          <w:rFonts w:eastAsia="Times New Roman" w:cstheme="minorHAnsi"/>
          <w:color w:val="000000"/>
          <w:sz w:val="22"/>
          <w:szCs w:val="22"/>
          <w:shd w:val="clear" w:color="auto" w:fill="FFFFFF"/>
        </w:rPr>
        <w:t xml:space="preserve">T Corporation has 1,000x of assets and 150x of liabilities. P acquires all of T’s assets and assumes all of T’s liabilities in exchange for </w:t>
      </w:r>
      <w:r w:rsidRPr="00035858">
        <w:rPr>
          <w:rFonts w:eastAsia="Times New Roman" w:cstheme="minorHAnsi"/>
          <w:color w:val="000000"/>
          <w:sz w:val="22"/>
          <w:szCs w:val="22"/>
          <w:shd w:val="clear" w:color="auto" w:fill="FFFFFF"/>
        </w:rPr>
        <w:t>799</w:t>
      </w:r>
      <w:r w:rsidRPr="00035858">
        <w:rPr>
          <w:rFonts w:eastAsia="Times New Roman" w:cstheme="minorHAnsi"/>
          <w:color w:val="000000"/>
          <w:sz w:val="22"/>
          <w:szCs w:val="22"/>
          <w:shd w:val="clear" w:color="auto" w:fill="FFFFFF"/>
        </w:rPr>
        <w:t>x of P voting stock and 5</w:t>
      </w:r>
      <w:r w:rsidRPr="00035858">
        <w:rPr>
          <w:rFonts w:eastAsia="Times New Roman" w:cstheme="minorHAnsi"/>
          <w:color w:val="000000"/>
          <w:sz w:val="22"/>
          <w:szCs w:val="22"/>
          <w:shd w:val="clear" w:color="auto" w:fill="FFFFFF"/>
        </w:rPr>
        <w:t>1</w:t>
      </w:r>
      <w:r w:rsidRPr="00035858">
        <w:rPr>
          <w:rFonts w:eastAsia="Times New Roman" w:cstheme="minorHAnsi"/>
          <w:color w:val="000000"/>
          <w:sz w:val="22"/>
          <w:szCs w:val="22"/>
          <w:shd w:val="clear" w:color="auto" w:fill="FFFFFF"/>
        </w:rPr>
        <w:t xml:space="preserve">x of $.  </w:t>
      </w:r>
    </w:p>
    <w:p w14:paraId="0589EB77" w14:textId="352BB10D" w:rsidR="004E21FC" w:rsidRPr="00035858" w:rsidRDefault="00FB0C37" w:rsidP="004E21FC">
      <w:pPr>
        <w:pStyle w:val="ListParagraph"/>
        <w:numPr>
          <w:ilvl w:val="0"/>
          <w:numId w:val="1"/>
        </w:numPr>
        <w:rPr>
          <w:rFonts w:cstheme="minorHAnsi"/>
          <w:sz w:val="22"/>
          <w:szCs w:val="22"/>
        </w:rPr>
      </w:pPr>
      <w:r w:rsidRPr="00035858">
        <w:rPr>
          <w:rFonts w:eastAsia="Times New Roman" w:cstheme="minorHAnsi"/>
          <w:color w:val="000000"/>
          <w:sz w:val="22"/>
          <w:szCs w:val="22"/>
          <w:shd w:val="clear" w:color="auto" w:fill="FFFFFF"/>
        </w:rPr>
        <w:t xml:space="preserve">T Corporation has 1,000x of assets and 0x of liabilities. </w:t>
      </w:r>
      <w:r w:rsidRPr="00035858">
        <w:rPr>
          <w:rFonts w:eastAsia="Times New Roman" w:cstheme="minorHAnsi"/>
          <w:color w:val="000000"/>
          <w:sz w:val="22"/>
          <w:szCs w:val="22"/>
          <w:shd w:val="clear" w:color="auto" w:fill="FFFFFF"/>
        </w:rPr>
        <w:t xml:space="preserve">T </w:t>
      </w:r>
      <w:proofErr w:type="spellStart"/>
      <w:r w:rsidRPr="00035858">
        <w:rPr>
          <w:rFonts w:eastAsia="Times New Roman" w:cstheme="minorHAnsi"/>
          <w:color w:val="000000"/>
          <w:sz w:val="22"/>
          <w:szCs w:val="22"/>
          <w:shd w:val="clear" w:color="auto" w:fill="FFFFFF"/>
        </w:rPr>
        <w:t>sells</w:t>
      </w:r>
      <w:proofErr w:type="spellEnd"/>
      <w:r w:rsidRPr="00035858">
        <w:rPr>
          <w:rFonts w:eastAsia="Times New Roman" w:cstheme="minorHAnsi"/>
          <w:color w:val="000000"/>
          <w:sz w:val="22"/>
          <w:szCs w:val="22"/>
          <w:shd w:val="clear" w:color="auto" w:fill="FFFFFF"/>
        </w:rPr>
        <w:t xml:space="preserve"> ½ of its assets for $, and </w:t>
      </w:r>
      <w:r w:rsidRPr="00035858">
        <w:rPr>
          <w:rFonts w:eastAsia="Times New Roman" w:cstheme="minorHAnsi"/>
          <w:color w:val="000000"/>
          <w:sz w:val="22"/>
          <w:szCs w:val="22"/>
          <w:shd w:val="clear" w:color="auto" w:fill="FFFFFF"/>
        </w:rPr>
        <w:t>P acquires all of T’s assets</w:t>
      </w:r>
      <w:r w:rsidRPr="00035858">
        <w:rPr>
          <w:rFonts w:eastAsia="Times New Roman" w:cstheme="minorHAnsi"/>
          <w:color w:val="000000"/>
          <w:sz w:val="22"/>
          <w:szCs w:val="22"/>
          <w:shd w:val="clear" w:color="auto" w:fill="FFFFFF"/>
        </w:rPr>
        <w:t>, including the $,</w:t>
      </w:r>
      <w:r w:rsidRPr="00035858">
        <w:rPr>
          <w:rFonts w:eastAsia="Times New Roman" w:cstheme="minorHAnsi"/>
          <w:color w:val="000000"/>
          <w:sz w:val="22"/>
          <w:szCs w:val="22"/>
          <w:shd w:val="clear" w:color="auto" w:fill="FFFFFF"/>
        </w:rPr>
        <w:t xml:space="preserve"> for 1,000x of P voting stock.  </w:t>
      </w:r>
      <w:r w:rsidRPr="00035858">
        <w:rPr>
          <w:rFonts w:eastAsia="Times New Roman" w:cstheme="minorHAnsi"/>
          <w:color w:val="000000"/>
          <w:sz w:val="22"/>
          <w:szCs w:val="22"/>
          <w:shd w:val="clear" w:color="auto" w:fill="FFFFFF"/>
        </w:rPr>
        <w:t>Rev. Rul. 88-48</w:t>
      </w:r>
      <w:r w:rsidR="00592849" w:rsidRPr="00035858">
        <w:rPr>
          <w:rFonts w:eastAsia="Times New Roman" w:cstheme="minorHAnsi"/>
          <w:color w:val="000000"/>
          <w:sz w:val="22"/>
          <w:szCs w:val="22"/>
          <w:shd w:val="clear" w:color="auto" w:fill="FFFFFF"/>
        </w:rPr>
        <w:t>.</w:t>
      </w:r>
    </w:p>
    <w:p w14:paraId="683415D0" w14:textId="07FDD35F" w:rsidR="00F0626D" w:rsidRPr="00035858" w:rsidRDefault="00F0626D" w:rsidP="00F0626D">
      <w:pPr>
        <w:rPr>
          <w:rFonts w:asciiTheme="minorHAnsi" w:hAnsiTheme="minorHAnsi" w:cstheme="minorHAnsi"/>
          <w:sz w:val="22"/>
          <w:szCs w:val="22"/>
        </w:rPr>
      </w:pPr>
    </w:p>
    <w:p w14:paraId="2FA29078" w14:textId="0A8D24D6" w:rsidR="00F0626D" w:rsidRPr="00035858" w:rsidRDefault="00F0626D" w:rsidP="00F0626D">
      <w:pPr>
        <w:rPr>
          <w:rFonts w:asciiTheme="minorHAnsi" w:hAnsiTheme="minorHAnsi" w:cstheme="minorHAnsi"/>
          <w:sz w:val="22"/>
          <w:szCs w:val="22"/>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F0626D" w:rsidRPr="00035858" w14:paraId="309441E7" w14:textId="77777777" w:rsidTr="00F0626D">
        <w:tc>
          <w:tcPr>
            <w:tcW w:w="0" w:type="auto"/>
            <w:shd w:val="clear" w:color="auto" w:fill="FFFFFF"/>
            <w:hideMark/>
          </w:tcPr>
          <w:p w14:paraId="75D968BE" w14:textId="77777777" w:rsidR="00F0626D" w:rsidRPr="00035858" w:rsidRDefault="00F0626D">
            <w:pPr>
              <w:pStyle w:val="NormalWeb"/>
              <w:spacing w:before="0" w:beforeAutospacing="0" w:after="0" w:afterAutospacing="0"/>
              <w:rPr>
                <w:rFonts w:asciiTheme="minorHAnsi" w:hAnsiTheme="minorHAnsi" w:cstheme="minorHAnsi"/>
                <w:sz w:val="22"/>
                <w:szCs w:val="22"/>
              </w:rPr>
            </w:pPr>
            <w:r w:rsidRPr="00035858">
              <w:rPr>
                <w:rFonts w:asciiTheme="minorHAnsi" w:hAnsiTheme="minorHAnsi" w:cstheme="minorHAnsi"/>
                <w:sz w:val="22"/>
                <w:szCs w:val="22"/>
              </w:rPr>
              <w:t>The Target Fund and the Acquiring Fund shall have received a favorable opinion of Paul Hastings LLP satisfactory to each of them (which opinion will be subject to certain qualifications), substantially to the effect that, on the basis of existing provisions of the Code, U.S. Treasury regulations promulgated thereunder, current administrative rules and court decisions, as further described below, generally for U.S. federal income tax purposes, the transactions contemplated by this Agreement will constitute a </w:t>
            </w:r>
            <w:r w:rsidRPr="00035858">
              <w:rPr>
                <w:rStyle w:val="Emphasis"/>
                <w:rFonts w:asciiTheme="minorHAnsi" w:hAnsiTheme="minorHAnsi" w:cstheme="minorHAnsi"/>
                <w:b/>
                <w:bCs/>
                <w:i w:val="0"/>
                <w:iCs w:val="0"/>
                <w:sz w:val="22"/>
                <w:szCs w:val="22"/>
                <w:shd w:val="clear" w:color="auto" w:fill="FFFF00"/>
              </w:rPr>
              <w:t>reorganization</w:t>
            </w:r>
            <w:r w:rsidRPr="00035858">
              <w:rPr>
                <w:rFonts w:asciiTheme="minorHAnsi" w:hAnsiTheme="minorHAnsi" w:cstheme="minorHAnsi"/>
                <w:sz w:val="22"/>
                <w:szCs w:val="22"/>
              </w:rPr>
              <w:t> within the meaning of Section </w:t>
            </w:r>
            <w:r w:rsidRPr="00035858">
              <w:rPr>
                <w:rStyle w:val="Emphasis"/>
                <w:rFonts w:asciiTheme="minorHAnsi" w:hAnsiTheme="minorHAnsi" w:cstheme="minorHAnsi"/>
                <w:b/>
                <w:bCs/>
                <w:i w:val="0"/>
                <w:iCs w:val="0"/>
                <w:sz w:val="22"/>
                <w:szCs w:val="22"/>
                <w:shd w:val="clear" w:color="auto" w:fill="FFFF00"/>
              </w:rPr>
              <w:t>368</w:t>
            </w:r>
            <w:r w:rsidRPr="00035858">
              <w:rPr>
                <w:rFonts w:asciiTheme="minorHAnsi" w:hAnsiTheme="minorHAnsi" w:cstheme="minorHAnsi"/>
                <w:sz w:val="22"/>
                <w:szCs w:val="22"/>
              </w:rPr>
              <w:t>(</w:t>
            </w:r>
            <w:r w:rsidRPr="00035858">
              <w:rPr>
                <w:rStyle w:val="Emphasis"/>
                <w:rFonts w:asciiTheme="minorHAnsi" w:hAnsiTheme="minorHAnsi" w:cstheme="minorHAnsi"/>
                <w:b/>
                <w:bCs/>
                <w:i w:val="0"/>
                <w:iCs w:val="0"/>
                <w:sz w:val="22"/>
                <w:szCs w:val="22"/>
                <w:shd w:val="clear" w:color="auto" w:fill="FFFF00"/>
              </w:rPr>
              <w:t>a</w:t>
            </w:r>
            <w:r w:rsidRPr="00035858">
              <w:rPr>
                <w:rFonts w:asciiTheme="minorHAnsi" w:hAnsiTheme="minorHAnsi" w:cstheme="minorHAnsi"/>
                <w:sz w:val="22"/>
                <w:szCs w:val="22"/>
              </w:rPr>
              <w:t>)(</w:t>
            </w:r>
            <w:r w:rsidRPr="00035858">
              <w:rPr>
                <w:rStyle w:val="Emphasis"/>
                <w:rFonts w:asciiTheme="minorHAnsi" w:hAnsiTheme="minorHAnsi" w:cstheme="minorHAnsi"/>
                <w:b/>
                <w:bCs/>
                <w:i w:val="0"/>
                <w:iCs w:val="0"/>
                <w:sz w:val="22"/>
                <w:szCs w:val="22"/>
                <w:shd w:val="clear" w:color="auto" w:fill="FFFF00"/>
              </w:rPr>
              <w:t>1</w:t>
            </w:r>
            <w:r w:rsidRPr="00035858">
              <w:rPr>
                <w:rFonts w:asciiTheme="minorHAnsi" w:hAnsiTheme="minorHAnsi" w:cstheme="minorHAnsi"/>
                <w:sz w:val="22"/>
                <w:szCs w:val="22"/>
              </w:rPr>
              <w:t>) of the Code, and the Target Fund and the Acquiring Fund will each be a “party to a </w:t>
            </w:r>
            <w:r w:rsidRPr="00035858">
              <w:rPr>
                <w:rStyle w:val="Emphasis"/>
                <w:rFonts w:asciiTheme="minorHAnsi" w:hAnsiTheme="minorHAnsi" w:cstheme="minorHAnsi"/>
                <w:b/>
                <w:bCs/>
                <w:i w:val="0"/>
                <w:iCs w:val="0"/>
                <w:sz w:val="22"/>
                <w:szCs w:val="22"/>
                <w:shd w:val="clear" w:color="auto" w:fill="FFFF00"/>
              </w:rPr>
              <w:t>reorganization</w:t>
            </w:r>
            <w:r w:rsidRPr="00035858">
              <w:rPr>
                <w:rFonts w:asciiTheme="minorHAnsi" w:hAnsiTheme="minorHAnsi" w:cstheme="minorHAnsi"/>
                <w:sz w:val="22"/>
                <w:szCs w:val="22"/>
              </w:rPr>
              <w:t>” within the meaning of Section 368(b) of the Code.</w:t>
            </w:r>
          </w:p>
        </w:tc>
      </w:tr>
    </w:tbl>
    <w:p w14:paraId="42B0FE94" w14:textId="77777777" w:rsidR="00F0626D" w:rsidRPr="00035858" w:rsidRDefault="00F0626D" w:rsidP="00F0626D">
      <w:pPr>
        <w:pStyle w:val="NormalWeb"/>
        <w:shd w:val="clear" w:color="auto" w:fill="FFFFFF"/>
        <w:spacing w:before="0" w:beforeAutospacing="0" w:after="0" w:afterAutospacing="0"/>
        <w:rPr>
          <w:rFonts w:asciiTheme="minorHAnsi" w:hAnsiTheme="minorHAnsi" w:cstheme="minorHAnsi"/>
          <w:color w:val="000000"/>
          <w:sz w:val="22"/>
          <w:szCs w:val="22"/>
        </w:rPr>
      </w:pPr>
      <w:r w:rsidRPr="00035858">
        <w:rPr>
          <w:rFonts w:asciiTheme="minorHAnsi" w:hAnsiTheme="minorHAnsi" w:cstheme="minorHAnsi"/>
          <w:color w:val="000000"/>
          <w:sz w:val="22"/>
          <w:szCs w:val="22"/>
        </w:rPr>
        <w:t> </w:t>
      </w:r>
    </w:p>
    <w:p w14:paraId="63CAE607" w14:textId="4E29484D" w:rsidR="00F0626D" w:rsidRPr="00035858" w:rsidRDefault="00F0626D" w:rsidP="00F0626D">
      <w:pPr>
        <w:rPr>
          <w:rFonts w:asciiTheme="minorHAnsi" w:hAnsiTheme="minorHAnsi" w:cstheme="minorHAnsi"/>
          <w:sz w:val="22"/>
          <w:szCs w:val="22"/>
        </w:rPr>
      </w:pPr>
    </w:p>
    <w:p w14:paraId="20C78179" w14:textId="71F6B084" w:rsidR="00825186" w:rsidRPr="00035858" w:rsidRDefault="007460C3" w:rsidP="00F0626D">
      <w:pPr>
        <w:rPr>
          <w:rFonts w:asciiTheme="minorHAnsi" w:hAnsiTheme="minorHAnsi" w:cstheme="minorHAnsi"/>
        </w:rPr>
      </w:pPr>
      <w:r w:rsidRPr="00035858">
        <w:rPr>
          <w:rFonts w:asciiTheme="minorHAnsi" w:hAnsiTheme="minorHAnsi" w:cstheme="minorHAnsi"/>
        </w:rPr>
        <w:t xml:space="preserve">A few comments on Qs 33 and 34. </w:t>
      </w:r>
    </w:p>
    <w:p w14:paraId="002E3530" w14:textId="4E840380" w:rsidR="00E3065F" w:rsidRPr="00035858" w:rsidRDefault="007460C3" w:rsidP="00217E67">
      <w:pPr>
        <w:rPr>
          <w:rFonts w:asciiTheme="minorHAnsi" w:hAnsiTheme="minorHAnsi" w:cstheme="minorHAnsi"/>
        </w:rPr>
      </w:pPr>
      <w:r w:rsidRPr="00035858">
        <w:rPr>
          <w:rFonts w:asciiTheme="minorHAnsi" w:hAnsiTheme="minorHAnsi" w:cstheme="minorHAnsi"/>
        </w:rPr>
        <w:t>Q33 was intended to primarily highlight the issue of “substantially all”</w:t>
      </w:r>
      <w:r w:rsidR="00217E67" w:rsidRPr="00035858">
        <w:rPr>
          <w:rFonts w:asciiTheme="minorHAnsi" w:hAnsiTheme="minorHAnsi" w:cstheme="minorHAnsi"/>
        </w:rPr>
        <w:t xml:space="preserve"> (SA)</w:t>
      </w:r>
      <w:r w:rsidRPr="00035858">
        <w:rPr>
          <w:rFonts w:asciiTheme="minorHAnsi" w:hAnsiTheme="minorHAnsi" w:cstheme="minorHAnsi"/>
        </w:rPr>
        <w:t xml:space="preserve"> and the importance of form in a C reorg.  There is no guidance in the regulations</w:t>
      </w:r>
      <w:r w:rsidR="00217E67" w:rsidRPr="00035858">
        <w:rPr>
          <w:rFonts w:asciiTheme="minorHAnsi" w:hAnsiTheme="minorHAnsi" w:cstheme="minorHAnsi"/>
        </w:rPr>
        <w:t xml:space="preserve">, and case law isn’t particularly helpful—a lower bound for SA </w:t>
      </w:r>
      <w:r w:rsidR="00D0287D" w:rsidRPr="00035858">
        <w:rPr>
          <w:rFonts w:asciiTheme="minorHAnsi" w:hAnsiTheme="minorHAnsi" w:cstheme="minorHAnsi"/>
        </w:rPr>
        <w:t>may</w:t>
      </w:r>
      <w:r w:rsidR="00217E67" w:rsidRPr="00035858">
        <w:rPr>
          <w:rFonts w:asciiTheme="minorHAnsi" w:hAnsiTheme="minorHAnsi" w:cstheme="minorHAnsi"/>
        </w:rPr>
        <w:t xml:space="preserve"> be 68% of net assets.  Rev. Proc. 77-37 requires 90% of net assets and 70% of gross for ruling purposes.  </w:t>
      </w:r>
    </w:p>
    <w:p w14:paraId="33EEF98F" w14:textId="77777777" w:rsidR="00E3065F" w:rsidRPr="00035858" w:rsidRDefault="00E3065F" w:rsidP="00217E67">
      <w:pPr>
        <w:rPr>
          <w:rFonts w:asciiTheme="minorHAnsi" w:hAnsiTheme="minorHAnsi" w:cstheme="minorHAnsi"/>
        </w:rPr>
      </w:pPr>
    </w:p>
    <w:p w14:paraId="5A88EB54" w14:textId="109A6D5D" w:rsidR="00217E67" w:rsidRPr="00035858" w:rsidRDefault="00217E67" w:rsidP="00217E67">
      <w:pPr>
        <w:rPr>
          <w:rFonts w:asciiTheme="minorHAnsi" w:hAnsiTheme="minorHAnsi" w:cstheme="minorHAnsi"/>
          <w:color w:val="444444"/>
        </w:rPr>
      </w:pPr>
      <w:r w:rsidRPr="00035858">
        <w:rPr>
          <w:rFonts w:asciiTheme="minorHAnsi" w:hAnsiTheme="minorHAnsi" w:cstheme="minorHAnsi"/>
        </w:rPr>
        <w:t xml:space="preserve">Rev. Rul. 57-518 provides that no specific percentage is controlling, and what matters “are the </w:t>
      </w:r>
      <w:r w:rsidRPr="00035858">
        <w:rPr>
          <w:rFonts w:asciiTheme="minorHAnsi" w:hAnsiTheme="minorHAnsi" w:cstheme="minorHAnsi"/>
          <w:color w:val="444444"/>
        </w:rPr>
        <w:t>nature of the properties retained by the transferor, the purpose of the retention, and the amount thereof.</w:t>
      </w:r>
      <w:r w:rsidRPr="00035858">
        <w:rPr>
          <w:rFonts w:asciiTheme="minorHAnsi" w:hAnsiTheme="minorHAnsi" w:cstheme="minorHAnsi"/>
          <w:color w:val="444444"/>
        </w:rPr>
        <w:t>”  Not too helpful.  In the ruling, Target retained cash, A</w:t>
      </w:r>
      <w:r w:rsidR="00E3065F" w:rsidRPr="00035858">
        <w:rPr>
          <w:rFonts w:asciiTheme="minorHAnsi" w:hAnsiTheme="minorHAnsi" w:cstheme="minorHAnsi"/>
          <w:color w:val="444444"/>
        </w:rPr>
        <w:t>R</w:t>
      </w:r>
      <w:r w:rsidRPr="00035858">
        <w:rPr>
          <w:rFonts w:asciiTheme="minorHAnsi" w:hAnsiTheme="minorHAnsi" w:cstheme="minorHAnsi"/>
          <w:color w:val="444444"/>
        </w:rPr>
        <w:t>s, and 3% of its inventory</w:t>
      </w:r>
      <w:r w:rsidR="00994C02" w:rsidRPr="00035858">
        <w:rPr>
          <w:rFonts w:asciiTheme="minorHAnsi" w:hAnsiTheme="minorHAnsi" w:cstheme="minorHAnsi"/>
          <w:color w:val="444444"/>
        </w:rPr>
        <w:t>, which were applied to its outstanding debts.</w:t>
      </w:r>
      <w:r w:rsidR="00E3065F" w:rsidRPr="00035858">
        <w:rPr>
          <w:rFonts w:asciiTheme="minorHAnsi" w:hAnsiTheme="minorHAnsi" w:cstheme="minorHAnsi"/>
          <w:color w:val="444444"/>
        </w:rPr>
        <w:t xml:space="preserve">  The ruling distinguished the case where a corporation has 1MM of gross assets and liabilities of </w:t>
      </w:r>
      <w:proofErr w:type="gramStart"/>
      <w:r w:rsidR="00E3065F" w:rsidRPr="00035858">
        <w:rPr>
          <w:rFonts w:asciiTheme="minorHAnsi" w:hAnsiTheme="minorHAnsi" w:cstheme="minorHAnsi"/>
          <w:color w:val="444444"/>
        </w:rPr>
        <w:t>900K, and</w:t>
      </w:r>
      <w:proofErr w:type="gramEnd"/>
      <w:r w:rsidR="00E3065F" w:rsidRPr="00035858">
        <w:rPr>
          <w:rFonts w:asciiTheme="minorHAnsi" w:hAnsiTheme="minorHAnsi" w:cstheme="minorHAnsi"/>
          <w:color w:val="444444"/>
        </w:rPr>
        <w:t xml:space="preserve"> </w:t>
      </w:r>
      <w:r w:rsidR="00793CBD" w:rsidRPr="00035858">
        <w:rPr>
          <w:rFonts w:asciiTheme="minorHAnsi" w:hAnsiTheme="minorHAnsi" w:cstheme="minorHAnsi"/>
          <w:color w:val="444444"/>
        </w:rPr>
        <w:t xml:space="preserve">stated that </w:t>
      </w:r>
      <w:r w:rsidR="00E3065F" w:rsidRPr="00035858">
        <w:rPr>
          <w:rFonts w:asciiTheme="minorHAnsi" w:hAnsiTheme="minorHAnsi" w:cstheme="minorHAnsi"/>
          <w:color w:val="444444"/>
        </w:rPr>
        <w:t xml:space="preserve">a transfer of net assets of 100K would not be </w:t>
      </w:r>
      <w:r w:rsidR="0036509C" w:rsidRPr="00035858">
        <w:rPr>
          <w:rFonts w:asciiTheme="minorHAnsi" w:hAnsiTheme="minorHAnsi" w:cstheme="minorHAnsi"/>
          <w:color w:val="444444"/>
        </w:rPr>
        <w:t>SA.</w:t>
      </w:r>
    </w:p>
    <w:p w14:paraId="4728ACB3" w14:textId="68070712" w:rsidR="00E3065F" w:rsidRPr="00035858" w:rsidRDefault="00E3065F" w:rsidP="00217E67">
      <w:pPr>
        <w:rPr>
          <w:rFonts w:asciiTheme="minorHAnsi" w:hAnsiTheme="minorHAnsi" w:cstheme="minorHAnsi"/>
          <w:color w:val="444444"/>
        </w:rPr>
      </w:pPr>
    </w:p>
    <w:p w14:paraId="40D53904" w14:textId="7A0B66C1" w:rsidR="00853D90" w:rsidRPr="00035858" w:rsidRDefault="00E3065F" w:rsidP="00217E67">
      <w:pPr>
        <w:rPr>
          <w:rFonts w:asciiTheme="minorHAnsi" w:hAnsiTheme="minorHAnsi" w:cstheme="minorHAnsi"/>
          <w:color w:val="444444"/>
        </w:rPr>
      </w:pPr>
      <w:r w:rsidRPr="00035858">
        <w:rPr>
          <w:rFonts w:asciiTheme="minorHAnsi" w:hAnsiTheme="minorHAnsi" w:cstheme="minorHAnsi"/>
          <w:color w:val="444444"/>
        </w:rPr>
        <w:t>In 33(a)</w:t>
      </w:r>
      <w:r w:rsidR="00D05D4C" w:rsidRPr="00035858">
        <w:rPr>
          <w:rFonts w:asciiTheme="minorHAnsi" w:hAnsiTheme="minorHAnsi" w:cstheme="minorHAnsi"/>
          <w:color w:val="444444"/>
        </w:rPr>
        <w:t xml:space="preserve">, although 100% of net assets go over, P acquires only 9% of GA.  This doesn’t satisfy the </w:t>
      </w:r>
      <w:r w:rsidR="002E23AD" w:rsidRPr="00035858">
        <w:rPr>
          <w:rFonts w:asciiTheme="minorHAnsi" w:hAnsiTheme="minorHAnsi" w:cstheme="minorHAnsi"/>
          <w:color w:val="444444"/>
        </w:rPr>
        <w:t xml:space="preserve">requirements in Rev. Proc. 77-37, and </w:t>
      </w:r>
      <w:r w:rsidR="00976F5C" w:rsidRPr="00035858">
        <w:rPr>
          <w:rFonts w:asciiTheme="minorHAnsi" w:hAnsiTheme="minorHAnsi" w:cstheme="minorHAnsi"/>
          <w:color w:val="444444"/>
        </w:rPr>
        <w:t xml:space="preserve">this </w:t>
      </w:r>
      <w:r w:rsidR="002E23AD" w:rsidRPr="00035858">
        <w:rPr>
          <w:rFonts w:asciiTheme="minorHAnsi" w:hAnsiTheme="minorHAnsi" w:cstheme="minorHAnsi"/>
          <w:color w:val="444444"/>
        </w:rPr>
        <w:t xml:space="preserve">is exactly the transaction criticized in Rev. Rul. 57-518.  33(b) is technically fine, but </w:t>
      </w:r>
      <w:r w:rsidR="00853D90" w:rsidRPr="00035858">
        <w:rPr>
          <w:rFonts w:asciiTheme="minorHAnsi" w:hAnsiTheme="minorHAnsi" w:cstheme="minorHAnsi"/>
          <w:color w:val="444444"/>
        </w:rPr>
        <w:t xml:space="preserve">it </w:t>
      </w:r>
      <w:r w:rsidR="002E23AD" w:rsidRPr="00035858">
        <w:rPr>
          <w:rFonts w:asciiTheme="minorHAnsi" w:hAnsiTheme="minorHAnsi" w:cstheme="minorHAnsi"/>
          <w:color w:val="444444"/>
        </w:rPr>
        <w:t>may not be a reorg given the size of the liabilities. Reg 1.368-2(d)(1), last 2 sentences.</w:t>
      </w:r>
      <w:r w:rsidR="00853D90" w:rsidRPr="00035858">
        <w:rPr>
          <w:rFonts w:asciiTheme="minorHAnsi" w:hAnsiTheme="minorHAnsi" w:cstheme="minorHAnsi"/>
          <w:color w:val="444444"/>
        </w:rPr>
        <w:t xml:space="preserve">  </w:t>
      </w:r>
    </w:p>
    <w:p w14:paraId="44BFD71F" w14:textId="77777777" w:rsidR="00853D90" w:rsidRPr="00035858" w:rsidRDefault="00853D90" w:rsidP="00217E67">
      <w:pPr>
        <w:rPr>
          <w:rFonts w:asciiTheme="minorHAnsi" w:hAnsiTheme="minorHAnsi" w:cstheme="minorHAnsi"/>
          <w:color w:val="444444"/>
        </w:rPr>
      </w:pPr>
    </w:p>
    <w:p w14:paraId="70A71E45" w14:textId="02B4F492" w:rsidR="00E3065F" w:rsidRPr="00035858" w:rsidRDefault="00853D90" w:rsidP="00217E67">
      <w:pPr>
        <w:rPr>
          <w:rFonts w:asciiTheme="minorHAnsi" w:hAnsiTheme="minorHAnsi" w:cstheme="minorHAnsi"/>
          <w:color w:val="444444"/>
        </w:rPr>
      </w:pPr>
      <w:r w:rsidRPr="00035858">
        <w:rPr>
          <w:rFonts w:asciiTheme="minorHAnsi" w:hAnsiTheme="minorHAnsi" w:cstheme="minorHAnsi"/>
          <w:color w:val="444444"/>
        </w:rPr>
        <w:lastRenderedPageBreak/>
        <w:t xml:space="preserve">33(c) raises a question of substantially all.  In Rev. Rul. 88-48, a corporation sold ½ of its assets and transferred </w:t>
      </w:r>
      <w:proofErr w:type="gramStart"/>
      <w:r w:rsidRPr="00035858">
        <w:rPr>
          <w:rFonts w:asciiTheme="minorHAnsi" w:hAnsiTheme="minorHAnsi" w:cstheme="minorHAnsi"/>
          <w:color w:val="444444"/>
        </w:rPr>
        <w:t>all of</w:t>
      </w:r>
      <w:proofErr w:type="gramEnd"/>
      <w:r w:rsidRPr="00035858">
        <w:rPr>
          <w:rFonts w:asciiTheme="minorHAnsi" w:hAnsiTheme="minorHAnsi" w:cstheme="minorHAnsi"/>
          <w:color w:val="444444"/>
        </w:rPr>
        <w:t xml:space="preserve"> its property including the proceeds of the sale.  The IRS ruled Target had transferred SA of its assets. In this </w:t>
      </w:r>
      <w:r w:rsidR="00035858" w:rsidRPr="00035858">
        <w:rPr>
          <w:rFonts w:asciiTheme="minorHAnsi" w:hAnsiTheme="minorHAnsi" w:cstheme="minorHAnsi"/>
          <w:color w:val="444444"/>
        </w:rPr>
        <w:t>problem,</w:t>
      </w:r>
      <w:r w:rsidRPr="00035858">
        <w:rPr>
          <w:rFonts w:asciiTheme="minorHAnsi" w:hAnsiTheme="minorHAnsi" w:cstheme="minorHAnsi"/>
          <w:color w:val="444444"/>
        </w:rPr>
        <w:t xml:space="preserve"> however, the assets transferred to the creditors aren’t transferred to acquiror.  Also, it may be difficult to satisfy COBE.</w:t>
      </w:r>
    </w:p>
    <w:p w14:paraId="52BFF6BF" w14:textId="2969DA99" w:rsidR="00853D90" w:rsidRPr="00035858" w:rsidRDefault="00853D90" w:rsidP="00217E67">
      <w:pPr>
        <w:rPr>
          <w:rFonts w:asciiTheme="minorHAnsi" w:hAnsiTheme="minorHAnsi" w:cstheme="minorHAnsi"/>
          <w:color w:val="444444"/>
        </w:rPr>
      </w:pPr>
    </w:p>
    <w:p w14:paraId="09AE11F0" w14:textId="50F8D444" w:rsidR="00976F5C" w:rsidRPr="00035858" w:rsidRDefault="00853D90" w:rsidP="00217E67">
      <w:pPr>
        <w:rPr>
          <w:rFonts w:asciiTheme="minorHAnsi" w:hAnsiTheme="minorHAnsi" w:cstheme="minorHAnsi"/>
          <w:color w:val="444444"/>
        </w:rPr>
      </w:pPr>
      <w:r w:rsidRPr="00035858">
        <w:rPr>
          <w:rFonts w:asciiTheme="minorHAnsi" w:hAnsiTheme="minorHAnsi" w:cstheme="minorHAnsi"/>
          <w:color w:val="444444"/>
        </w:rPr>
        <w:t>33(d) is obviously bad—t</w:t>
      </w:r>
      <w:r w:rsidR="00FB4282" w:rsidRPr="00035858">
        <w:rPr>
          <w:rFonts w:asciiTheme="minorHAnsi" w:hAnsiTheme="minorHAnsi" w:cstheme="minorHAnsi"/>
          <w:color w:val="444444"/>
        </w:rPr>
        <w:t>o</w:t>
      </w:r>
      <w:r w:rsidRPr="00035858">
        <w:rPr>
          <w:rFonts w:asciiTheme="minorHAnsi" w:hAnsiTheme="minorHAnsi" w:cstheme="minorHAnsi"/>
          <w:color w:val="444444"/>
        </w:rPr>
        <w:t xml:space="preserve">o much boot.  </w:t>
      </w:r>
    </w:p>
    <w:p w14:paraId="03256575" w14:textId="77777777" w:rsidR="00976F5C" w:rsidRPr="00035858" w:rsidRDefault="00976F5C" w:rsidP="00217E67">
      <w:pPr>
        <w:rPr>
          <w:rFonts w:asciiTheme="minorHAnsi" w:hAnsiTheme="minorHAnsi" w:cstheme="minorHAnsi"/>
          <w:color w:val="444444"/>
        </w:rPr>
      </w:pPr>
    </w:p>
    <w:p w14:paraId="5CF3F7EC" w14:textId="3DD47234" w:rsidR="00853D90" w:rsidRPr="00035858" w:rsidRDefault="00853D90" w:rsidP="00217E67">
      <w:pPr>
        <w:rPr>
          <w:rFonts w:asciiTheme="minorHAnsi" w:hAnsiTheme="minorHAnsi" w:cstheme="minorHAnsi"/>
          <w:color w:val="444444"/>
        </w:rPr>
      </w:pPr>
      <w:r w:rsidRPr="00035858">
        <w:rPr>
          <w:rFonts w:asciiTheme="minorHAnsi" w:hAnsiTheme="minorHAnsi" w:cstheme="minorHAnsi"/>
          <w:color w:val="444444"/>
        </w:rPr>
        <w:t xml:space="preserve">33(e) is technically a good C reorg, </w:t>
      </w:r>
      <w:r w:rsidR="00B14425" w:rsidRPr="00035858">
        <w:rPr>
          <w:rFonts w:asciiTheme="minorHAnsi" w:hAnsiTheme="minorHAnsi" w:cstheme="minorHAnsi"/>
          <w:color w:val="444444"/>
        </w:rPr>
        <w:t xml:space="preserve">and T shouldn’t recognize G when the P stock is distributed.  </w:t>
      </w:r>
      <w:r w:rsidR="00B14425" w:rsidRPr="00035858">
        <w:rPr>
          <w:rFonts w:asciiTheme="minorHAnsi" w:hAnsiTheme="minorHAnsi" w:cstheme="minorHAnsi"/>
        </w:rPr>
        <w:t>§36</w:t>
      </w:r>
      <w:r w:rsidR="00B14425" w:rsidRPr="00035858">
        <w:rPr>
          <w:rFonts w:asciiTheme="minorHAnsi" w:hAnsiTheme="minorHAnsi" w:cstheme="minorHAnsi"/>
        </w:rPr>
        <w:t xml:space="preserve">1(c)(3).  </w:t>
      </w:r>
      <w:r w:rsidR="001101A8" w:rsidRPr="00035858">
        <w:rPr>
          <w:rFonts w:asciiTheme="minorHAnsi" w:hAnsiTheme="minorHAnsi" w:cstheme="minorHAnsi"/>
        </w:rPr>
        <w:t>W</w:t>
      </w:r>
      <w:r w:rsidR="00056600" w:rsidRPr="00035858">
        <w:rPr>
          <w:rFonts w:asciiTheme="minorHAnsi" w:hAnsiTheme="minorHAnsi" w:cstheme="minorHAnsi"/>
          <w:color w:val="444444"/>
        </w:rPr>
        <w:t>ould a creditor agree to accept P stock?</w:t>
      </w:r>
    </w:p>
    <w:p w14:paraId="7D6711B8" w14:textId="761FBF72" w:rsidR="00B14425" w:rsidRPr="00035858" w:rsidRDefault="00B14425" w:rsidP="00217E67">
      <w:pPr>
        <w:rPr>
          <w:rFonts w:asciiTheme="minorHAnsi" w:hAnsiTheme="minorHAnsi" w:cstheme="minorHAnsi"/>
          <w:color w:val="444444"/>
        </w:rPr>
      </w:pPr>
    </w:p>
    <w:p w14:paraId="150DA9B4" w14:textId="1FD60383" w:rsidR="00E3065F" w:rsidRPr="00035858" w:rsidRDefault="00B14425" w:rsidP="00645EF1">
      <w:pPr>
        <w:rPr>
          <w:rFonts w:asciiTheme="minorHAnsi" w:hAnsiTheme="minorHAnsi" w:cstheme="minorHAnsi"/>
          <w:color w:val="444444"/>
        </w:rPr>
      </w:pPr>
      <w:r w:rsidRPr="00035858">
        <w:rPr>
          <w:rFonts w:asciiTheme="minorHAnsi" w:hAnsiTheme="minorHAnsi" w:cstheme="minorHAnsi"/>
          <w:color w:val="444444"/>
        </w:rPr>
        <w:t xml:space="preserve">33(f):  It’s not clear whether T would recognize gain—the property T is distributing to its creditors ($) isn’t the property received (P stock).  </w:t>
      </w:r>
    </w:p>
    <w:p w14:paraId="7051889C" w14:textId="02F2C894" w:rsidR="00645EF1" w:rsidRPr="00035858" w:rsidRDefault="00645EF1" w:rsidP="00645EF1">
      <w:pPr>
        <w:rPr>
          <w:rFonts w:asciiTheme="minorHAnsi" w:hAnsiTheme="minorHAnsi" w:cstheme="minorHAnsi"/>
          <w:color w:val="444444"/>
        </w:rPr>
      </w:pPr>
    </w:p>
    <w:p w14:paraId="37058BA4" w14:textId="77777777" w:rsidR="00645EF1" w:rsidRPr="00035858" w:rsidRDefault="00645EF1" w:rsidP="00645EF1">
      <w:pPr>
        <w:rPr>
          <w:rFonts w:asciiTheme="minorHAnsi" w:hAnsiTheme="minorHAnsi" w:cstheme="minorHAnsi"/>
        </w:rPr>
      </w:pPr>
    </w:p>
    <w:p w14:paraId="1FDEBCCE" w14:textId="732FA29E" w:rsidR="007460C3" w:rsidRPr="00035858" w:rsidRDefault="00976F5C" w:rsidP="00F0626D">
      <w:pPr>
        <w:rPr>
          <w:rFonts w:asciiTheme="minorHAnsi" w:hAnsiTheme="minorHAnsi" w:cstheme="minorHAnsi"/>
          <w:color w:val="444444"/>
        </w:rPr>
      </w:pPr>
      <w:r w:rsidRPr="00035858">
        <w:rPr>
          <w:rFonts w:asciiTheme="minorHAnsi" w:hAnsiTheme="minorHAnsi" w:cstheme="minorHAnsi"/>
        </w:rPr>
        <w:t>34.  Please see the revision</w:t>
      </w:r>
      <w:r w:rsidR="00992F16" w:rsidRPr="00035858">
        <w:rPr>
          <w:rFonts w:asciiTheme="minorHAnsi" w:hAnsiTheme="minorHAnsi" w:cstheme="minorHAnsi"/>
        </w:rPr>
        <w:t xml:space="preserve">s: </w:t>
      </w:r>
      <w:r w:rsidR="00035858" w:rsidRPr="00035858">
        <w:rPr>
          <w:rFonts w:asciiTheme="minorHAnsi" w:hAnsiTheme="minorHAnsi" w:cstheme="minorHAnsi"/>
        </w:rPr>
        <w:t>specifically</w:t>
      </w:r>
      <w:r w:rsidR="00992F16" w:rsidRPr="00035858">
        <w:rPr>
          <w:rFonts w:asciiTheme="minorHAnsi" w:hAnsiTheme="minorHAnsi" w:cstheme="minorHAnsi"/>
        </w:rPr>
        <w:t xml:space="preserve">, in </w:t>
      </w:r>
      <w:r w:rsidRPr="00035858">
        <w:rPr>
          <w:rFonts w:asciiTheme="minorHAnsi" w:hAnsiTheme="minorHAnsi" w:cstheme="minorHAnsi"/>
        </w:rPr>
        <w:t xml:space="preserve">34(c), (d), and (e), P acquires </w:t>
      </w:r>
      <w:r w:rsidRPr="00035858">
        <w:rPr>
          <w:rFonts w:asciiTheme="minorHAnsi" w:hAnsiTheme="minorHAnsi" w:cstheme="minorHAnsi"/>
          <w:b/>
          <w:bCs/>
        </w:rPr>
        <w:t>ALL</w:t>
      </w:r>
      <w:r w:rsidRPr="00035858">
        <w:rPr>
          <w:rFonts w:asciiTheme="minorHAnsi" w:hAnsiTheme="minorHAnsi" w:cstheme="minorHAnsi"/>
        </w:rPr>
        <w:t xml:space="preserve"> of T’s assets, not only T’s operating assets.  34(a) raises the issue of SA again</w:t>
      </w:r>
      <w:r w:rsidR="000135A6" w:rsidRPr="00035858">
        <w:rPr>
          <w:rFonts w:asciiTheme="minorHAnsi" w:hAnsiTheme="minorHAnsi" w:cstheme="minorHAnsi"/>
        </w:rPr>
        <w:t>—it’s only 65% of GAs.</w:t>
      </w:r>
      <w:r w:rsidRPr="00035858">
        <w:rPr>
          <w:rFonts w:asciiTheme="minorHAnsi" w:hAnsiTheme="minorHAnsi" w:cstheme="minorHAnsi"/>
        </w:rPr>
        <w:t xml:space="preserve">  One could maybe get comfortable if the assets retained were used to pay off creditors under Rev. Rul. 57-518.</w:t>
      </w:r>
      <w:r w:rsidR="0069703A" w:rsidRPr="00035858">
        <w:rPr>
          <w:rFonts w:asciiTheme="minorHAnsi" w:hAnsiTheme="minorHAnsi" w:cstheme="minorHAnsi"/>
        </w:rPr>
        <w:t xml:space="preserve">  34(b) is bad because </w:t>
      </w:r>
      <w:r w:rsidR="001101A8" w:rsidRPr="00035858">
        <w:rPr>
          <w:rFonts w:asciiTheme="minorHAnsi" w:hAnsiTheme="minorHAnsi" w:cstheme="minorHAnsi"/>
        </w:rPr>
        <w:t>the consideration is VS of P and GP, which is prohibited.</w:t>
      </w:r>
      <w:r w:rsidRPr="00035858">
        <w:rPr>
          <w:rFonts w:asciiTheme="minorHAnsi" w:hAnsiTheme="minorHAnsi" w:cstheme="minorHAnsi"/>
        </w:rPr>
        <w:t xml:space="preserve"> </w:t>
      </w:r>
      <w:r w:rsidR="001101A8" w:rsidRPr="00035858">
        <w:rPr>
          <w:rFonts w:asciiTheme="minorHAnsi" w:hAnsiTheme="minorHAnsi" w:cstheme="minorHAnsi"/>
          <w:color w:val="444444"/>
        </w:rPr>
        <w:t>Reg 1.368-2(d)(1)</w:t>
      </w:r>
      <w:r w:rsidR="001101A8" w:rsidRPr="00035858">
        <w:rPr>
          <w:rFonts w:asciiTheme="minorHAnsi" w:hAnsiTheme="minorHAnsi" w:cstheme="minorHAnsi"/>
          <w:color w:val="444444"/>
        </w:rPr>
        <w:t>—the stock of GP is not even boot.</w:t>
      </w:r>
      <w:r w:rsidR="00AF6C47" w:rsidRPr="00035858">
        <w:rPr>
          <w:rFonts w:asciiTheme="minorHAnsi" w:hAnsiTheme="minorHAnsi" w:cstheme="minorHAnsi"/>
          <w:color w:val="444444"/>
        </w:rPr>
        <w:t xml:space="preserve">  In 34(c), the problem is the boot relaxation rule is violated—the P NVS is boot, which in turn, makes the liabilities boot as well.  368(a)(2)(B), flush language.</w:t>
      </w:r>
    </w:p>
    <w:p w14:paraId="35F5B4CD" w14:textId="2E25E05C" w:rsidR="009B23E1" w:rsidRPr="00035858" w:rsidRDefault="009B23E1" w:rsidP="00F0626D">
      <w:pPr>
        <w:rPr>
          <w:rFonts w:asciiTheme="minorHAnsi" w:hAnsiTheme="minorHAnsi" w:cstheme="minorHAnsi"/>
          <w:color w:val="444444"/>
        </w:rPr>
      </w:pPr>
    </w:p>
    <w:p w14:paraId="3642D0CF" w14:textId="453782A7" w:rsidR="009B23E1" w:rsidRPr="00035858" w:rsidRDefault="009B23E1" w:rsidP="00F0626D">
      <w:pPr>
        <w:rPr>
          <w:rFonts w:asciiTheme="minorHAnsi" w:hAnsiTheme="minorHAnsi" w:cstheme="minorHAnsi"/>
          <w:color w:val="444444"/>
          <w:sz w:val="22"/>
          <w:szCs w:val="22"/>
        </w:rPr>
      </w:pPr>
      <w:r w:rsidRPr="00035858">
        <w:rPr>
          <w:rFonts w:asciiTheme="minorHAnsi" w:hAnsiTheme="minorHAnsi" w:cstheme="minorHAnsi"/>
          <w:color w:val="444444"/>
        </w:rPr>
        <w:t xml:space="preserve">34(d) Good “C”—the liabilities aren’t boot.  34(e). </w:t>
      </w:r>
      <w:r w:rsidR="00C07420" w:rsidRPr="00035858">
        <w:rPr>
          <w:rFonts w:asciiTheme="minorHAnsi" w:hAnsiTheme="minorHAnsi" w:cstheme="minorHAnsi"/>
          <w:color w:val="444444"/>
        </w:rPr>
        <w:t xml:space="preserve">Since P is the acquirer, the GP assumption of liabilities apparently can’t be ignored and are therefore boot. </w:t>
      </w:r>
      <w:r w:rsidR="00F970A6" w:rsidRPr="00035858">
        <w:rPr>
          <w:rFonts w:asciiTheme="minorHAnsi" w:hAnsiTheme="minorHAnsi" w:cstheme="minorHAnsi"/>
          <w:color w:val="444444"/>
        </w:rPr>
        <w:t>Rev. Rul. 70-170.</w:t>
      </w:r>
      <w:r w:rsidR="00C07420" w:rsidRPr="00035858">
        <w:rPr>
          <w:rFonts w:asciiTheme="minorHAnsi" w:hAnsiTheme="minorHAnsi" w:cstheme="minorHAnsi"/>
          <w:color w:val="444444"/>
        </w:rPr>
        <w:t xml:space="preserve"> Consequently, the transaction is not a good C reo</w:t>
      </w:r>
      <w:r w:rsidR="00F970A6" w:rsidRPr="00035858">
        <w:rPr>
          <w:rFonts w:asciiTheme="minorHAnsi" w:hAnsiTheme="minorHAnsi" w:cstheme="minorHAnsi"/>
          <w:color w:val="444444"/>
        </w:rPr>
        <w:t xml:space="preserve">rg since </w:t>
      </w:r>
      <w:proofErr w:type="gramStart"/>
      <w:r w:rsidR="00F970A6" w:rsidRPr="00035858">
        <w:rPr>
          <w:rFonts w:asciiTheme="minorHAnsi" w:hAnsiTheme="minorHAnsi" w:cstheme="minorHAnsi"/>
          <w:color w:val="444444"/>
        </w:rPr>
        <w:t>all of</w:t>
      </w:r>
      <w:proofErr w:type="gramEnd"/>
      <w:r w:rsidR="00F970A6" w:rsidRPr="00035858">
        <w:rPr>
          <w:rFonts w:asciiTheme="minorHAnsi" w:hAnsiTheme="minorHAnsi" w:cstheme="minorHAnsi"/>
          <w:color w:val="444444"/>
        </w:rPr>
        <w:t xml:space="preserve"> the liabilities would now be treated as boot.  As discussed in class, it’s not clear whether the boot relaxation rule would apply b/c it seems to apply to </w:t>
      </w:r>
      <w:r w:rsidR="001D2150" w:rsidRPr="00035858">
        <w:rPr>
          <w:rFonts w:asciiTheme="minorHAnsi" w:hAnsiTheme="minorHAnsi" w:cstheme="minorHAnsi"/>
          <w:color w:val="444444"/>
        </w:rPr>
        <w:t>liabilities assumed by the acquiring corporation, which is P.  One way to avoid this result would be for GP to provide a guarantee</w:t>
      </w:r>
      <w:r w:rsidR="00035858">
        <w:rPr>
          <w:rFonts w:asciiTheme="minorHAnsi" w:hAnsiTheme="minorHAnsi" w:cstheme="minorHAnsi"/>
          <w:color w:val="444444"/>
        </w:rPr>
        <w:t xml:space="preserve"> instead of an assumption</w:t>
      </w:r>
      <w:r w:rsidR="001D2150" w:rsidRPr="00035858">
        <w:rPr>
          <w:rFonts w:asciiTheme="minorHAnsi" w:hAnsiTheme="minorHAnsi" w:cstheme="minorHAnsi"/>
          <w:color w:val="444444"/>
          <w:sz w:val="22"/>
          <w:szCs w:val="22"/>
        </w:rPr>
        <w:t xml:space="preserve">. </w:t>
      </w:r>
      <w:r w:rsidR="00F970A6" w:rsidRPr="00035858">
        <w:rPr>
          <w:rFonts w:asciiTheme="minorHAnsi" w:hAnsiTheme="minorHAnsi" w:cstheme="minorHAnsi"/>
          <w:color w:val="444444"/>
          <w:sz w:val="22"/>
          <w:szCs w:val="22"/>
        </w:rPr>
        <w:t xml:space="preserve"> </w:t>
      </w:r>
    </w:p>
    <w:sectPr w:rsidR="009B23E1" w:rsidRPr="00035858" w:rsidSect="00216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C20DE"/>
    <w:multiLevelType w:val="hybridMultilevel"/>
    <w:tmpl w:val="39B65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FC"/>
    <w:rsid w:val="000135A6"/>
    <w:rsid w:val="00013A0B"/>
    <w:rsid w:val="00031332"/>
    <w:rsid w:val="00035858"/>
    <w:rsid w:val="00056600"/>
    <w:rsid w:val="00071E65"/>
    <w:rsid w:val="001101A8"/>
    <w:rsid w:val="001D2150"/>
    <w:rsid w:val="00216FB0"/>
    <w:rsid w:val="00217E67"/>
    <w:rsid w:val="0026544F"/>
    <w:rsid w:val="002E23AD"/>
    <w:rsid w:val="002F545D"/>
    <w:rsid w:val="0036509C"/>
    <w:rsid w:val="003A648B"/>
    <w:rsid w:val="003F2FCE"/>
    <w:rsid w:val="00422BEB"/>
    <w:rsid w:val="004E21FC"/>
    <w:rsid w:val="00592849"/>
    <w:rsid w:val="00645EF1"/>
    <w:rsid w:val="00663E60"/>
    <w:rsid w:val="00695881"/>
    <w:rsid w:val="0069701D"/>
    <w:rsid w:val="0069703A"/>
    <w:rsid w:val="007460C3"/>
    <w:rsid w:val="00755BFA"/>
    <w:rsid w:val="00793CBD"/>
    <w:rsid w:val="0081729C"/>
    <w:rsid w:val="00825186"/>
    <w:rsid w:val="00853D90"/>
    <w:rsid w:val="00976F5C"/>
    <w:rsid w:val="00992F16"/>
    <w:rsid w:val="00994C02"/>
    <w:rsid w:val="009A51A8"/>
    <w:rsid w:val="009B23E1"/>
    <w:rsid w:val="009B4A87"/>
    <w:rsid w:val="00A55AD1"/>
    <w:rsid w:val="00A743A8"/>
    <w:rsid w:val="00AB0612"/>
    <w:rsid w:val="00AB2E9B"/>
    <w:rsid w:val="00AF6C47"/>
    <w:rsid w:val="00B14425"/>
    <w:rsid w:val="00B57FE5"/>
    <w:rsid w:val="00BB767F"/>
    <w:rsid w:val="00C07420"/>
    <w:rsid w:val="00C66CC0"/>
    <w:rsid w:val="00CF59FC"/>
    <w:rsid w:val="00D0287D"/>
    <w:rsid w:val="00D05D4C"/>
    <w:rsid w:val="00D0722B"/>
    <w:rsid w:val="00D55D8B"/>
    <w:rsid w:val="00D62CBB"/>
    <w:rsid w:val="00DA5A2B"/>
    <w:rsid w:val="00E3065F"/>
    <w:rsid w:val="00ED47FD"/>
    <w:rsid w:val="00F0626D"/>
    <w:rsid w:val="00F962DB"/>
    <w:rsid w:val="00F970A6"/>
    <w:rsid w:val="00FB0C37"/>
    <w:rsid w:val="00FB42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28D600"/>
  <w14:defaultImageDpi w14:val="300"/>
  <w15:chartTrackingRefBased/>
  <w15:docId w15:val="{DCF22392-20EF-5C46-92C2-DDD0614FD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0626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1FC"/>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F0626D"/>
    <w:pPr>
      <w:spacing w:before="100" w:beforeAutospacing="1" w:after="100" w:afterAutospacing="1"/>
    </w:pPr>
  </w:style>
  <w:style w:type="character" w:styleId="Emphasis">
    <w:name w:val="Emphasis"/>
    <w:basedOn w:val="DefaultParagraphFont"/>
    <w:uiPriority w:val="20"/>
    <w:qFormat/>
    <w:rsid w:val="00F062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407946">
      <w:bodyDiv w:val="1"/>
      <w:marLeft w:val="0"/>
      <w:marRight w:val="0"/>
      <w:marTop w:val="0"/>
      <w:marBottom w:val="0"/>
      <w:divBdr>
        <w:top w:val="none" w:sz="0" w:space="0" w:color="auto"/>
        <w:left w:val="none" w:sz="0" w:space="0" w:color="auto"/>
        <w:bottom w:val="none" w:sz="0" w:space="0" w:color="auto"/>
        <w:right w:val="none" w:sz="0" w:space="0" w:color="auto"/>
      </w:divBdr>
    </w:div>
    <w:div w:id="87897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2</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Colon</dc:creator>
  <cp:keywords/>
  <dc:description/>
  <cp:lastModifiedBy>J Colon</cp:lastModifiedBy>
  <cp:revision>15</cp:revision>
  <dcterms:created xsi:type="dcterms:W3CDTF">2021-04-02T21:27:00Z</dcterms:created>
  <dcterms:modified xsi:type="dcterms:W3CDTF">2021-04-04T12:24:00Z</dcterms:modified>
</cp:coreProperties>
</file>