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docProps/custom.xml" ContentType="application/vnd.openxmlformats-officedocument.custom-propertie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79580A" w:rsidRDefault="0079580A" w14:paraId="449D98CB" w14:textId="77777777">
      <w:pPr>
        <w:sectPr w:rsidR="0079580A">
          <w:headerReference w:type="default" r:id="rId6"/>
          <w:footerReference w:type="default" r:id="rId7"/>
          <w:footerReference w:type="first" r:id="rId8"/>
          <w:pgSz w:w="12240" w:h="15840" w:orient="portrait"/>
          <w:pgMar w:top="840" w:right="1000" w:bottom="840" w:left="1000" w:header="400" w:footer="400" w:gutter="0"/>
          <w:cols w:space="720"/>
          <w:titlePg/>
        </w:sectPr>
      </w:pPr>
    </w:p>
    <w:p w:rsidR="0079580A" w:rsidRDefault="0079580A" w14:paraId="449D98CC" w14:textId="77777777">
      <w:bookmarkStart w:name="Bookmark_1" w:id="0"/>
      <w:bookmarkEnd w:id="0"/>
    </w:p>
    <w:p w:rsidR="0079580A" w:rsidRDefault="00D06D41" w14:paraId="449D98CD" w14:textId="77777777">
      <w:pPr>
        <w:pStyle w:val="Heading1"/>
        <w:keepNext w:val="0"/>
        <w:widowControl w:val="0"/>
        <w:spacing w:after="200" w:line="340" w:lineRule="atLeast"/>
        <w:jc w:val="center"/>
      </w:pPr>
      <w:r>
        <w:rPr>
          <w:rFonts w:ascii="Times" w:hAnsi="Times" w:eastAsia="Times" w:cs="Times"/>
          <w:color w:val="000000"/>
          <w:sz w:val="28"/>
        </w:rPr>
        <w:t>United States v. Davis</w:t>
      </w:r>
    </w:p>
    <w:p w:rsidR="0079580A" w:rsidRDefault="00D06D41" w14:paraId="449D98CE" w14:textId="701964A8">
      <w:pPr>
        <w:widowControl w:val="0"/>
        <w:spacing w:before="120" w:line="260" w:lineRule="atLeast"/>
        <w:jc w:val="center"/>
      </w:pPr>
      <w:r>
        <w:rPr>
          <w:rFonts w:ascii="Times" w:hAnsi="Times" w:eastAsia="Times" w:cs="Times"/>
          <w:color w:val="000000"/>
          <w:sz w:val="20"/>
        </w:rPr>
        <w:t>Supreme Court of the United States</w:t>
      </w:r>
      <w:r w:rsidR="00071D39">
        <w:rPr>
          <w:rFonts w:ascii="Times" w:hAnsi="Times" w:eastAsia="Times" w:cs="Times"/>
          <w:color w:val="000000"/>
          <w:sz w:val="20"/>
        </w:rPr>
        <w:t>, 1970</w:t>
      </w:r>
    </w:p>
    <w:p w:rsidR="0079580A" w:rsidRDefault="00D06D41" w14:paraId="449D98E5" w14:textId="66F5AB21">
      <w:pPr>
        <w:widowControl w:val="0"/>
        <w:spacing w:before="200" w:line="260" w:lineRule="atLeast"/>
        <w:jc w:val="both"/>
      </w:pPr>
      <w:bookmarkStart w:name="Syllabus" w:id="1"/>
      <w:bookmarkStart w:name="Opinion_by" w:id="2"/>
      <w:bookmarkEnd w:id="1"/>
      <w:bookmarkEnd w:id="2"/>
      <w:r>
        <w:rPr>
          <w:rFonts w:ascii="Times" w:hAnsi="Times" w:eastAsia="Times" w:cs="Times"/>
          <w:color w:val="000000"/>
          <w:sz w:val="20"/>
        </w:rPr>
        <w:t xml:space="preserve">MR. </w:t>
      </w:r>
      <w:r>
        <w:rPr>
          <w:rFonts w:ascii="Times" w:hAnsi="Times" w:eastAsia="Times" w:cs="Times"/>
          <w:color w:val="000000"/>
          <w:sz w:val="20"/>
        </w:rPr>
        <w:t xml:space="preserve">JUSTICE </w:t>
      </w:r>
      <w:r>
        <w:rPr>
          <w:rFonts w:ascii="Times" w:hAnsi="Times" w:eastAsia="Times" w:cs="Times"/>
          <w:b/>
          <w:color w:val="000000"/>
          <w:sz w:val="20"/>
        </w:rPr>
        <w:t>MARSHALL</w:t>
      </w:r>
      <w:r>
        <w:rPr>
          <w:rFonts w:ascii="Times" w:hAnsi="Times" w:eastAsia="Times" w:cs="Times"/>
          <w:color w:val="000000"/>
          <w:sz w:val="20"/>
        </w:rPr>
        <w:t xml:space="preserve"> delivered the opinion of the Court.</w:t>
      </w:r>
    </w:p>
    <w:p w:rsidR="0079580A" w:rsidRDefault="00D06D41" w14:paraId="449D98E6" w14:textId="0966CEFD">
      <w:pPr>
        <w:widowControl w:val="0"/>
        <w:spacing w:before="200" w:line="260" w:lineRule="atLeast"/>
        <w:jc w:val="both"/>
      </w:pPr>
      <w:bookmarkStart w:name="Bookmark_para_3" w:id="3"/>
      <w:bookmarkEnd w:id="3"/>
      <w:r>
        <w:rPr>
          <w:rFonts w:ascii="Times" w:hAnsi="Times" w:eastAsia="Times" w:cs="Times"/>
          <w:color w:val="000000"/>
          <w:sz w:val="20"/>
        </w:rPr>
        <w:t xml:space="preserve">In 1945, taxpayer </w:t>
      </w:r>
      <w:r>
        <w:rPr>
          <w:rFonts w:ascii="Times" w:hAnsi="Times" w:eastAsia="Times" w:cs="Times"/>
          <w:color w:val="000000"/>
          <w:sz w:val="20"/>
        </w:rPr>
        <w:t xml:space="preserve">and E. B. Bradley organized a corporation.  In exchange for property transferred to the new company, Bradley received 500 shares of common stock, and taxpayer and his wife similarly </w:t>
      </w:r>
      <w:r>
        <w:rPr>
          <w:rFonts w:ascii="Times" w:hAnsi="Times" w:eastAsia="Times" w:cs="Times"/>
          <w:color w:val="000000"/>
          <w:sz w:val="20"/>
        </w:rPr>
        <w:t>each received 250 such shares.  Shortly thereafter, taxpayer made an additional contribution to the corporation,</w:t>
      </w:r>
      <w:r>
        <w:rPr>
          <w:rFonts w:ascii="Times" w:hAnsi="Times" w:eastAsia="Times" w:cs="Times"/>
          <w:color w:val="000000"/>
          <w:sz w:val="20"/>
        </w:rPr>
        <w:t xml:space="preserve"> purchasing 1,000 shares of preferred stock at a par value of $ 25 per share.</w:t>
      </w:r>
    </w:p>
    <w:p w:rsidR="0079580A" w:rsidRDefault="00D06D41" w14:paraId="449D98E7" w14:textId="3A862303">
      <w:pPr>
        <w:widowControl w:val="0"/>
        <w:spacing w:before="200" w:line="260" w:lineRule="atLeast"/>
        <w:jc w:val="both"/>
      </w:pPr>
      <w:bookmarkStart w:name="Bookmark_para_4" w:id="4"/>
      <w:bookmarkEnd w:id="4"/>
      <w:r>
        <w:rPr>
          <w:rFonts w:ascii="Times" w:hAnsi="Times" w:eastAsia="Times" w:cs="Times"/>
          <w:color w:val="000000"/>
          <w:sz w:val="20"/>
        </w:rPr>
        <w:t xml:space="preserve">The purpose of this latter transaction was to increase </w:t>
      </w:r>
      <w:r>
        <w:rPr>
          <w:rFonts w:ascii="Times" w:hAnsi="Times" w:eastAsia="Times" w:cs="Times"/>
          <w:color w:val="000000"/>
          <w:sz w:val="20"/>
        </w:rPr>
        <w:t>the company's working capital and thereby to qualify for a loan previously negotiated through the Reconstruction Finance Corporation.  It was understood that the corporation would </w:t>
      </w:r>
      <w:r>
        <w:rPr>
          <w:rFonts w:ascii="Times" w:hAnsi="Times" w:eastAsia="Times" w:cs="Times"/>
          <w:color w:val="000000"/>
          <w:sz w:val="20"/>
        </w:rPr>
        <w:t xml:space="preserve">redeem the preferred stock </w:t>
      </w:r>
      <w:proofErr w:type="gramStart"/>
      <w:r>
        <w:rPr>
          <w:rFonts w:ascii="Times" w:hAnsi="Times" w:eastAsia="Times" w:cs="Times"/>
          <w:color w:val="000000"/>
          <w:sz w:val="20"/>
        </w:rPr>
        <w:t>when  </w:t>
      </w:r>
      <w:r>
        <w:rPr>
          <w:rFonts w:ascii="Times" w:hAnsi="Times" w:eastAsia="Times" w:cs="Times"/>
          <w:color w:val="000000"/>
          <w:sz w:val="20"/>
        </w:rPr>
        <w:t>the</w:t>
      </w:r>
      <w:proofErr w:type="gramEnd"/>
      <w:r>
        <w:rPr>
          <w:rFonts w:ascii="Times" w:hAnsi="Times" w:eastAsia="Times" w:cs="Times"/>
          <w:color w:val="000000"/>
          <w:sz w:val="20"/>
        </w:rPr>
        <w:t xml:space="preserve"> RFC loan had been repa</w:t>
      </w:r>
      <w:r>
        <w:rPr>
          <w:rFonts w:ascii="Times" w:hAnsi="Times" w:eastAsia="Times" w:cs="Times"/>
          <w:color w:val="000000"/>
          <w:sz w:val="20"/>
        </w:rPr>
        <w:t>id.  Although in the interim taxpayer bought Bradley's 500 shares and divided them between his son and daughter, the total capitalization of the company remained the same until 1963.  That year, after the loan was fully repaid and in accordance with the or</w:t>
      </w:r>
      <w:r>
        <w:rPr>
          <w:rFonts w:ascii="Times" w:hAnsi="Times" w:eastAsia="Times" w:cs="Times"/>
          <w:color w:val="000000"/>
          <w:sz w:val="20"/>
        </w:rPr>
        <w:t>iginal understanding, the company redeemed taxpayer's preferred stock.</w:t>
      </w:r>
    </w:p>
    <w:p w:rsidR="0079580A" w:rsidRDefault="00D06D41" w14:paraId="449D98E8" w14:textId="0AD7C952">
      <w:pPr>
        <w:widowControl w:val="0"/>
        <w:spacing w:before="200" w:line="260" w:lineRule="atLeast"/>
        <w:jc w:val="both"/>
      </w:pPr>
      <w:bookmarkStart w:name="Bookmark_para_5" w:id="5"/>
      <w:bookmarkEnd w:id="5"/>
      <w:r>
        <w:rPr>
          <w:rFonts w:ascii="Times" w:hAnsi="Times" w:eastAsia="Times" w:cs="Times"/>
          <w:color w:val="000000"/>
          <w:sz w:val="20"/>
        </w:rPr>
        <w:t xml:space="preserve">In his 1963 personal income tax return taxpayer did not report the $ 25,000 received by him upon the redemption of his preferred stock as income. </w:t>
      </w:r>
      <w:bookmarkStart w:name="Bookmark_I4GBFB2H0K1MNJ1T60000400" w:id="6"/>
      <w:bookmarkEnd w:id="6"/>
      <w:r>
        <w:rPr>
          <w:rFonts w:ascii="Times" w:hAnsi="Times" w:eastAsia="Times" w:cs="Times"/>
          <w:color w:val="000000"/>
          <w:sz w:val="20"/>
        </w:rPr>
        <w:t xml:space="preserve"> Rather, taxpayer considered the redemp</w:t>
      </w:r>
      <w:r>
        <w:rPr>
          <w:rFonts w:ascii="Times" w:hAnsi="Times" w:eastAsia="Times" w:cs="Times"/>
          <w:color w:val="000000"/>
          <w:sz w:val="20"/>
        </w:rPr>
        <w:t xml:space="preserve">tion as a sale of his preferred stock to the company -- a </w:t>
      </w:r>
      <w:proofErr w:type="gramStart"/>
      <w:r>
        <w:rPr>
          <w:rFonts w:ascii="Times" w:hAnsi="Times" w:eastAsia="Times" w:cs="Times"/>
          <w:color w:val="000000"/>
          <w:sz w:val="20"/>
        </w:rPr>
        <w:t>capital  </w:t>
      </w:r>
      <w:r>
        <w:rPr>
          <w:rFonts w:ascii="Times" w:hAnsi="Times" w:eastAsia="Times" w:cs="Times"/>
          <w:color w:val="000000"/>
          <w:sz w:val="20"/>
        </w:rPr>
        <w:t>gains</w:t>
      </w:r>
      <w:proofErr w:type="gramEnd"/>
      <w:r>
        <w:rPr>
          <w:rFonts w:ascii="Times" w:hAnsi="Times" w:eastAsia="Times" w:cs="Times"/>
          <w:color w:val="000000"/>
          <w:sz w:val="20"/>
        </w:rPr>
        <w:t xml:space="preserve"> transaction under § 302 of the Internal Revenue Code of 1954 resulting in no tax since taxpayer's basis in the stock equaled the amount he received for it.  The Commissioner</w:t>
      </w:r>
      <w:r>
        <w:rPr>
          <w:rFonts w:ascii="Times" w:hAnsi="Times" w:eastAsia="Times" w:cs="Times"/>
          <w:color w:val="000000"/>
          <w:sz w:val="20"/>
        </w:rPr>
        <w:t xml:space="preserve"> of Internal Revenue, however, did not approve this tax treatment. According to the Commissioner, the redemption of taxpayer's stock was essentially equivalent to a dividend and was thus taxable as ordinary income under §§ 301 and 316 of the Code.  Taxpaye</w:t>
      </w:r>
      <w:r>
        <w:rPr>
          <w:rFonts w:ascii="Times" w:hAnsi="Times" w:eastAsia="Times" w:cs="Times"/>
          <w:color w:val="000000"/>
          <w:sz w:val="20"/>
        </w:rPr>
        <w:t xml:space="preserve">r paid the resulting deficiency and brought this suit for a refund.  </w:t>
      </w:r>
    </w:p>
    <w:p w:rsidR="0079580A" w:rsidRDefault="00D06D41" w14:paraId="449D98E9" w14:textId="660A8E36">
      <w:pPr>
        <w:widowControl w:val="0"/>
        <w:spacing w:before="200" w:line="260" w:lineRule="atLeast"/>
        <w:jc w:val="both"/>
      </w:pPr>
      <w:bookmarkStart w:name="Bookmark_para_6" w:id="7"/>
      <w:bookmarkStart w:name="Bookmark_I4GBFB2H0K1MNJ1VD0000400" w:id="8"/>
      <w:bookmarkEnd w:id="7"/>
      <w:bookmarkEnd w:id="8"/>
      <w:r>
        <w:rPr>
          <w:rFonts w:ascii="Times" w:hAnsi="Times" w:eastAsia="Times" w:cs="Times"/>
          <w:color w:val="000000"/>
          <w:sz w:val="20"/>
        </w:rPr>
        <w:t>The Court of Appeals held that the $ 25,000 received by taxpayer was "not essentially equivalent to a dividend" within the meaning of that phrase in § 302 (b)(1) of the Code because the redemption was the final step in a course of action that had a legitim</w:t>
      </w:r>
      <w:r>
        <w:rPr>
          <w:rFonts w:ascii="Times" w:hAnsi="Times" w:eastAsia="Times" w:cs="Times"/>
          <w:color w:val="000000"/>
          <w:sz w:val="20"/>
        </w:rPr>
        <w:t xml:space="preserve">ate business (as opposed to a tax avoidance) purpose.  That holding represents only one of a variety of treatments accorded similar transactions under § 302 (b)(1) in the circuit courts of appeals. </w:t>
      </w:r>
      <w:r>
        <w:rPr>
          <w:rFonts w:ascii="Times" w:hAnsi="Times" w:eastAsia="Times" w:cs="Times"/>
          <w:color w:val="000000"/>
          <w:sz w:val="20"/>
        </w:rPr>
        <w:t>We reverse.</w:t>
      </w:r>
    </w:p>
    <w:p w:rsidR="0079580A" w:rsidP="00B801D5" w:rsidRDefault="00D06D41" w14:paraId="449D98EB" w14:textId="346EA97B">
      <w:pPr>
        <w:widowControl w:val="0"/>
        <w:spacing w:before="200" w:line="260" w:lineRule="atLeast"/>
        <w:jc w:val="both"/>
      </w:pPr>
      <w:bookmarkStart w:name="Bookmark_para_7" w:id="9"/>
      <w:bookmarkStart w:name="Bookmark_I4GBFB2H0K1MNJ2180000400" w:id="10"/>
      <w:bookmarkEnd w:id="9"/>
      <w:bookmarkEnd w:id="10"/>
      <w:r>
        <w:rPr>
          <w:rFonts w:ascii="Times" w:hAnsi="Times" w:eastAsia="Times" w:cs="Times"/>
          <w:color w:val="000000"/>
          <w:sz w:val="20"/>
        </w:rPr>
        <w:t>I</w:t>
      </w:r>
    </w:p>
    <w:p w:rsidR="0079580A" w:rsidRDefault="00D06D41" w14:paraId="449D98EC" w14:textId="01B4B670">
      <w:pPr>
        <w:widowControl w:val="0"/>
        <w:spacing w:before="200" w:line="260" w:lineRule="atLeast"/>
        <w:jc w:val="both"/>
      </w:pPr>
      <w:r>
        <w:rPr>
          <w:rFonts w:ascii="Times" w:hAnsi="Times" w:eastAsia="Times" w:cs="Times"/>
          <w:color w:val="000000"/>
          <w:sz w:val="20"/>
        </w:rPr>
        <w:t xml:space="preserve"> </w:t>
      </w:r>
      <w:bookmarkStart w:name="Bookmark_LEDHN1_1" w:id="11"/>
      <w:bookmarkEnd w:id="11"/>
      <w:r>
        <w:rPr>
          <w:rFonts w:ascii="Times" w:hAnsi="Times" w:eastAsia="Times" w:cs="Times"/>
          <w:color w:val="000000"/>
          <w:sz w:val="20"/>
        </w:rPr>
        <w:t>[1]</w:t>
      </w:r>
      <w:bookmarkStart w:name="Bookmark_LNHNREFclscc1" w:id="12"/>
      <w:bookmarkEnd w:id="12"/>
      <w:r w:rsidR="00487700">
        <w:rPr>
          <w:rFonts w:ascii="Times" w:hAnsi="Times" w:eastAsia="Times" w:cs="Times"/>
          <w:color w:val="000000"/>
          <w:sz w:val="20"/>
        </w:rPr>
        <w:t xml:space="preserve"> Under </w:t>
      </w:r>
      <w:r>
        <w:rPr>
          <w:rFonts w:ascii="Times" w:hAnsi="Times" w:eastAsia="Times" w:cs="Times"/>
          <w:color w:val="000000"/>
          <w:sz w:val="20"/>
        </w:rPr>
        <w:t>§§ 301 and 31</w:t>
      </w:r>
      <w:r w:rsidR="00487700">
        <w:rPr>
          <w:rFonts w:ascii="Times" w:hAnsi="Times" w:eastAsia="Times" w:cs="Times"/>
          <w:color w:val="000000"/>
          <w:sz w:val="20"/>
        </w:rPr>
        <w:t xml:space="preserve">6, </w:t>
      </w:r>
      <w:r>
        <w:rPr>
          <w:rFonts w:ascii="Times" w:hAnsi="Times" w:eastAsia="Times" w:cs="Times"/>
          <w:color w:val="000000"/>
          <w:sz w:val="20"/>
        </w:rPr>
        <w:t xml:space="preserve">a distribution is includable in a taxpayer's gross </w:t>
      </w:r>
      <w:proofErr w:type="gramStart"/>
      <w:r>
        <w:rPr>
          <w:rFonts w:ascii="Times" w:hAnsi="Times" w:eastAsia="Times" w:cs="Times"/>
          <w:color w:val="000000"/>
          <w:sz w:val="20"/>
        </w:rPr>
        <w:t xml:space="preserve">income </w:t>
      </w:r>
      <w:r>
        <w:rPr>
          <w:rFonts w:ascii="Times" w:hAnsi="Times" w:eastAsia="Times" w:cs="Times"/>
          <w:color w:val="000000"/>
          <w:sz w:val="20"/>
        </w:rPr>
        <w:t> </w:t>
      </w:r>
      <w:r>
        <w:rPr>
          <w:rFonts w:ascii="Times" w:hAnsi="Times" w:eastAsia="Times" w:cs="Times"/>
          <w:color w:val="000000"/>
          <w:sz w:val="20"/>
        </w:rPr>
        <w:t>as</w:t>
      </w:r>
      <w:proofErr w:type="gramEnd"/>
      <w:r>
        <w:rPr>
          <w:rFonts w:ascii="Times" w:hAnsi="Times" w:eastAsia="Times" w:cs="Times"/>
          <w:color w:val="000000"/>
          <w:sz w:val="20"/>
        </w:rPr>
        <w:t xml:space="preserve"> a dividend out of earnings and profits to the extent such earnings exist.</w:t>
      </w:r>
      <w:r>
        <w:rPr>
          <w:rFonts w:ascii="Times" w:hAnsi="Times" w:eastAsia="Times" w:cs="Times"/>
          <w:vertAlign w:val="superscript"/>
        </w:rPr>
        <w:footnoteReference w:customMarkFollows="1" w:id="1"/>
        <w:t>3</w:t>
      </w:r>
      <w:r>
        <w:rPr>
          <w:rFonts w:ascii="Times" w:hAnsi="Times" w:eastAsia="Times" w:cs="Times"/>
          <w:color w:val="000000"/>
          <w:sz w:val="20"/>
        </w:rPr>
        <w:t xml:space="preserve"> </w:t>
      </w:r>
      <w:r>
        <w:rPr>
          <w:rFonts w:ascii="Times" w:hAnsi="Times" w:eastAsia="Times" w:cs="Times"/>
          <w:color w:val="000000"/>
          <w:sz w:val="20"/>
        </w:rPr>
        <w:t xml:space="preserve">The basic question in this case is whether the $ 25,000 distribution by the corporation to taxpayer falls under </w:t>
      </w:r>
      <w:r w:rsidR="00641128">
        <w:rPr>
          <w:rFonts w:ascii="Times" w:hAnsi="Times" w:eastAsia="Times" w:cs="Times"/>
          <w:color w:val="000000"/>
          <w:sz w:val="20"/>
        </w:rPr>
        <w:t>§</w:t>
      </w:r>
      <w:r w:rsidR="00641128">
        <w:rPr>
          <w:rFonts w:ascii="Times" w:hAnsi="Times" w:eastAsia="Times" w:cs="Times"/>
          <w:color w:val="000000"/>
          <w:sz w:val="20"/>
        </w:rPr>
        <w:t xml:space="preserve">302 </w:t>
      </w:r>
      <w:r>
        <w:rPr>
          <w:rFonts w:ascii="Times" w:hAnsi="Times" w:eastAsia="Times" w:cs="Times"/>
          <w:color w:val="000000"/>
          <w:sz w:val="20"/>
        </w:rPr>
        <w:t>-- more specifica</w:t>
      </w:r>
      <w:r>
        <w:rPr>
          <w:rFonts w:ascii="Times" w:hAnsi="Times" w:eastAsia="Times" w:cs="Times"/>
          <w:color w:val="000000"/>
          <w:sz w:val="20"/>
        </w:rPr>
        <w:t>lly, whether its legitimate business motivation qualifies the distribution under § 302</w:t>
      </w:r>
      <w:r>
        <w:rPr>
          <w:rFonts w:ascii="Times" w:hAnsi="Times" w:eastAsia="Times" w:cs="Times"/>
          <w:color w:val="000000"/>
          <w:sz w:val="20"/>
        </w:rPr>
        <w:t>(b)(1)</w:t>
      </w:r>
      <w:r w:rsidR="00641128">
        <w:rPr>
          <w:rFonts w:ascii="Times" w:hAnsi="Times" w:eastAsia="Times" w:cs="Times"/>
          <w:color w:val="000000"/>
          <w:sz w:val="20"/>
        </w:rPr>
        <w:t>.</w:t>
      </w:r>
      <w:r>
        <w:rPr>
          <w:rFonts w:ascii="Times" w:hAnsi="Times" w:eastAsia="Times" w:cs="Times"/>
          <w:color w:val="000000"/>
          <w:sz w:val="20"/>
        </w:rPr>
        <w:t>  Preliminarily, however, we must consider the relationship between § 302 (b)(1) and the rules regarding the attribution of stock ownership fo</w:t>
      </w:r>
      <w:r>
        <w:rPr>
          <w:rFonts w:ascii="Times" w:hAnsi="Times" w:eastAsia="Times" w:cs="Times"/>
          <w:color w:val="000000"/>
          <w:sz w:val="20"/>
        </w:rPr>
        <w:t>und in § 318 (a) of the Code.</w:t>
      </w:r>
    </w:p>
    <w:p w:rsidR="0079580A" w:rsidRDefault="00D06D41" w14:paraId="449D98ED" w14:textId="59E0D7D4">
      <w:pPr>
        <w:widowControl w:val="0"/>
        <w:spacing w:before="200" w:line="260" w:lineRule="atLeast"/>
        <w:jc w:val="both"/>
      </w:pPr>
      <w:bookmarkStart w:name="Bookmark_para_8" w:id="15"/>
      <w:bookmarkEnd w:id="15"/>
      <w:r>
        <w:rPr>
          <w:rFonts w:ascii="Times" w:hAnsi="Times" w:eastAsia="Times" w:cs="Times"/>
          <w:color w:val="000000"/>
          <w:sz w:val="20"/>
        </w:rPr>
        <w:t> </w:t>
      </w:r>
      <w:bookmarkStart w:name="Bookmark_LEDHN2_1" w:id="16"/>
      <w:bookmarkEnd w:id="16"/>
      <w:r>
        <w:rPr>
          <w:rFonts w:ascii="Times" w:hAnsi="Times" w:eastAsia="Times" w:cs="Times"/>
          <w:color w:val="000000"/>
          <w:sz w:val="20"/>
        </w:rPr>
        <w:t>[2]</w:t>
      </w:r>
      <w:bookmarkStart w:name="Bookmark_LNHNREFclscc2" w:id="17"/>
      <w:bookmarkEnd w:id="17"/>
      <w:r w:rsidR="00F5014B">
        <w:rPr>
          <w:rFonts w:ascii="Times" w:hAnsi="Times" w:eastAsia="Times" w:cs="Times"/>
          <w:color w:val="000000"/>
          <w:sz w:val="20"/>
        </w:rPr>
        <w:t xml:space="preserve"> </w:t>
      </w:r>
      <w:r>
        <w:rPr>
          <w:rFonts w:ascii="Times" w:hAnsi="Times" w:eastAsia="Times" w:cs="Times"/>
          <w:color w:val="000000"/>
          <w:sz w:val="20"/>
        </w:rPr>
        <w:t xml:space="preserve">Under </w:t>
      </w:r>
      <w:r>
        <w:rPr>
          <w:rFonts w:ascii="Times" w:hAnsi="Times" w:eastAsia="Times" w:cs="Times"/>
          <w:color w:val="000000"/>
          <w:sz w:val="20"/>
        </w:rPr>
        <w:t>§ 302</w:t>
      </w:r>
      <w:r w:rsidR="00F5014B">
        <w:rPr>
          <w:rFonts w:ascii="Times" w:hAnsi="Times" w:eastAsia="Times" w:cs="Times"/>
          <w:color w:val="000000"/>
          <w:sz w:val="20"/>
        </w:rPr>
        <w:t>(a)</w:t>
      </w:r>
      <w:r>
        <w:rPr>
          <w:rFonts w:ascii="Times" w:hAnsi="Times" w:eastAsia="Times" w:cs="Times"/>
          <w:color w:val="000000"/>
          <w:sz w:val="20"/>
        </w:rPr>
        <w:t>, a distribution is treated as "</w:t>
      </w:r>
      <w:proofErr w:type="gramStart"/>
      <w:r>
        <w:rPr>
          <w:rFonts w:ascii="Times" w:hAnsi="Times" w:eastAsia="Times" w:cs="Times"/>
          <w:color w:val="000000"/>
          <w:sz w:val="20"/>
        </w:rPr>
        <w:t>payment  </w:t>
      </w:r>
      <w:r>
        <w:rPr>
          <w:rFonts w:ascii="Times" w:hAnsi="Times" w:eastAsia="Times" w:cs="Times"/>
          <w:color w:val="000000"/>
          <w:sz w:val="20"/>
        </w:rPr>
        <w:t>in</w:t>
      </w:r>
      <w:proofErr w:type="gramEnd"/>
      <w:r>
        <w:rPr>
          <w:rFonts w:ascii="Times" w:hAnsi="Times" w:eastAsia="Times" w:cs="Times"/>
          <w:color w:val="000000"/>
          <w:sz w:val="20"/>
        </w:rPr>
        <w:t xml:space="preserve"> exchange for the stock," thus qualifying for capital gains rather than ordinary income treatment, if the conditions contained in </w:t>
      </w:r>
      <w:r>
        <w:rPr>
          <w:rFonts w:ascii="Times" w:hAnsi="Times" w:eastAsia="Times" w:cs="Times"/>
          <w:color w:val="000000"/>
          <w:sz w:val="20"/>
        </w:rPr>
        <w:t xml:space="preserve">any one of the four paragraphs of subsection (b) are met.  </w:t>
      </w:r>
      <w:r w:rsidR="000E3C89">
        <w:rPr>
          <w:rFonts w:ascii="Times" w:hAnsi="Times" w:eastAsia="Times" w:cs="Times"/>
          <w:color w:val="000000"/>
          <w:sz w:val="20"/>
        </w:rPr>
        <w:t>T</w:t>
      </w:r>
      <w:r>
        <w:rPr>
          <w:rFonts w:ascii="Times" w:hAnsi="Times" w:eastAsia="Times" w:cs="Times"/>
          <w:color w:val="000000"/>
          <w:sz w:val="20"/>
        </w:rPr>
        <w:t>axpayer admits that paragraphs (2) and (3) do not apply.  Moreover, taxpayer agrees that for the purposes of §§ 302 (b)(2) a</w:t>
      </w:r>
      <w:r>
        <w:rPr>
          <w:rFonts w:ascii="Times" w:hAnsi="Times" w:eastAsia="Times" w:cs="Times"/>
          <w:color w:val="000000"/>
          <w:sz w:val="20"/>
        </w:rPr>
        <w:t xml:space="preserve">nd (3) the attribution rules of § 318 (a) apply and he is considered to own the 750 outstanding shares of common stock held by his wife and children in addition to the 250 shares in his own name. </w:t>
      </w:r>
    </w:p>
    <w:p w:rsidR="0079580A" w:rsidRDefault="00D06D41" w14:paraId="449D98EE" w14:textId="054614FE">
      <w:pPr>
        <w:widowControl w:val="0"/>
        <w:spacing w:before="200" w:line="260" w:lineRule="atLeast"/>
        <w:jc w:val="both"/>
      </w:pPr>
      <w:bookmarkStart w:name="Bookmark_para_9" w:id="18"/>
      <w:bookmarkEnd w:id="18"/>
      <w:r>
        <w:rPr>
          <w:rFonts w:ascii="Times" w:hAnsi="Times" w:eastAsia="Times" w:cs="Times"/>
          <w:color w:val="000000"/>
          <w:sz w:val="20"/>
        </w:rPr>
        <w:t xml:space="preserve">Taxpayer, however, argues that the attribution </w:t>
      </w:r>
      <w:r>
        <w:rPr>
          <w:rFonts w:ascii="Times" w:hAnsi="Times" w:eastAsia="Times" w:cs="Times"/>
          <w:color w:val="000000"/>
          <w:sz w:val="20"/>
        </w:rPr>
        <w:t xml:space="preserve">rules do not apply in considering whether a distribution is essentially equivalent to a dividend under § 302 (b)(1). </w:t>
      </w:r>
      <w:r>
        <w:rPr>
          <w:rFonts w:ascii="Times" w:hAnsi="Times" w:eastAsia="Times" w:cs="Times"/>
          <w:color w:val="000000"/>
          <w:sz w:val="20"/>
        </w:rPr>
        <w:t>According to taxpayer, he should thus be considered to own only 25 percent of the corporation's common stock, and the distribution</w:t>
      </w:r>
      <w:r>
        <w:rPr>
          <w:rFonts w:ascii="Times" w:hAnsi="Times" w:eastAsia="Times" w:cs="Times"/>
          <w:color w:val="000000"/>
          <w:sz w:val="20"/>
        </w:rPr>
        <w:t xml:space="preserve"> would then qualify under § 302 (b)(1) since it was not pro rata or proportionate to his stock interest, the fundamental test of dividend equivalency.  See Treas. </w:t>
      </w:r>
      <w:bookmarkStart w:name="Bookmark_I4GBFB2H0K1MNJ21B0000400" w:id="19"/>
      <w:bookmarkEnd w:id="19"/>
      <w:r>
        <w:rPr>
          <w:rFonts w:ascii="Times" w:hAnsi="Times" w:eastAsia="Times" w:cs="Times"/>
          <w:color w:val="000000"/>
          <w:sz w:val="20"/>
        </w:rPr>
        <w:t>Reg. 1.302-2 (b).  However, the plain language of the statute compels rejection of the argume</w:t>
      </w:r>
      <w:r>
        <w:rPr>
          <w:rFonts w:ascii="Times" w:hAnsi="Times" w:eastAsia="Times" w:cs="Times"/>
          <w:color w:val="000000"/>
          <w:sz w:val="20"/>
        </w:rPr>
        <w:t xml:space="preserve">nt.  </w:t>
      </w:r>
      <w:bookmarkStart w:name="Bookmark_LNHNREFclscc5" w:id="20"/>
      <w:bookmarkEnd w:id="20"/>
      <w:r>
        <w:rPr>
          <w:rFonts w:ascii="Times" w:hAnsi="Times" w:eastAsia="Times" w:cs="Times"/>
          <w:color w:val="000000"/>
          <w:sz w:val="20"/>
        </w:rPr>
        <w:t xml:space="preserve">In subsection (c) of § 302, the attribution rules are made specifically applicable "in determining the ownership of stock for purposes of this section." Applying this language, both courts below held that § 318 (a) applies to </w:t>
      </w:r>
      <w:proofErr w:type="gramStart"/>
      <w:r>
        <w:rPr>
          <w:rFonts w:ascii="Times" w:hAnsi="Times" w:eastAsia="Times" w:cs="Times"/>
          <w:color w:val="000000"/>
          <w:sz w:val="20"/>
        </w:rPr>
        <w:t>all of</w:t>
      </w:r>
      <w:proofErr w:type="gramEnd"/>
      <w:r>
        <w:rPr>
          <w:rFonts w:ascii="Times" w:hAnsi="Times" w:eastAsia="Times" w:cs="Times"/>
          <w:color w:val="000000"/>
          <w:sz w:val="20"/>
        </w:rPr>
        <w:t xml:space="preserve"> § 302, including §</w:t>
      </w:r>
      <w:r>
        <w:rPr>
          <w:rFonts w:ascii="Times" w:hAnsi="Times" w:eastAsia="Times" w:cs="Times"/>
          <w:color w:val="000000"/>
          <w:sz w:val="20"/>
        </w:rPr>
        <w:t xml:space="preserve"> 302 (b)(1)</w:t>
      </w:r>
      <w:r w:rsidR="00E13D35">
        <w:rPr>
          <w:rFonts w:ascii="Times" w:hAnsi="Times" w:eastAsia="Times" w:cs="Times"/>
          <w:color w:val="000000"/>
          <w:sz w:val="20"/>
        </w:rPr>
        <w:t>.</w:t>
      </w:r>
    </w:p>
    <w:p w:rsidR="0079580A" w:rsidRDefault="00D06D41" w14:paraId="449D98F0" w14:textId="77777777">
      <w:pPr>
        <w:widowControl w:val="0"/>
        <w:spacing w:before="200" w:line="260" w:lineRule="atLeast"/>
        <w:jc w:val="both"/>
      </w:pPr>
      <w:bookmarkStart w:name="Bookmark_para_10" w:id="21"/>
      <w:bookmarkStart w:name="Bookmark_para_11" w:id="22"/>
      <w:bookmarkEnd w:id="21"/>
      <w:bookmarkEnd w:id="22"/>
      <w:r>
        <w:rPr>
          <w:rFonts w:ascii="Times" w:hAnsi="Times" w:eastAsia="Times" w:cs="Times"/>
          <w:color w:val="000000"/>
          <w:sz w:val="20"/>
        </w:rPr>
        <w:t>Indeed, it was necessary that the at</w:t>
      </w:r>
      <w:r>
        <w:rPr>
          <w:rFonts w:ascii="Times" w:hAnsi="Times" w:eastAsia="Times" w:cs="Times"/>
          <w:color w:val="000000"/>
          <w:sz w:val="20"/>
        </w:rPr>
        <w:t xml:space="preserve">tribution rules apply to § 302 (b)(1) unless they were to be effectively eliminated from consideration </w:t>
      </w:r>
      <w:proofErr w:type="gramStart"/>
      <w:r>
        <w:rPr>
          <w:rFonts w:ascii="Times" w:hAnsi="Times" w:eastAsia="Times" w:cs="Times"/>
          <w:color w:val="000000"/>
          <w:sz w:val="20"/>
        </w:rPr>
        <w:t>with regard to</w:t>
      </w:r>
      <w:proofErr w:type="gramEnd"/>
      <w:r>
        <w:rPr>
          <w:rFonts w:ascii="Times" w:hAnsi="Times" w:eastAsia="Times" w:cs="Times"/>
          <w:color w:val="000000"/>
          <w:sz w:val="20"/>
        </w:rPr>
        <w:t xml:space="preserve"> §§ 302 (b)(2) and (3) also.  For if a transaction failed to qualify under one of those sections solely because of the attribution rules, i</w:t>
      </w:r>
      <w:r>
        <w:rPr>
          <w:rFonts w:ascii="Times" w:hAnsi="Times" w:eastAsia="Times" w:cs="Times"/>
          <w:color w:val="000000"/>
          <w:sz w:val="20"/>
        </w:rPr>
        <w:t xml:space="preserve">t would according to taxpayer's argument nonetheless qualify under § 302 (b)(1).  We cannot agree that Congress intended so to nullify its explicit directive.  We conclude, therefore, that the attribution rules of § 318 (a) do apply; and, for the purposes </w:t>
      </w:r>
      <w:r>
        <w:rPr>
          <w:rFonts w:ascii="Times" w:hAnsi="Times" w:eastAsia="Times" w:cs="Times"/>
          <w:color w:val="000000"/>
          <w:sz w:val="20"/>
        </w:rPr>
        <w:t>of deciding whether a distribution is "not essentially equivalent to a dividend" under § 302 (b)(1), taxpayer must be deemed the owner of all 1,000 shares of the company's common stock.</w:t>
      </w:r>
    </w:p>
    <w:p w:rsidR="0079580A" w:rsidRDefault="00D06D41" w14:paraId="449D98F1" w14:textId="77777777">
      <w:pPr>
        <w:widowControl w:val="0"/>
        <w:spacing w:before="200" w:line="260" w:lineRule="atLeast"/>
        <w:jc w:val="both"/>
      </w:pPr>
      <w:bookmarkStart w:name="Bookmark_para_12" w:id="23"/>
      <w:bookmarkEnd w:id="23"/>
      <w:r>
        <w:rPr>
          <w:rFonts w:ascii="Times" w:hAnsi="Times" w:eastAsia="Times" w:cs="Times"/>
          <w:color w:val="000000"/>
          <w:sz w:val="20"/>
        </w:rPr>
        <w:lastRenderedPageBreak/>
        <w:t>II</w:t>
      </w:r>
    </w:p>
    <w:p w:rsidR="0079580A" w:rsidRDefault="00D06D41" w14:paraId="449D98F2" w14:textId="0989C4CD">
      <w:pPr>
        <w:widowControl w:val="0"/>
        <w:spacing w:before="200" w:line="260" w:lineRule="atLeast"/>
        <w:jc w:val="both"/>
      </w:pPr>
      <w:bookmarkStart w:name="Bookmark_para_13" w:id="24"/>
      <w:bookmarkEnd w:id="24"/>
      <w:r>
        <w:rPr>
          <w:rFonts w:ascii="Times" w:hAnsi="Times" w:eastAsia="Times" w:cs="Times"/>
          <w:color w:val="000000"/>
          <w:sz w:val="20"/>
        </w:rPr>
        <w:t xml:space="preserve"> </w:t>
      </w:r>
      <w:bookmarkStart w:name="Bookmark_LEDHN3_1" w:id="25"/>
      <w:bookmarkEnd w:id="25"/>
      <w:r>
        <w:rPr>
          <w:rFonts w:ascii="Times" w:hAnsi="Times" w:eastAsia="Times" w:cs="Times"/>
          <w:color w:val="000000"/>
          <w:sz w:val="20"/>
        </w:rPr>
        <w:t xml:space="preserve">[3] </w:t>
      </w:r>
      <w:bookmarkStart w:name="Bookmark_LEDHN4_1" w:id="26"/>
      <w:bookmarkEnd w:id="26"/>
      <w:r>
        <w:rPr>
          <w:rFonts w:ascii="Times" w:hAnsi="Times" w:eastAsia="Times" w:cs="Times"/>
          <w:color w:val="000000"/>
          <w:sz w:val="20"/>
        </w:rPr>
        <w:t>[4A]After application of the stock ownership attribution rules</w:t>
      </w:r>
      <w:r>
        <w:rPr>
          <w:rFonts w:ascii="Times" w:hAnsi="Times" w:eastAsia="Times" w:cs="Times"/>
          <w:color w:val="000000"/>
          <w:sz w:val="20"/>
        </w:rPr>
        <w:t xml:space="preserve">, this case viewed most simply involves </w:t>
      </w:r>
      <w:bookmarkStart w:name="Bookmark_LNHNREFclscc6" w:id="27"/>
      <w:bookmarkEnd w:id="27"/>
      <w:r>
        <w:rPr>
          <w:rFonts w:ascii="Times" w:hAnsi="Times" w:eastAsia="Times" w:cs="Times"/>
          <w:color w:val="000000"/>
          <w:sz w:val="20"/>
        </w:rPr>
        <w:t>a sole stockholder who causes part of his shares to be redeemed by the corporation.  We conclude that such a redemption is always "essentially equivalent </w:t>
      </w:r>
      <w:r>
        <w:rPr>
          <w:rFonts w:ascii="Times" w:hAnsi="Times" w:eastAsia="Times" w:cs="Times"/>
          <w:color w:val="000000"/>
          <w:sz w:val="20"/>
        </w:rPr>
        <w:t xml:space="preserve">to a dividend" within the meaning of that phrase in </w:t>
      </w:r>
      <w:r>
        <w:rPr>
          <w:rFonts w:ascii="Times" w:hAnsi="Times" w:eastAsia="Times" w:cs="Times"/>
          <w:color w:val="000000"/>
          <w:sz w:val="20"/>
        </w:rPr>
        <w:t>§ 302 (b)(1)</w:t>
      </w:r>
      <w:proofErr w:type="gramStart"/>
      <w:r>
        <w:rPr>
          <w:rFonts w:ascii="Times" w:hAnsi="Times" w:eastAsia="Times" w:cs="Times"/>
          <w:vertAlign w:val="superscript"/>
        </w:rPr>
        <w:footnoteReference w:customMarkFollows="1" w:id="2"/>
        <w:t>8</w:t>
      </w:r>
      <w:r>
        <w:rPr>
          <w:rFonts w:ascii="Times" w:hAnsi="Times" w:eastAsia="Times" w:cs="Times"/>
          <w:color w:val="000000"/>
          <w:sz w:val="20"/>
        </w:rPr>
        <w:t xml:space="preserve"> </w:t>
      </w:r>
      <w:r w:rsidR="00FB584C">
        <w:rPr>
          <w:rFonts w:ascii="Times" w:hAnsi="Times" w:eastAsia="Times" w:cs="Times"/>
          <w:color w:val="000000"/>
          <w:sz w:val="20"/>
        </w:rPr>
        <w:t>.</w:t>
      </w:r>
      <w:proofErr w:type="gramEnd"/>
    </w:p>
    <w:p w:rsidR="0079580A" w:rsidRDefault="00D06D41" w14:paraId="449D98F3" w14:textId="77777777">
      <w:pPr>
        <w:widowControl w:val="0"/>
        <w:spacing w:before="200" w:line="260" w:lineRule="atLeast"/>
        <w:jc w:val="both"/>
      </w:pPr>
      <w:bookmarkStart w:name="Bookmark_para_14" w:id="29"/>
      <w:bookmarkEnd w:id="29"/>
      <w:r>
        <w:rPr>
          <w:rFonts w:ascii="Times" w:hAnsi="Times" w:eastAsia="Times" w:cs="Times"/>
          <w:color w:val="000000"/>
          <w:sz w:val="20"/>
        </w:rPr>
        <w:t xml:space="preserve"> </w:t>
      </w:r>
      <w:bookmarkStart w:name="Bookmark_LEDHN4_2" w:id="30"/>
      <w:bookmarkEnd w:id="30"/>
      <w:r>
        <w:rPr>
          <w:rFonts w:ascii="Times" w:hAnsi="Times" w:eastAsia="Times" w:cs="Times"/>
          <w:color w:val="000000"/>
          <w:sz w:val="20"/>
        </w:rPr>
        <w:t>[4B]</w:t>
      </w:r>
    </w:p>
    <w:p w:rsidR="0079580A" w:rsidP="00FB584C" w:rsidRDefault="00D06D41" w14:paraId="449D98F5" w14:textId="243CC79B">
      <w:pPr>
        <w:widowControl w:val="0"/>
        <w:spacing w:before="200" w:line="260" w:lineRule="atLeast"/>
        <w:jc w:val="both"/>
      </w:pPr>
      <w:bookmarkStart w:name="Bookmark_para_15" w:id="31"/>
      <w:bookmarkEnd w:id="31"/>
      <w:r>
        <w:rPr>
          <w:rFonts w:ascii="Times" w:hAnsi="Times" w:eastAsia="Times" w:cs="Times"/>
          <w:color w:val="000000"/>
          <w:sz w:val="20"/>
        </w:rPr>
        <w:t> </w:t>
      </w:r>
      <w:r>
        <w:rPr>
          <w:rFonts w:ascii="Times" w:hAnsi="Times" w:eastAsia="Times" w:cs="Times"/>
          <w:color w:val="000000"/>
          <w:sz w:val="20"/>
        </w:rPr>
        <w:t xml:space="preserve">The predecessor of § 302 (b)(1) came </w:t>
      </w:r>
      <w:r>
        <w:rPr>
          <w:rFonts w:ascii="Times" w:hAnsi="Times" w:eastAsia="Times" w:cs="Times"/>
          <w:color w:val="000000"/>
          <w:sz w:val="20"/>
        </w:rPr>
        <w:t>into the tax law as § 201 (d) of the Revenue Act of 1921, 42 Stat. 228:</w:t>
      </w:r>
      <w:bookmarkStart w:name="Bookmark_para_16" w:id="32"/>
      <w:bookmarkStart w:name="Bookmark_I4GBFB2H0K1MNJ2340000400" w:id="33"/>
      <w:bookmarkEnd w:id="32"/>
      <w:bookmarkEnd w:id="33"/>
    </w:p>
    <w:p w:rsidR="0079580A" w:rsidRDefault="0079580A" w14:paraId="449D98F6" w14:textId="77777777"/>
    <w:p w:rsidR="0079580A" w:rsidP="00FB584C" w:rsidRDefault="00D06D41" w14:paraId="449D98F8" w14:textId="26C8441D">
      <w:pPr>
        <w:widowControl w:val="0"/>
        <w:spacing w:line="260" w:lineRule="atLeast"/>
        <w:jc w:val="both"/>
      </w:pPr>
      <w:r>
        <w:rPr>
          <w:rFonts w:ascii="Times" w:hAnsi="Times" w:eastAsia="Times" w:cs="Times"/>
          <w:color w:val="000000"/>
          <w:sz w:val="20"/>
        </w:rPr>
        <w:t>"A stock dividend shall not be subject to tax but if after the distribution of any such dividend the corporation proceeds to cancel or redeem its stock at such time and in such manne</w:t>
      </w:r>
      <w:r>
        <w:rPr>
          <w:rFonts w:ascii="Times" w:hAnsi="Times" w:eastAsia="Times" w:cs="Times"/>
          <w:color w:val="000000"/>
          <w:sz w:val="20"/>
        </w:rPr>
        <w:t xml:space="preserve">r as to make the distribution and cancellation or redemption essentially equivalent to the distribution of a taxable dividend, the amount received in redemption or cancellation of the stock shall be treated as a taxable dividend </w:t>
      </w:r>
      <w:proofErr w:type="gramStart"/>
      <w:r>
        <w:rPr>
          <w:rFonts w:ascii="Times" w:hAnsi="Times" w:eastAsia="Times" w:cs="Times"/>
          <w:color w:val="000000"/>
          <w:sz w:val="20"/>
        </w:rPr>
        <w:t>. . . .</w:t>
      </w:r>
      <w:proofErr w:type="gramEnd"/>
      <w:r>
        <w:rPr>
          <w:rFonts w:ascii="Times" w:hAnsi="Times" w:eastAsia="Times" w:cs="Times"/>
          <w:color w:val="000000"/>
          <w:sz w:val="20"/>
        </w:rPr>
        <w:t>"</w:t>
      </w:r>
    </w:p>
    <w:p w:rsidR="0079580A" w:rsidRDefault="00D06D41" w14:paraId="449D98F9" w14:textId="442AE6B1">
      <w:pPr>
        <w:widowControl w:val="0"/>
        <w:spacing w:before="200" w:line="260" w:lineRule="atLeast"/>
        <w:jc w:val="both"/>
      </w:pPr>
      <w:r>
        <w:rPr>
          <w:rFonts w:ascii="Times" w:hAnsi="Times" w:eastAsia="Times" w:cs="Times"/>
          <w:color w:val="000000"/>
          <w:sz w:val="20"/>
        </w:rPr>
        <w:t>Enacted in respon</w:t>
      </w:r>
      <w:r>
        <w:rPr>
          <w:rFonts w:ascii="Times" w:hAnsi="Times" w:eastAsia="Times" w:cs="Times"/>
          <w:color w:val="000000"/>
          <w:sz w:val="20"/>
        </w:rPr>
        <w:t xml:space="preserve">se to this Court's decision that pro rata stock dividends </w:t>
      </w:r>
      <w:proofErr w:type="gramStart"/>
      <w:r>
        <w:rPr>
          <w:rFonts w:ascii="Times" w:hAnsi="Times" w:eastAsia="Times" w:cs="Times"/>
          <w:color w:val="000000"/>
          <w:sz w:val="20"/>
        </w:rPr>
        <w:t>do  </w:t>
      </w:r>
      <w:r>
        <w:rPr>
          <w:rFonts w:ascii="Times" w:hAnsi="Times" w:eastAsia="Times" w:cs="Times"/>
          <w:color w:val="000000"/>
          <w:sz w:val="20"/>
        </w:rPr>
        <w:t>not</w:t>
      </w:r>
      <w:proofErr w:type="gramEnd"/>
      <w:r>
        <w:rPr>
          <w:rFonts w:ascii="Times" w:hAnsi="Times" w:eastAsia="Times" w:cs="Times"/>
          <w:color w:val="000000"/>
          <w:sz w:val="20"/>
        </w:rPr>
        <w:t xml:space="preserve"> constitute taxable income,  </w:t>
      </w:r>
      <w:bookmarkStart w:name="Bookmark_I4GBFB2H0K1MNJ2330000400" w:id="34"/>
      <w:bookmarkEnd w:id="34"/>
      <w:r>
        <w:rPr>
          <w:rFonts w:ascii="Times" w:hAnsi="Times" w:eastAsia="Times" w:cs="Times"/>
          <w:i/>
          <w:color w:val="000000"/>
          <w:sz w:val="20"/>
        </w:rPr>
        <w:t>Eisner</w:t>
      </w:r>
      <w:r>
        <w:rPr>
          <w:rFonts w:ascii="Times" w:hAnsi="Times" w:eastAsia="Times" w:cs="Times"/>
          <w:color w:val="000000"/>
          <w:sz w:val="20"/>
        </w:rPr>
        <w:t xml:space="preserve"> v. </w:t>
      </w:r>
      <w:r>
        <w:rPr>
          <w:rFonts w:ascii="Times" w:hAnsi="Times" w:eastAsia="Times" w:cs="Times"/>
          <w:i/>
          <w:color w:val="000000"/>
          <w:sz w:val="20"/>
        </w:rPr>
        <w:t>Macomber</w:t>
      </w:r>
      <w:r>
        <w:rPr>
          <w:rFonts w:ascii="Times" w:hAnsi="Times" w:eastAsia="Times" w:cs="Times"/>
          <w:color w:val="000000"/>
          <w:sz w:val="20"/>
        </w:rPr>
        <w:t>, 252 U.S. 189 (1920), the provision had the obvious purpose of preventing a corporation from avoiding dividend tax treatment by distr</w:t>
      </w:r>
      <w:r>
        <w:rPr>
          <w:rFonts w:ascii="Times" w:hAnsi="Times" w:eastAsia="Times" w:cs="Times"/>
          <w:color w:val="000000"/>
          <w:sz w:val="20"/>
        </w:rPr>
        <w:t>ibuting earnings to its shareholders in two transactions -- a pro rata stock dividend followed by a pro rata redemption -- that would have the same economic consequences as a simple dividend. Congress, however, soon recognized that even without a prior sto</w:t>
      </w:r>
      <w:r>
        <w:rPr>
          <w:rFonts w:ascii="Times" w:hAnsi="Times" w:eastAsia="Times" w:cs="Times"/>
          <w:color w:val="000000"/>
          <w:sz w:val="20"/>
        </w:rPr>
        <w:t xml:space="preserve">ck dividend essentially the same result could be effected whereby any </w:t>
      </w:r>
      <w:proofErr w:type="gramStart"/>
      <w:r>
        <w:rPr>
          <w:rFonts w:ascii="Times" w:hAnsi="Times" w:eastAsia="Times" w:cs="Times"/>
          <w:color w:val="000000"/>
          <w:sz w:val="20"/>
        </w:rPr>
        <w:t>corporation,  </w:t>
      </w:r>
      <w:r>
        <w:rPr>
          <w:rFonts w:ascii="Times" w:hAnsi="Times" w:eastAsia="Times" w:cs="Times"/>
          <w:color w:val="000000"/>
          <w:sz w:val="20"/>
        </w:rPr>
        <w:t>"</w:t>
      </w:r>
      <w:proofErr w:type="gramEnd"/>
      <w:r>
        <w:rPr>
          <w:rFonts w:ascii="Times" w:hAnsi="Times" w:eastAsia="Times" w:cs="Times"/>
          <w:color w:val="000000"/>
          <w:sz w:val="20"/>
        </w:rPr>
        <w:t>especially</w:t>
      </w:r>
      <w:r>
        <w:rPr>
          <w:rFonts w:ascii="Times" w:hAnsi="Times" w:eastAsia="Times" w:cs="Times"/>
          <w:color w:val="000000"/>
          <w:sz w:val="20"/>
        </w:rPr>
        <w:t>  one which has only a few stockholders, might be able to make a distribution to its stockholders which would have the same effect as a taxabl</w:t>
      </w:r>
      <w:r>
        <w:rPr>
          <w:rFonts w:ascii="Times" w:hAnsi="Times" w:eastAsia="Times" w:cs="Times"/>
          <w:color w:val="000000"/>
          <w:sz w:val="20"/>
        </w:rPr>
        <w:t xml:space="preserve">e dividend." H. R. Rep. No. 1, 69th Cong., 1st Sess., 5.  In order to cover this situation, the law was amended to apply "(whether or not such stock was issued as a stock dividend)" whenever a distribution in redemption of stock was made "at such time and </w:t>
      </w:r>
      <w:r>
        <w:rPr>
          <w:rFonts w:ascii="Times" w:hAnsi="Times" w:eastAsia="Times" w:cs="Times"/>
          <w:color w:val="000000"/>
          <w:sz w:val="20"/>
        </w:rPr>
        <w:t xml:space="preserve">in such manner" that it was essentially </w:t>
      </w:r>
      <w:proofErr w:type="gramStart"/>
      <w:r>
        <w:rPr>
          <w:rFonts w:ascii="Times" w:hAnsi="Times" w:eastAsia="Times" w:cs="Times"/>
          <w:color w:val="000000"/>
          <w:sz w:val="20"/>
        </w:rPr>
        <w:t>equivalent  </w:t>
      </w:r>
      <w:r>
        <w:rPr>
          <w:rFonts w:ascii="Times" w:hAnsi="Times" w:eastAsia="Times" w:cs="Times"/>
          <w:color w:val="000000"/>
          <w:sz w:val="20"/>
        </w:rPr>
        <w:t>to</w:t>
      </w:r>
      <w:proofErr w:type="gramEnd"/>
      <w:r>
        <w:rPr>
          <w:rFonts w:ascii="Times" w:hAnsi="Times" w:eastAsia="Times" w:cs="Times"/>
          <w:color w:val="000000"/>
          <w:sz w:val="20"/>
        </w:rPr>
        <w:t xml:space="preserve"> a taxable dividend. Revenue Act of 1926, § 201 (g), 44 Stat. 11.</w:t>
      </w:r>
    </w:p>
    <w:p w:rsidR="0079580A" w:rsidRDefault="00D06D41" w14:paraId="449D98FA" w14:textId="4A96A4ED">
      <w:pPr>
        <w:widowControl w:val="0"/>
        <w:spacing w:before="200" w:line="260" w:lineRule="atLeast"/>
        <w:jc w:val="both"/>
      </w:pPr>
      <w:bookmarkStart w:name="Bookmark_para_17" w:id="35"/>
      <w:bookmarkStart w:name="Bookmark_I4GBFB2H0K1MNJ2360000400" w:id="36"/>
      <w:bookmarkEnd w:id="35"/>
      <w:bookmarkEnd w:id="36"/>
      <w:r>
        <w:rPr>
          <w:rFonts w:ascii="Times" w:hAnsi="Times" w:eastAsia="Times" w:cs="Times"/>
          <w:color w:val="000000"/>
          <w:sz w:val="20"/>
        </w:rPr>
        <w:t>This provision of the 1926 Act was carried forward in each subsequent revenue act and finally became § 115 (g)(1) of the Interna</w:t>
      </w:r>
      <w:r>
        <w:rPr>
          <w:rFonts w:ascii="Times" w:hAnsi="Times" w:eastAsia="Times" w:cs="Times"/>
          <w:color w:val="000000"/>
          <w:sz w:val="20"/>
        </w:rPr>
        <w:t xml:space="preserve">l Revenue Code of 1939.  Unfortunately, however, the policies encompassed within the general language of § 115 (g)(1) and its predecessors were not clear, and there resulted </w:t>
      </w:r>
      <w:r>
        <w:rPr>
          <w:rFonts w:ascii="Times" w:hAnsi="Times" w:eastAsia="Times" w:cs="Times"/>
          <w:color w:val="000000"/>
          <w:sz w:val="20"/>
        </w:rPr>
        <w:t>much confusion in the tax law. At first, courts assumed that the provision was aim</w:t>
      </w:r>
      <w:r>
        <w:rPr>
          <w:rFonts w:ascii="Times" w:hAnsi="Times" w:eastAsia="Times" w:cs="Times"/>
          <w:color w:val="000000"/>
          <w:sz w:val="20"/>
        </w:rPr>
        <w:t>ed at tax avoidance schemes and sought only to determine whether such a scheme existed</w:t>
      </w:r>
      <w:bookmarkStart w:name="Bookmark_I4GBFB2H0K1MNJ23M0000400" w:id="37"/>
      <w:bookmarkEnd w:id="37"/>
      <w:r w:rsidR="00B76596">
        <w:rPr>
          <w:rFonts w:ascii="Times" w:hAnsi="Times" w:eastAsia="Times" w:cs="Times"/>
          <w:color w:val="000000"/>
          <w:sz w:val="20"/>
        </w:rPr>
        <w:t xml:space="preserve">. </w:t>
      </w:r>
      <w:r>
        <w:rPr>
          <w:rFonts w:ascii="Times" w:hAnsi="Times" w:eastAsia="Times" w:cs="Times"/>
          <w:color w:val="000000"/>
          <w:sz w:val="20"/>
        </w:rPr>
        <w:t>Although later the emphasis changed and the focus was more on the effect of the distribution</w:t>
      </w:r>
      <w:r>
        <w:rPr>
          <w:rFonts w:ascii="Times" w:hAnsi="Times" w:eastAsia="Times" w:cs="Times"/>
          <w:color w:val="000000"/>
          <w:sz w:val="20"/>
        </w:rPr>
        <w:t>, many </w:t>
      </w:r>
      <w:r>
        <w:rPr>
          <w:rFonts w:ascii="Times" w:hAnsi="Times" w:eastAsia="Times" w:cs="Times"/>
          <w:color w:val="000000"/>
          <w:sz w:val="20"/>
        </w:rPr>
        <w:t xml:space="preserve">courts continued to find that distributions otherwise like a dividend were not "essentially equivalent" if, for example, they were motivated by a sufficiently strong nontax business purpose. </w:t>
      </w:r>
      <w:r>
        <w:rPr>
          <w:rFonts w:ascii="Times" w:hAnsi="Times" w:eastAsia="Times" w:cs="Times"/>
          <w:color w:val="000000"/>
          <w:sz w:val="20"/>
        </w:rPr>
        <w:t xml:space="preserve">There was general </w:t>
      </w:r>
      <w:r>
        <w:rPr>
          <w:rFonts w:ascii="Times" w:hAnsi="Times" w:eastAsia="Times" w:cs="Times"/>
          <w:color w:val="000000"/>
          <w:sz w:val="20"/>
        </w:rPr>
        <w:t xml:space="preserve">disagreement, however, about what would qualify as such a purpose, and the result was a case-by-case determination with each case decided "on the basis of the particular facts of the transaction in question."  </w:t>
      </w:r>
      <w:bookmarkStart w:name="Bookmark_I4GBFB2H0K1MNJ2370000400" w:id="38"/>
      <w:bookmarkEnd w:id="38"/>
    </w:p>
    <w:p w:rsidR="0079580A" w:rsidRDefault="00D06D41" w14:paraId="449D98FB" w14:textId="444080EF">
      <w:pPr>
        <w:widowControl w:val="0"/>
        <w:spacing w:before="200" w:line="260" w:lineRule="atLeast"/>
        <w:jc w:val="both"/>
      </w:pPr>
      <w:bookmarkStart w:name="Bookmark_para_18" w:id="39"/>
      <w:bookmarkStart w:name="Bookmark_I4GBFB2H0K1MNJ23P0000400" w:id="40"/>
      <w:bookmarkEnd w:id="39"/>
      <w:bookmarkEnd w:id="40"/>
      <w:r>
        <w:rPr>
          <w:rFonts w:ascii="Times" w:hAnsi="Times" w:eastAsia="Times" w:cs="Times"/>
          <w:color w:val="000000"/>
          <w:sz w:val="20"/>
        </w:rPr>
        <w:t xml:space="preserve">By the time of the general revision resulting in the Internal Revenue Code of 1954, the draftsmen were faced with what has aptly been described as "the morass created by the decisions."  </w:t>
      </w:r>
      <w:bookmarkStart w:name="Bookmark_I4GBFB2H0K1MNJ23N0000400" w:id="41"/>
      <w:bookmarkEnd w:id="41"/>
      <w:proofErr w:type="gramStart"/>
      <w:r>
        <w:rPr>
          <w:rFonts w:ascii="Times" w:hAnsi="Times" w:eastAsia="Times" w:cs="Times"/>
          <w:color w:val="000000"/>
          <w:sz w:val="20"/>
        </w:rPr>
        <w:t>In an effort to</w:t>
      </w:r>
      <w:proofErr w:type="gramEnd"/>
      <w:r>
        <w:rPr>
          <w:rFonts w:ascii="Times" w:hAnsi="Times" w:eastAsia="Times" w:cs="Times"/>
          <w:color w:val="000000"/>
          <w:sz w:val="20"/>
        </w:rPr>
        <w:t xml:space="preserve"> eliminate "the considerable confusion which exists in this area" and thereby to facilitate tax planning, </w:t>
      </w:r>
      <w:r>
        <w:rPr>
          <w:rFonts w:ascii="Times" w:hAnsi="Times" w:eastAsia="Times" w:cs="Times"/>
          <w:color w:val="000000"/>
          <w:sz w:val="20"/>
        </w:rPr>
        <w:t>the authors of the new Code sought to provide objective tests t</w:t>
      </w:r>
      <w:r>
        <w:rPr>
          <w:rFonts w:ascii="Times" w:hAnsi="Times" w:eastAsia="Times" w:cs="Times"/>
          <w:color w:val="000000"/>
          <w:sz w:val="20"/>
        </w:rPr>
        <w:t>o govern the tax consequences of stock redemptions. Thus, the tax bill passed by the House of Representatives</w:t>
      </w:r>
      <w:r w:rsidR="008E1D1B">
        <w:rPr>
          <w:rFonts w:ascii="Times" w:hAnsi="Times" w:eastAsia="Times" w:cs="Times"/>
          <w:color w:val="000000"/>
          <w:sz w:val="20"/>
        </w:rPr>
        <w:t xml:space="preserve"> </w:t>
      </w:r>
      <w:r>
        <w:rPr>
          <w:rFonts w:ascii="Times" w:hAnsi="Times" w:eastAsia="Times" w:cs="Times"/>
          <w:color w:val="000000"/>
          <w:sz w:val="20"/>
        </w:rPr>
        <w:t>contained no "essentially </w:t>
      </w:r>
      <w:r>
        <w:rPr>
          <w:rFonts w:ascii="Times" w:hAnsi="Times" w:eastAsia="Times" w:cs="Times"/>
          <w:color w:val="000000"/>
          <w:sz w:val="20"/>
        </w:rPr>
        <w:t xml:space="preserve">equivalent" language.  Rather, it provided for "safe harbors" where capital gains treatment would be </w:t>
      </w:r>
      <w:r>
        <w:rPr>
          <w:rFonts w:ascii="Times" w:hAnsi="Times" w:eastAsia="Times" w:cs="Times"/>
          <w:color w:val="000000"/>
          <w:sz w:val="20"/>
        </w:rPr>
        <w:t>accorded to corporate redemptions that met the conditions now found in §§ 302 (b)(2) and (3) of the Code.</w:t>
      </w:r>
    </w:p>
    <w:p w:rsidR="0079580A" w:rsidRDefault="00D06D41" w14:paraId="449D98FC" w14:textId="5D8A9E8A">
      <w:pPr>
        <w:widowControl w:val="0"/>
        <w:spacing w:before="200" w:line="260" w:lineRule="atLeast"/>
        <w:jc w:val="both"/>
      </w:pPr>
      <w:bookmarkStart w:name="Bookmark_para_19" w:id="42"/>
      <w:bookmarkStart w:name="Bookmark_I4GBFB2H0K1MNJ23S0000400" w:id="43"/>
      <w:bookmarkEnd w:id="42"/>
      <w:bookmarkEnd w:id="43"/>
      <w:r>
        <w:rPr>
          <w:rFonts w:ascii="Times" w:hAnsi="Times" w:eastAsia="Times" w:cs="Times"/>
          <w:color w:val="000000"/>
          <w:sz w:val="20"/>
        </w:rPr>
        <w:t>It was in the Senate Finance Committee's consideration of the tax bill that § 302 (b)(1) was added, and Congress thereby provided that capital gains t</w:t>
      </w:r>
      <w:r>
        <w:rPr>
          <w:rFonts w:ascii="Times" w:hAnsi="Times" w:eastAsia="Times" w:cs="Times"/>
          <w:color w:val="000000"/>
          <w:sz w:val="20"/>
        </w:rPr>
        <w:t>reatment should be available "if the redemption is not essentially equivalent to a dividend." Taxpayer argues that the purpose was to continue "existing law," and there is support in the legislative history that § 302 (b)(1) reverted "in part" or "in gener</w:t>
      </w:r>
      <w:r>
        <w:rPr>
          <w:rFonts w:ascii="Times" w:hAnsi="Times" w:eastAsia="Times" w:cs="Times"/>
          <w:color w:val="000000"/>
          <w:sz w:val="20"/>
        </w:rPr>
        <w:t xml:space="preserve">al" to the "essentially equivalent" provision of § 115 (g)(1) of the 1939 Code.  According to the Government, even under the old law it would have been improper for the Court of Appeals to rely on "a business purpose for the redemption" and "an absence of </w:t>
      </w:r>
      <w:r>
        <w:rPr>
          <w:rFonts w:ascii="Times" w:hAnsi="Times" w:eastAsia="Times" w:cs="Times"/>
          <w:color w:val="000000"/>
          <w:sz w:val="20"/>
        </w:rPr>
        <w:t xml:space="preserve">the proscribed tax avoidance purpose to bail out dividends </w:t>
      </w:r>
      <w:r>
        <w:rPr>
          <w:rFonts w:ascii="Times" w:hAnsi="Times" w:eastAsia="Times" w:cs="Times"/>
          <w:color w:val="000000"/>
          <w:sz w:val="20"/>
        </w:rPr>
        <w:t xml:space="preserve">favorable tax rates." </w:t>
      </w:r>
      <w:r>
        <w:rPr>
          <w:rFonts w:ascii="Times" w:hAnsi="Times" w:eastAsia="Times" w:cs="Times"/>
          <w:color w:val="000000"/>
          <w:sz w:val="20"/>
        </w:rPr>
        <w:t>However, we need not decide that question, for we find from the history of the 1954 revisions and the purpose of § 302 (b)(1) that Congress intended more than merely to</w:t>
      </w:r>
      <w:r>
        <w:rPr>
          <w:rFonts w:ascii="Times" w:hAnsi="Times" w:eastAsia="Times" w:cs="Times"/>
          <w:color w:val="000000"/>
          <w:sz w:val="20"/>
        </w:rPr>
        <w:t xml:space="preserve"> re-enact the prior law.</w:t>
      </w:r>
    </w:p>
    <w:p w:rsidR="0079580A" w:rsidRDefault="00D06D41" w14:paraId="449D98FD" w14:textId="6956B374">
      <w:pPr>
        <w:widowControl w:val="0"/>
        <w:spacing w:before="200" w:line="260" w:lineRule="atLeast"/>
        <w:jc w:val="both"/>
      </w:pPr>
      <w:bookmarkStart w:name="Bookmark_para_20" w:id="44"/>
      <w:bookmarkEnd w:id="44"/>
      <w:r>
        <w:rPr>
          <w:rFonts w:ascii="Times" w:hAnsi="Times" w:eastAsia="Times" w:cs="Times"/>
          <w:color w:val="000000"/>
          <w:sz w:val="20"/>
        </w:rPr>
        <w:t>In explaining the reason for adding the "essentially equivalent" test, the Senate Committee stated that the House provisions "appeared unnecessarily restrictive, particularly, in the case of redemptions of preferred stock which mig</w:t>
      </w:r>
      <w:r>
        <w:rPr>
          <w:rFonts w:ascii="Times" w:hAnsi="Times" w:eastAsia="Times" w:cs="Times"/>
          <w:color w:val="000000"/>
          <w:sz w:val="20"/>
        </w:rPr>
        <w:t xml:space="preserve">ht be called by the corporation without the shareholder having any control over when the redemption may take place." </w:t>
      </w:r>
      <w:r>
        <w:rPr>
          <w:rFonts w:ascii="Times" w:hAnsi="Times" w:eastAsia="Times" w:cs="Times"/>
          <w:color w:val="000000"/>
          <w:sz w:val="20"/>
        </w:rPr>
        <w:t xml:space="preserve">This explanation gives no indication that the purpose behind the redemption should affect </w:t>
      </w:r>
      <w:proofErr w:type="gramStart"/>
      <w:r>
        <w:rPr>
          <w:rFonts w:ascii="Times" w:hAnsi="Times" w:eastAsia="Times" w:cs="Times"/>
          <w:color w:val="000000"/>
          <w:sz w:val="20"/>
        </w:rPr>
        <w:t>the  </w:t>
      </w:r>
      <w:r>
        <w:rPr>
          <w:rFonts w:ascii="Times" w:hAnsi="Times" w:eastAsia="Times" w:cs="Times"/>
          <w:color w:val="000000"/>
          <w:sz w:val="20"/>
        </w:rPr>
        <w:t>result</w:t>
      </w:r>
      <w:proofErr w:type="gramEnd"/>
      <w:r>
        <w:rPr>
          <w:rFonts w:ascii="Times" w:hAnsi="Times" w:eastAsia="Times" w:cs="Times"/>
          <w:color w:val="000000"/>
          <w:sz w:val="20"/>
        </w:rPr>
        <w:t xml:space="preserve">. </w:t>
      </w:r>
      <w:r>
        <w:rPr>
          <w:rFonts w:ascii="Times" w:hAnsi="Times" w:eastAsia="Times" w:cs="Times"/>
          <w:color w:val="000000"/>
          <w:sz w:val="20"/>
        </w:rPr>
        <w:t xml:space="preserve">Rather, in its more detailed technical evaluation of § 302 (b)(1), the Senate </w:t>
      </w:r>
      <w:r>
        <w:rPr>
          <w:rFonts w:ascii="Times" w:hAnsi="Times" w:eastAsia="Times" w:cs="Times"/>
          <w:color w:val="000000"/>
          <w:sz w:val="20"/>
        </w:rPr>
        <w:lastRenderedPageBreak/>
        <w:t>Committee reported as follows:</w:t>
      </w:r>
    </w:p>
    <w:p w:rsidR="0079580A" w:rsidRDefault="00D06D41" w14:paraId="449D98FE" w14:textId="781BD255">
      <w:pPr>
        <w:widowControl w:val="0"/>
        <w:spacing w:before="200" w:line="260" w:lineRule="atLeast"/>
        <w:jc w:val="both"/>
      </w:pPr>
      <w:bookmarkStart w:name="Bookmark_para_21" w:id="45"/>
      <w:bookmarkEnd w:id="45"/>
      <w:r>
        <w:rPr>
          <w:rFonts w:ascii="Times" w:hAnsi="Times" w:eastAsia="Times" w:cs="Times"/>
          <w:color w:val="000000"/>
          <w:sz w:val="20"/>
        </w:rPr>
        <w:t>"The test intended to be incorporated in the interpretation of paragraph (1) is in general that currently employed under sectio</w:t>
      </w:r>
      <w:r>
        <w:rPr>
          <w:rFonts w:ascii="Times" w:hAnsi="Times" w:eastAsia="Times" w:cs="Times"/>
          <w:color w:val="000000"/>
          <w:sz w:val="20"/>
        </w:rPr>
        <w:t xml:space="preserve">n 115 (g)(1) of the 1939 Code.  Your committee further intends that in applying this test for the future . . . the inquiry will be devoted solely to the question of </w:t>
      </w:r>
      <w:proofErr w:type="gramStart"/>
      <w:r>
        <w:rPr>
          <w:rFonts w:ascii="Times" w:hAnsi="Times" w:eastAsia="Times" w:cs="Times"/>
          <w:color w:val="000000"/>
          <w:sz w:val="20"/>
        </w:rPr>
        <w:t>whether or not</w:t>
      </w:r>
      <w:proofErr w:type="gramEnd"/>
      <w:r>
        <w:rPr>
          <w:rFonts w:ascii="Times" w:hAnsi="Times" w:eastAsia="Times" w:cs="Times"/>
          <w:color w:val="000000"/>
          <w:sz w:val="20"/>
        </w:rPr>
        <w:t xml:space="preserve"> the transaction by its nature may properly be characterized as a sale of sto</w:t>
      </w:r>
      <w:r>
        <w:rPr>
          <w:rFonts w:ascii="Times" w:hAnsi="Times" w:eastAsia="Times" w:cs="Times"/>
          <w:color w:val="000000"/>
          <w:sz w:val="20"/>
        </w:rPr>
        <w:t>ck </w:t>
      </w:r>
      <w:r>
        <w:rPr>
          <w:rFonts w:ascii="Times" w:hAnsi="Times" w:eastAsia="Times" w:cs="Times"/>
          <w:color w:val="000000"/>
          <w:sz w:val="20"/>
        </w:rPr>
        <w:t xml:space="preserve">by the redeeming shareholder to the corporation.  For this purpose the presence or absence of earnings and profits of the corporation is not material.  Example: X, the sole shareholder of a corporation having no earnings or profits causes the </w:t>
      </w:r>
      <w:r>
        <w:rPr>
          <w:rFonts w:ascii="Times" w:hAnsi="Times" w:eastAsia="Times" w:cs="Times"/>
          <w:color w:val="000000"/>
          <w:sz w:val="20"/>
        </w:rPr>
        <w:t xml:space="preserve">corporation to redeem half of its stock. Paragraph (1) does not apply to such redemption notwithstanding the absence of earnings and profits." </w:t>
      </w:r>
    </w:p>
    <w:p w:rsidR="0079580A" w:rsidRDefault="00D06D41" w14:paraId="449D98FF" w14:textId="51A8AD82">
      <w:pPr>
        <w:widowControl w:val="0"/>
        <w:spacing w:before="200" w:line="260" w:lineRule="atLeast"/>
        <w:jc w:val="both"/>
      </w:pPr>
      <w:bookmarkStart w:name="Bookmark_para_22" w:id="46"/>
      <w:bookmarkEnd w:id="46"/>
      <w:r>
        <w:rPr>
          <w:rFonts w:ascii="Times" w:hAnsi="Times" w:eastAsia="Times" w:cs="Times"/>
          <w:color w:val="000000"/>
          <w:sz w:val="20"/>
        </w:rPr>
        <w:t>The intended scope of § 302 (b)(1) as revealed by this legislative history is c</w:t>
      </w:r>
      <w:r>
        <w:rPr>
          <w:rFonts w:ascii="Times" w:hAnsi="Times" w:eastAsia="Times" w:cs="Times"/>
          <w:color w:val="000000"/>
          <w:sz w:val="20"/>
        </w:rPr>
        <w:t>ertainly not free from doubt.  However, we agree with the Government that by making the sole inquiry relevant for the future the narrow one whether the redemption could be characterized as a sale, Congress was apparently rejecting past court decisions that</w:t>
      </w:r>
      <w:r>
        <w:rPr>
          <w:rFonts w:ascii="Times" w:hAnsi="Times" w:eastAsia="Times" w:cs="Times"/>
          <w:color w:val="000000"/>
          <w:sz w:val="20"/>
        </w:rPr>
        <w:t xml:space="preserve"> had also </w:t>
      </w:r>
      <w:r>
        <w:rPr>
          <w:rFonts w:ascii="Times" w:hAnsi="Times" w:eastAsia="Times" w:cs="Times"/>
          <w:color w:val="000000"/>
          <w:sz w:val="20"/>
        </w:rPr>
        <w:t xml:space="preserve">considered factors indicating the presence or absence of a tax-avoidance motive. </w:t>
      </w:r>
      <w:r>
        <w:rPr>
          <w:rFonts w:ascii="Times" w:hAnsi="Times" w:eastAsia="Times" w:cs="Times"/>
          <w:color w:val="000000"/>
          <w:sz w:val="20"/>
        </w:rPr>
        <w:t>At least that is</w:t>
      </w:r>
      <w:r>
        <w:rPr>
          <w:rFonts w:ascii="Times" w:hAnsi="Times" w:eastAsia="Times" w:cs="Times"/>
          <w:color w:val="000000"/>
          <w:sz w:val="20"/>
        </w:rPr>
        <w:t> </w:t>
      </w:r>
      <w:r>
        <w:rPr>
          <w:rFonts w:ascii="Times" w:hAnsi="Times" w:eastAsia="Times" w:cs="Times"/>
          <w:color w:val="000000"/>
          <w:sz w:val="20"/>
        </w:rPr>
        <w:t xml:space="preserve">the implication of the example given.  </w:t>
      </w:r>
      <w:bookmarkStart w:name="Bookmark_LNHNREFclscc7" w:id="47"/>
      <w:bookmarkEnd w:id="47"/>
      <w:r>
        <w:rPr>
          <w:rFonts w:ascii="Times" w:hAnsi="Times" w:eastAsia="Times" w:cs="Times"/>
          <w:color w:val="000000"/>
          <w:sz w:val="20"/>
        </w:rPr>
        <w:t>Congress clearly mandated that pro rata distributions be treated under the general rul</w:t>
      </w:r>
      <w:r>
        <w:rPr>
          <w:rFonts w:ascii="Times" w:hAnsi="Times" w:eastAsia="Times" w:cs="Times"/>
          <w:color w:val="000000"/>
          <w:sz w:val="20"/>
        </w:rPr>
        <w:t>es laid down in §§ 301 and 316 rather than under § 302, and nothing suggests that there should be a different result if there were a "business purpose" for the redemption.  </w:t>
      </w:r>
      <w:r>
        <w:rPr>
          <w:rFonts w:ascii="Times" w:hAnsi="Times" w:eastAsia="Times" w:cs="Times"/>
          <w:color w:val="000000"/>
          <w:sz w:val="20"/>
        </w:rPr>
        <w:t xml:space="preserve"> Indeed, just the opposite inference must be drawn since there would not l</w:t>
      </w:r>
      <w:r>
        <w:rPr>
          <w:rFonts w:ascii="Times" w:hAnsi="Times" w:eastAsia="Times" w:cs="Times"/>
          <w:color w:val="000000"/>
          <w:sz w:val="20"/>
        </w:rPr>
        <w:t xml:space="preserve">ikely be a tax-avoidance purpose in a situation where </w:t>
      </w:r>
      <w:proofErr w:type="gramStart"/>
      <w:r>
        <w:rPr>
          <w:rFonts w:ascii="Times" w:hAnsi="Times" w:eastAsia="Times" w:cs="Times"/>
          <w:color w:val="000000"/>
          <w:sz w:val="20"/>
        </w:rPr>
        <w:t>there  </w:t>
      </w:r>
      <w:r>
        <w:rPr>
          <w:rFonts w:ascii="Times" w:hAnsi="Times" w:eastAsia="Times" w:cs="Times"/>
          <w:color w:val="000000"/>
          <w:sz w:val="20"/>
        </w:rPr>
        <w:t>were</w:t>
      </w:r>
      <w:proofErr w:type="gramEnd"/>
      <w:r>
        <w:rPr>
          <w:rFonts w:ascii="Times" w:hAnsi="Times" w:eastAsia="Times" w:cs="Times"/>
          <w:color w:val="000000"/>
          <w:sz w:val="20"/>
        </w:rPr>
        <w:t xml:space="preserve"> no earnings or profits. </w:t>
      </w:r>
      <w:bookmarkStart w:name="Bookmark_I4GBFB2H0K1MNJ25W0000400" w:id="48"/>
      <w:bookmarkEnd w:id="48"/>
      <w:r>
        <w:rPr>
          <w:rFonts w:ascii="Times" w:hAnsi="Times" w:eastAsia="Times" w:cs="Times"/>
          <w:color w:val="000000"/>
          <w:sz w:val="20"/>
        </w:rPr>
        <w:t xml:space="preserve"> We conclude that the Court of Appeals was therefore wrong in looking for a business purpose and considering it in deciding whether the redemption was equiv</w:t>
      </w:r>
      <w:r>
        <w:rPr>
          <w:rFonts w:ascii="Times" w:hAnsi="Times" w:eastAsia="Times" w:cs="Times"/>
          <w:color w:val="000000"/>
          <w:sz w:val="20"/>
        </w:rPr>
        <w:t xml:space="preserve">alent to a dividend. Rather, we agree with the Court of Appeals for the Second Circuit that </w:t>
      </w:r>
      <w:bookmarkStart w:name="Bookmark_LNHNREFclscc8" w:id="49"/>
      <w:bookmarkEnd w:id="49"/>
      <w:r>
        <w:rPr>
          <w:rFonts w:ascii="Times" w:hAnsi="Times" w:eastAsia="Times" w:cs="Times"/>
          <w:color w:val="000000"/>
          <w:sz w:val="20"/>
        </w:rPr>
        <w:t xml:space="preserve">"the business purpose of a transaction is irrelevant in determining dividend equivalence" under § 302 (b)(1).   </w:t>
      </w:r>
      <w:bookmarkStart w:name="Bookmark_I4GBFB2H0K1MNJ24P0000400" w:id="50"/>
      <w:bookmarkEnd w:id="50"/>
    </w:p>
    <w:p w:rsidR="0079580A" w:rsidRDefault="00D06D41" w14:paraId="449D9900" w14:textId="37ECB48D">
      <w:pPr>
        <w:widowControl w:val="0"/>
        <w:spacing w:before="200" w:line="260" w:lineRule="atLeast"/>
        <w:jc w:val="both"/>
      </w:pPr>
      <w:bookmarkStart w:name="Bookmark_para_23" w:id="51"/>
      <w:bookmarkEnd w:id="51"/>
      <w:r>
        <w:rPr>
          <w:rFonts w:ascii="Times" w:hAnsi="Times" w:eastAsia="Times" w:cs="Times"/>
          <w:color w:val="000000"/>
          <w:sz w:val="20"/>
        </w:rPr>
        <w:t xml:space="preserve"> </w:t>
      </w:r>
      <w:bookmarkStart w:name="Bookmark_LEDHN5_1" w:id="52"/>
      <w:bookmarkEnd w:id="52"/>
      <w:r>
        <w:rPr>
          <w:rFonts w:ascii="Times" w:hAnsi="Times" w:eastAsia="Times" w:cs="Times"/>
          <w:color w:val="000000"/>
          <w:sz w:val="20"/>
        </w:rPr>
        <w:t>[5</w:t>
      </w:r>
      <w:proofErr w:type="gramStart"/>
      <w:r>
        <w:rPr>
          <w:rFonts w:ascii="Times" w:hAnsi="Times" w:eastAsia="Times" w:cs="Times"/>
          <w:color w:val="000000"/>
          <w:sz w:val="20"/>
        </w:rPr>
        <w:t>] </w:t>
      </w:r>
      <w:r>
        <w:rPr>
          <w:rFonts w:ascii="Times" w:hAnsi="Times" w:eastAsia="Times" w:cs="Times"/>
          <w:color w:val="000000"/>
          <w:sz w:val="20"/>
        </w:rPr>
        <w:t xml:space="preserve"> Taxpayer</w:t>
      </w:r>
      <w:proofErr w:type="gramEnd"/>
      <w:r>
        <w:rPr>
          <w:rFonts w:ascii="Times" w:hAnsi="Times" w:eastAsia="Times" w:cs="Times"/>
          <w:color w:val="000000"/>
          <w:sz w:val="20"/>
        </w:rPr>
        <w:t xml:space="preserve"> strongly argues that to treat the redemption involved here as essentially equivalent to a dividend is to elevate form over substance.  Thus, taxpayer argues, had he not bought Bradley's shares or had he made a subordinat</w:t>
      </w:r>
      <w:r>
        <w:rPr>
          <w:rFonts w:ascii="Times" w:hAnsi="Times" w:eastAsia="Times" w:cs="Times"/>
          <w:color w:val="000000"/>
          <w:sz w:val="20"/>
        </w:rPr>
        <w:t>ed loan to the company instead of buying preferred stock, he could have gotten back his $ 25,000 with favorable tax treatment. However, the difference between form and substance in the tax law  [*313]  is largely problematical, and taxpayer's complaints ha</w:t>
      </w:r>
      <w:r>
        <w:rPr>
          <w:rFonts w:ascii="Times" w:hAnsi="Times" w:eastAsia="Times" w:cs="Times"/>
          <w:color w:val="000000"/>
          <w:sz w:val="20"/>
        </w:rPr>
        <w:t>ve little to do with whether a business purpose is relevant under § 302 (b)(1).  It was clearly proper for Congress to treat distributions generally as taxable dividends when made out of earnings and profits and then to prevent avoidance of that result wit</w:t>
      </w:r>
      <w:r>
        <w:rPr>
          <w:rFonts w:ascii="Times" w:hAnsi="Times" w:eastAsia="Times" w:cs="Times"/>
          <w:color w:val="000000"/>
          <w:sz w:val="20"/>
        </w:rPr>
        <w:t xml:space="preserve">hout regard to motivation where the distribution is in exchange for redeemed stock. </w:t>
      </w:r>
    </w:p>
    <w:p w:rsidR="0079580A" w:rsidRDefault="00D06D41" w14:paraId="449D9901" w14:textId="265FD294" w14:noSpellErr="1">
      <w:pPr>
        <w:widowControl w:val="0"/>
        <w:spacing w:before="200" w:line="260" w:lineRule="atLeast"/>
        <w:jc w:val="both"/>
      </w:pPr>
      <w:bookmarkStart w:name="Bookmark_para_24" w:id="53"/>
      <w:bookmarkEnd w:id="53"/>
      <w:r w:rsidRPr="75ED7CC8" w:rsidR="00D06D41">
        <w:rPr>
          <w:rFonts w:ascii="Times" w:hAnsi="Times" w:eastAsia="Times" w:cs="Times"/>
          <w:color w:val="000000" w:themeColor="text1" w:themeTint="FF" w:themeShade="FF"/>
          <w:sz w:val="20"/>
          <w:szCs w:val="20"/>
        </w:rPr>
        <w:t xml:space="preserve"> </w:t>
      </w:r>
      <w:r w:rsidRPr="75ED7CC8" w:rsidR="00D06D41">
        <w:rPr>
          <w:rFonts w:ascii="Times" w:hAnsi="Times" w:eastAsia="Times" w:cs="Times"/>
          <w:color w:val="000000" w:themeColor="text1" w:themeTint="FF" w:themeShade="FF"/>
          <w:sz w:val="20"/>
          <w:szCs w:val="20"/>
        </w:rPr>
        <w:t xml:space="preserve">[6]We conclude that that is what Congress did when enacting § 302 (b)(1).  </w:t>
      </w:r>
      <w:r w:rsidRPr="75ED7CC8" w:rsidR="00D06D41">
        <w:rPr>
          <w:rFonts w:ascii="Times" w:hAnsi="Times" w:eastAsia="Times" w:cs="Times"/>
          <w:color w:val="000000" w:themeColor="text1" w:themeTint="FF" w:themeShade="FF"/>
          <w:sz w:val="20"/>
          <w:szCs w:val="20"/>
        </w:rPr>
        <w:t>If a corporation distributes property as a simple dividend, the effect is to transfer the prope</w:t>
      </w:r>
      <w:r w:rsidRPr="75ED7CC8" w:rsidR="00D06D41">
        <w:rPr>
          <w:rFonts w:ascii="Times" w:hAnsi="Times" w:eastAsia="Times" w:cs="Times"/>
          <w:color w:val="000000" w:themeColor="text1" w:themeTint="FF" w:themeShade="FF"/>
          <w:sz w:val="20"/>
          <w:szCs w:val="20"/>
        </w:rPr>
        <w:t>rty from the company to its shareholders </w:t>
      </w:r>
      <w:r w:rsidRPr="75ED7CC8" w:rsidR="00D06D41">
        <w:rPr>
          <w:rFonts w:ascii="Times" w:hAnsi="Times" w:eastAsia="Times" w:cs="Times"/>
          <w:color w:val="000000" w:themeColor="text1" w:themeTint="FF" w:themeShade="FF"/>
          <w:sz w:val="20"/>
          <w:szCs w:val="20"/>
        </w:rPr>
        <w:t>without a change in the relative economic interests or rights of the stockholders. Where a redemption has that same effect, it cannot be said to have satisfied the "not essentially equivalent to a dividend</w:t>
      </w:r>
      <w:r w:rsidRPr="75ED7CC8" w:rsidR="00D06D41">
        <w:rPr>
          <w:rFonts w:ascii="Times" w:hAnsi="Times" w:eastAsia="Times" w:cs="Times"/>
          <w:color w:val="000000" w:themeColor="text1" w:themeTint="FF" w:themeShade="FF"/>
          <w:sz w:val="20"/>
          <w:szCs w:val="20"/>
        </w:rPr>
        <w:t>" requirement of § 302 (b)(1).  Rather, to qualify for preferred treatment under that section, a redemption must result in a meaningful reduction of the shareholder's proportionate interest in the corporation.  Clearly, taxpayer here, who (after applicatio</w:t>
      </w:r>
      <w:r w:rsidRPr="75ED7CC8" w:rsidR="00D06D41">
        <w:rPr>
          <w:rFonts w:ascii="Times" w:hAnsi="Times" w:eastAsia="Times" w:cs="Times"/>
          <w:color w:val="000000" w:themeColor="text1" w:themeTint="FF" w:themeShade="FF"/>
          <w:sz w:val="20"/>
          <w:szCs w:val="20"/>
        </w:rPr>
        <w:t xml:space="preserve">n of the attribution rules) was the sole shareholder of the corporation both before and after the redemption, did not qualify under this test.  The decision of the Court of Appeals must therefore be reversed and the case remanded to the District Court for </w:t>
      </w:r>
      <w:r w:rsidRPr="75ED7CC8" w:rsidR="00D06D41">
        <w:rPr>
          <w:rFonts w:ascii="Times" w:hAnsi="Times" w:eastAsia="Times" w:cs="Times"/>
          <w:color w:val="000000" w:themeColor="text1" w:themeTint="FF" w:themeShade="FF"/>
          <w:sz w:val="20"/>
          <w:szCs w:val="20"/>
        </w:rPr>
        <w:t>dismissal of the complaint.</w:t>
      </w:r>
    </w:p>
    <w:p w:rsidR="0079580A" w:rsidRDefault="00D06D41" w14:paraId="449D9902" w14:textId="77777777">
      <w:pPr>
        <w:widowControl w:val="0"/>
        <w:spacing w:before="200" w:line="260" w:lineRule="atLeast"/>
        <w:jc w:val="both"/>
      </w:pPr>
      <w:bookmarkStart w:name="Bookmark_para_25" w:id="56"/>
      <w:bookmarkEnd w:id="56"/>
      <w:r>
        <w:rPr>
          <w:rFonts w:ascii="Times" w:hAnsi="Times" w:eastAsia="Times" w:cs="Times"/>
          <w:i/>
          <w:color w:val="000000"/>
          <w:sz w:val="20"/>
        </w:rPr>
        <w:t>It is so ordered</w:t>
      </w:r>
      <w:r>
        <w:rPr>
          <w:rFonts w:ascii="Times" w:hAnsi="Times" w:eastAsia="Times" w:cs="Times"/>
          <w:color w:val="000000"/>
          <w:sz w:val="20"/>
        </w:rPr>
        <w:t xml:space="preserve">.  </w:t>
      </w:r>
    </w:p>
    <w:p w:rsidR="0079580A" w:rsidP="00E9789A" w:rsidRDefault="00D06D41" w14:paraId="449D9918" w14:textId="18DBD3B9">
      <w:pPr>
        <w:widowControl w:val="0"/>
        <w:spacing w:before="240" w:line="260" w:lineRule="atLeast"/>
      </w:pPr>
      <w:bookmarkStart w:name="Dissent_by" w:id="57"/>
      <w:bookmarkEnd w:id="57"/>
      <w:r>
        <w:br/>
      </w:r>
    </w:p>
    <w:sectPr w:rsidR="0079580A">
      <w:type w:val="continuous"/>
      <w:pgSz w:w="12240" w:h="15840" w:orient="portrait"/>
      <w:pgMar w:top="840" w:right="1000" w:bottom="840" w:left="1000" w:header="400" w:footer="400" w:gutter="0"/>
      <w:cols w:space="240" w:num="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D06D41" w:rsidRDefault="00D06D41" w14:paraId="00621A0F" w14:textId="77777777">
      <w:r>
        <w:separator/>
      </w:r>
    </w:p>
  </w:endnote>
  <w:endnote w:type="continuationSeparator" w:id="0">
    <w:p w:rsidR="00D06D41" w:rsidRDefault="00D06D41" w14:paraId="46C5B52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altName w:val="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79580A" w14:paraId="449D9925" w14:textId="77777777">
      <w:trPr>
        <w:jc w:val="center"/>
      </w:trPr>
      <w:tc>
        <w:tcPr>
          <w:tcW w:w="2600" w:type="dxa"/>
          <w:tcMar>
            <w:top w:w="200" w:type="dxa"/>
          </w:tcMar>
          <w:vAlign w:val="center"/>
        </w:tcPr>
        <w:p w:rsidR="0079580A" w:rsidRDefault="0079580A" w14:paraId="449D9922" w14:textId="77777777"/>
      </w:tc>
      <w:tc>
        <w:tcPr>
          <w:tcW w:w="4880" w:type="dxa"/>
          <w:tcMar>
            <w:top w:w="200" w:type="dxa"/>
          </w:tcMar>
          <w:vAlign w:val="center"/>
        </w:tcPr>
        <w:p w:rsidR="0079580A" w:rsidRDefault="0079580A" w14:paraId="449D9923" w14:textId="77777777">
          <w:pPr>
            <w:jc w:val="center"/>
          </w:pPr>
        </w:p>
      </w:tc>
      <w:tc>
        <w:tcPr>
          <w:tcW w:w="2600" w:type="dxa"/>
          <w:tcMar>
            <w:top w:w="200" w:type="dxa"/>
          </w:tcMar>
          <w:vAlign w:val="center"/>
        </w:tcPr>
        <w:p w:rsidR="0079580A" w:rsidRDefault="00D06D41" w14:paraId="449D9924" w14:textId="56D8577A">
          <w:pPr>
            <w:jc w:val="right"/>
          </w:pPr>
          <w:r>
            <w:rPr>
              <w:rFonts w:ascii="Arial" w:hAnsi="Arial" w:eastAsia="Arial" w:cs="Arial"/>
              <w:sz w:val="20"/>
            </w:rPr>
            <w:t xml:space="preserve">Page </w:t>
          </w:r>
          <w:r>
            <w:rPr>
              <w:rFonts w:ascii="Arial" w:hAnsi="Arial" w:eastAsia="Arial" w:cs="Arial"/>
              <w:sz w:val="20"/>
            </w:rPr>
            <w:fldChar w:fldCharType="begin"/>
          </w:r>
          <w:r>
            <w:rPr>
              <w:rFonts w:ascii="Arial" w:hAnsi="Arial" w:eastAsia="Arial" w:cs="Arial"/>
              <w:sz w:val="20"/>
            </w:rPr>
            <w:instrText xml:space="preserve"> PAGE </w:instrText>
          </w:r>
          <w:r w:rsidR="00071D39">
            <w:rPr>
              <w:rFonts w:ascii="Arial" w:hAnsi="Arial" w:eastAsia="Arial" w:cs="Arial"/>
              <w:sz w:val="20"/>
            </w:rPr>
            <w:fldChar w:fldCharType="separate"/>
          </w:r>
          <w:r w:rsidR="00071D39">
            <w:rPr>
              <w:rFonts w:ascii="Arial" w:hAnsi="Arial" w:eastAsia="Arial" w:cs="Arial"/>
              <w:noProof/>
              <w:sz w:val="20"/>
            </w:rPr>
            <w:t>2</w:t>
          </w:r>
          <w:r>
            <w:rPr>
              <w:rFonts w:ascii="Arial" w:hAnsi="Arial" w:eastAsia="Arial" w:cs="Arial"/>
              <w:sz w:val="20"/>
            </w:rPr>
            <w:fldChar w:fldCharType="end"/>
          </w:r>
          <w:r>
            <w:rPr>
              <w:rFonts w:ascii="Arial" w:hAnsi="Arial" w:eastAsia="Arial" w:cs="Arial"/>
              <w:sz w:val="20"/>
            </w:rPr>
            <w:t xml:space="preserve"> of </w:t>
          </w:r>
          <w:r>
            <w:rPr>
              <w:rFonts w:ascii="Arial" w:hAnsi="Arial" w:eastAsia="Arial" w:cs="Arial"/>
              <w:sz w:val="20"/>
            </w:rPr>
            <w:fldChar w:fldCharType="begin"/>
          </w:r>
          <w:r>
            <w:rPr>
              <w:rFonts w:ascii="Arial" w:hAnsi="Arial" w:eastAsia="Arial" w:cs="Arial"/>
              <w:sz w:val="20"/>
            </w:rPr>
            <w:instrText xml:space="preserve"> NUMPAGES </w:instrText>
          </w:r>
          <w:r w:rsidR="00071D39">
            <w:rPr>
              <w:rFonts w:ascii="Arial" w:hAnsi="Arial" w:eastAsia="Arial" w:cs="Arial"/>
              <w:sz w:val="20"/>
            </w:rPr>
            <w:fldChar w:fldCharType="separate"/>
          </w:r>
          <w:r w:rsidR="00071D39">
            <w:rPr>
              <w:rFonts w:ascii="Arial" w:hAnsi="Arial" w:eastAsia="Arial" w:cs="Arial"/>
              <w:noProof/>
              <w:sz w:val="20"/>
            </w:rPr>
            <w:t>2</w:t>
          </w:r>
          <w:r>
            <w:rPr>
              <w:rFonts w:ascii="Arial" w:hAnsi="Arial" w:eastAsia="Arial" w:cs="Arial"/>
              <w:sz w:val="20"/>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79580A" w:rsidRDefault="0079580A" w14:paraId="449D9926" w14:textId="77777777">
    <w:pPr>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D06D41" w:rsidRDefault="00D06D41" w14:paraId="19BDD84D" w14:textId="77777777">
      <w:r>
        <w:separator/>
      </w:r>
    </w:p>
  </w:footnote>
  <w:footnote w:type="continuationSeparator" w:id="0">
    <w:p w:rsidR="00D06D41" w:rsidRDefault="00D06D41" w14:paraId="15C828B0" w14:textId="77777777">
      <w:r>
        <w:continuationSeparator/>
      </w:r>
    </w:p>
  </w:footnote>
  <w:footnote w:id="1">
    <w:p w:rsidR="0079580A" w:rsidRDefault="00D06D41" w14:paraId="449D992A" w14:textId="0E27FAE0">
      <w:pPr>
        <w:widowControl w:val="0"/>
        <w:spacing w:before="200" w:line="240" w:lineRule="atLeast"/>
        <w:jc w:val="both"/>
      </w:pPr>
      <w:r>
        <w:rPr>
          <w:rFonts w:ascii="Times" w:hAnsi="Times" w:eastAsia="Times" w:cs="Times"/>
          <w:color w:val="000000"/>
          <w:sz w:val="18"/>
          <w:vertAlign w:val="superscript"/>
        </w:rPr>
        <w:t>3 </w:t>
      </w:r>
      <w:bookmarkStart w:name="Bookmark_fnpara_4" w:id="13"/>
      <w:bookmarkEnd w:id="13"/>
      <w:r>
        <w:rPr>
          <w:rFonts w:ascii="Times" w:hAnsi="Times" w:eastAsia="Times" w:cs="Times"/>
          <w:color w:val="000000"/>
          <w:sz w:val="18"/>
        </w:rPr>
        <w:t xml:space="preserve">See, </w:t>
      </w:r>
      <w:r>
        <w:rPr>
          <w:rFonts w:ascii="Times" w:hAnsi="Times" w:eastAsia="Times" w:cs="Times"/>
          <w:i/>
          <w:color w:val="000000"/>
          <w:sz w:val="18"/>
        </w:rPr>
        <w:t>e. g.</w:t>
      </w:r>
      <w:bookmarkStart w:name="Bookmark_I4GBFB2H0K1MNJ2170000400" w:id="14"/>
      <w:bookmarkEnd w:id="14"/>
      <w:r w:rsidR="007517FA">
        <w:rPr>
          <w:rFonts w:ascii="Times" w:hAnsi="Times" w:eastAsia="Times" w:cs="Times"/>
          <w:i/>
          <w:color w:val="000000"/>
          <w:sz w:val="18"/>
        </w:rPr>
        <w:t xml:space="preserve"> </w:t>
      </w:r>
      <w:r>
        <w:rPr>
          <w:rFonts w:ascii="Times" w:hAnsi="Times" w:eastAsia="Times" w:cs="Times"/>
          <w:color w:val="000000"/>
          <w:sz w:val="18"/>
        </w:rPr>
        <w:t>Taxpayer makes no contention that the corporation did not have $ 25,000 in accumulated earnings and profits.</w:t>
      </w:r>
    </w:p>
  </w:footnote>
  <w:footnote w:id="2">
    <w:p w:rsidR="0079580A" w:rsidRDefault="00D06D41" w14:paraId="449D9935" w14:textId="77777777">
      <w:pPr>
        <w:widowControl w:val="0"/>
        <w:spacing w:before="120" w:line="240" w:lineRule="atLeast"/>
        <w:jc w:val="both"/>
      </w:pPr>
      <w:r>
        <w:rPr>
          <w:rFonts w:ascii="Times" w:hAnsi="Times" w:eastAsia="Times" w:cs="Times"/>
          <w:color w:val="000000"/>
          <w:sz w:val="18"/>
          <w:vertAlign w:val="superscript"/>
        </w:rPr>
        <w:t>8 </w:t>
      </w:r>
      <w:bookmarkStart w:name="Bookmark_fnpara_15" w:id="28"/>
      <w:bookmarkEnd w:id="28"/>
      <w:r>
        <w:rPr>
          <w:rFonts w:ascii="Times" w:hAnsi="Times" w:eastAsia="Times" w:cs="Times"/>
          <w:color w:val="000000"/>
          <w:sz w:val="18"/>
        </w:rPr>
        <w:t xml:space="preserve">Of course, this just means that a distribution in redemption to a sole shareholder will be treated under the general provisions of § 301, and it will </w:t>
      </w:r>
      <w:r>
        <w:rPr>
          <w:rFonts w:ascii="Times" w:hAnsi="Times" w:eastAsia="Times" w:cs="Times"/>
          <w:color w:val="000000"/>
          <w:sz w:val="18"/>
        </w:rPr>
        <w:t>only be taxed as a dividend under § 316 to the extent that there are earnings and profits.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79580A" w14:paraId="449D991F" w14:textId="77777777">
      <w:trPr>
        <w:jc w:val="center"/>
      </w:trPr>
      <w:tc>
        <w:tcPr>
          <w:tcW w:w="10080" w:type="dxa"/>
          <w:vAlign w:val="center"/>
        </w:tcPr>
        <w:p w:rsidR="0079580A" w:rsidRDefault="0079580A" w14:paraId="449D991E" w14:textId="77777777"/>
      </w:tc>
    </w:tr>
    <w:tr w:rsidR="0079580A" w14:paraId="449D9921" w14:textId="77777777">
      <w:trPr>
        <w:jc w:val="center"/>
      </w:trPr>
      <w:tc>
        <w:tcPr>
          <w:tcW w:w="10080" w:type="dxa"/>
        </w:tcPr>
        <w:p w:rsidR="0079580A" w:rsidRDefault="00D06D41" w14:paraId="449D9920" w14:textId="77777777">
          <w:pPr>
            <w:spacing w:before="60" w:after="200"/>
            <w:jc w:val="center"/>
          </w:pPr>
          <w:r>
            <w:rPr>
              <w:rFonts w:ascii="Times" w:hAnsi="Times" w:eastAsia="Times" w:cs="Times"/>
              <w:sz w:val="20"/>
            </w:rPr>
            <w:t>United States v. Davis</w:t>
          </w:r>
        </w:p>
      </w:tc>
    </w:tr>
  </w:tbl>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5"/>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071D39"/>
    <w:rsid w:val="000B7733"/>
    <w:rsid w:val="000E3C89"/>
    <w:rsid w:val="002730F9"/>
    <w:rsid w:val="003C16AC"/>
    <w:rsid w:val="00487700"/>
    <w:rsid w:val="00512578"/>
    <w:rsid w:val="005A7CF2"/>
    <w:rsid w:val="00641128"/>
    <w:rsid w:val="0067201D"/>
    <w:rsid w:val="006D6063"/>
    <w:rsid w:val="007517FA"/>
    <w:rsid w:val="0079580A"/>
    <w:rsid w:val="008238F7"/>
    <w:rsid w:val="0088258F"/>
    <w:rsid w:val="008E1D1B"/>
    <w:rsid w:val="00A23B19"/>
    <w:rsid w:val="00A77B3E"/>
    <w:rsid w:val="00B76596"/>
    <w:rsid w:val="00B801D5"/>
    <w:rsid w:val="00BE62F7"/>
    <w:rsid w:val="00C50DB2"/>
    <w:rsid w:val="00CA2A55"/>
    <w:rsid w:val="00D03EBF"/>
    <w:rsid w:val="00D06D41"/>
    <w:rsid w:val="00D6119F"/>
    <w:rsid w:val="00DE0E01"/>
    <w:rsid w:val="00E13D35"/>
    <w:rsid w:val="00E9789A"/>
    <w:rsid w:val="00F5014B"/>
    <w:rsid w:val="00F62675"/>
    <w:rsid w:val="00FA51C8"/>
    <w:rsid w:val="00FB584C"/>
    <w:rsid w:val="75ED7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9D98CB"/>
  <w15:docId w15:val="{75808257-4BFA-3848-AC38-6F16D25FC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&#65279;<?xml version="1.0" encoding="utf-8"?><Relationships xmlns="http://schemas.openxmlformats.org/package/2006/relationships"><Relationship Type="http://schemas.openxmlformats.org/officeDocument/2006/relationships/footer" Target="footer2.xml" Id="rId8" /><Relationship Type="http://schemas.openxmlformats.org/officeDocument/2006/relationships/customXml" Target="../customXml/item3.xml" Id="rId13"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customXml" Target="../customXml/item2.xml" Id="rId12"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customXml" Target="../customXml/item1.xml" Id="rId11" /><Relationship Type="http://schemas.openxmlformats.org/officeDocument/2006/relationships/endnotes" Target="endnotes.xml" Id="rId5" /><Relationship Type="http://schemas.openxmlformats.org/officeDocument/2006/relationships/theme" Target="theme/theme1.xml" Id="rId10" /><Relationship Type="http://schemas.openxmlformats.org/officeDocument/2006/relationships/footnotes" Target="footnote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292F9F294C3F4CAD839B56B38B4D42" ma:contentTypeVersion="9" ma:contentTypeDescription="Create a new document." ma:contentTypeScope="" ma:versionID="7956e4db1216c98a8e36382e830393de">
  <xsd:schema xmlns:xsd="http://www.w3.org/2001/XMLSchema" xmlns:xs="http://www.w3.org/2001/XMLSchema" xmlns:p="http://schemas.microsoft.com/office/2006/metadata/properties" xmlns:ns2="c7474d1f-094f-44b1-a562-73ea0c9f11cc" targetNamespace="http://schemas.microsoft.com/office/2006/metadata/properties" ma:root="true" ma:fieldsID="969614cc26e692d9cebec2f10d88060a" ns2:_="">
    <xsd:import namespace="c7474d1f-094f-44b1-a562-73ea0c9f11c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474d1f-094f-44b1-a562-73ea0c9f11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F7FBAC-50D4-4596-9791-008ABFAB27C9}"/>
</file>

<file path=customXml/itemProps2.xml><?xml version="1.0" encoding="utf-8"?>
<ds:datastoreItem xmlns:ds="http://schemas.openxmlformats.org/officeDocument/2006/customXml" ds:itemID="{4CD22427-CC16-40F9-BF90-A0236A95CB08}"/>
</file>

<file path=customXml/itemProps3.xml><?xml version="1.0" encoding="utf-8"?>
<ds:datastoreItem xmlns:ds="http://schemas.openxmlformats.org/officeDocument/2006/customXml" ds:itemID="{276009FE-34D3-4E14-96E3-2F8A4511108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Davis</dc:title>
  <cp:lastModifiedBy>Seth A. Moreida</cp:lastModifiedBy>
  <cp:revision>32</cp:revision>
  <dcterms:created xsi:type="dcterms:W3CDTF">2021-02-21T00:44:00Z</dcterms:created>
  <dcterms:modified xsi:type="dcterms:W3CDTF">2021-03-05T21:40:52Z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137062517</vt:lpwstr>
  </property>
  <property fmtid="{D5CDD505-2E9C-101B-9397-08002B2CF9AE}" pid="3" name="LADocCount">
    <vt:lpwstr>1</vt:lpwstr>
  </property>
  <property fmtid="{D5CDD505-2E9C-101B-9397-08002B2CF9AE}" pid="4" name="UserPermID">
    <vt:lpwstr>urn:user:PA901699</vt:lpwstr>
  </property>
  <property fmtid="{D5CDD505-2E9C-101B-9397-08002B2CF9AE}" pid="5" name="ContentTypeId">
    <vt:lpwstr>0x0101006E292F9F294C3F4CAD839B56B38B4D42</vt:lpwstr>
  </property>
</Properties>
</file>