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6FF8" w14:textId="77777777" w:rsidR="00BE0373" w:rsidRDefault="00BE0373">
      <w:pPr>
        <w:pBdr>
          <w:top w:val="none" w:sz="0" w:space="4" w:color="auto"/>
        </w:pBdr>
        <w:spacing w:line="275" w:lineRule="atLeast"/>
        <w:jc w:val="both"/>
      </w:pPr>
      <w:bookmarkStart w:id="0" w:name="Id40d0ac056fa11ec80e88bfd15733b68_Targe"/>
      <w:bookmarkStart w:id="1" w:name="co_document_1"/>
      <w:bookmarkEnd w:id="0"/>
    </w:p>
    <w:bookmarkEnd w:id="1"/>
    <w:p w14:paraId="369E57D5" w14:textId="77777777" w:rsidR="00BE0373" w:rsidRDefault="003564BE">
      <w:pPr>
        <w:spacing w:line="275" w:lineRule="atLeast"/>
        <w:jc w:val="center"/>
      </w:pPr>
      <w:r>
        <w:rPr>
          <w:rFonts w:ascii="Georgia" w:hAnsi="Georgia"/>
          <w:color w:val="000000"/>
          <w:sz w:val="20"/>
        </w:rPr>
        <w:t>19 F.4th 944</w:t>
      </w:r>
    </w:p>
    <w:p w14:paraId="739C5EF1" w14:textId="77777777" w:rsidR="00BE0373" w:rsidRDefault="003564BE">
      <w:pPr>
        <w:spacing w:line="275" w:lineRule="atLeast"/>
        <w:jc w:val="center"/>
      </w:pPr>
      <w:r>
        <w:rPr>
          <w:rFonts w:ascii="Georgia" w:hAnsi="Georgia"/>
          <w:color w:val="000000"/>
          <w:sz w:val="20"/>
        </w:rPr>
        <w:t>United States Court of Appeals, Sixth Circuit.</w:t>
      </w:r>
    </w:p>
    <w:p w14:paraId="50F33837" w14:textId="456DFB6C" w:rsidR="00BE0373" w:rsidRDefault="003564BE">
      <w:pPr>
        <w:spacing w:before="200" w:line="300" w:lineRule="atLeast"/>
        <w:ind w:left="100" w:right="100"/>
        <w:jc w:val="center"/>
      </w:pPr>
      <w:r>
        <w:rPr>
          <w:rFonts w:ascii="Georgia" w:hAnsi="Georgia"/>
          <w:color w:val="252525"/>
          <w:sz w:val="20"/>
        </w:rPr>
        <w:t xml:space="preserve">WHIRLPOOL FINANCIAL </w:t>
      </w:r>
      <w:proofErr w:type="gramStart"/>
      <w:r>
        <w:rPr>
          <w:rFonts w:ascii="Georgia" w:hAnsi="Georgia"/>
          <w:color w:val="252525"/>
          <w:sz w:val="20"/>
        </w:rPr>
        <w:t>CORPORATION;</w:t>
      </w:r>
      <w:proofErr w:type="gramEnd"/>
      <w:r>
        <w:rPr>
          <w:rFonts w:ascii="Georgia" w:hAnsi="Georgia"/>
          <w:color w:val="252525"/>
          <w:sz w:val="20"/>
        </w:rPr>
        <w:t xml:space="preserve"> </w:t>
      </w:r>
    </w:p>
    <w:p w14:paraId="1DC068C7" w14:textId="77777777" w:rsidR="00BE0373" w:rsidRDefault="003564BE">
      <w:pPr>
        <w:spacing w:line="300" w:lineRule="atLeast"/>
        <w:ind w:left="100" w:right="100"/>
        <w:jc w:val="center"/>
      </w:pPr>
      <w:r>
        <w:rPr>
          <w:rFonts w:ascii="Georgia" w:hAnsi="Georgia"/>
          <w:color w:val="252525"/>
          <w:sz w:val="20"/>
        </w:rPr>
        <w:t>v.</w:t>
      </w:r>
    </w:p>
    <w:p w14:paraId="7980691D" w14:textId="5C2D0036" w:rsidR="00BE0373" w:rsidRDefault="003564BE">
      <w:pPr>
        <w:spacing w:line="300" w:lineRule="atLeast"/>
        <w:ind w:left="100" w:right="100"/>
        <w:jc w:val="center"/>
      </w:pPr>
      <w:r>
        <w:rPr>
          <w:rFonts w:ascii="Georgia" w:hAnsi="Georgia"/>
          <w:color w:val="252525"/>
          <w:sz w:val="20"/>
        </w:rPr>
        <w:t xml:space="preserve">COMMISSIONER OF INTERNAL REVENUE, </w:t>
      </w:r>
    </w:p>
    <w:p w14:paraId="21E2F079" w14:textId="77777777" w:rsidR="00BE0373" w:rsidRDefault="003564BE">
      <w:pPr>
        <w:spacing w:before="600" w:line="275" w:lineRule="atLeast"/>
        <w:jc w:val="center"/>
      </w:pPr>
      <w:bookmarkStart w:id="2" w:name="co_anchor_I547f08f1aec311ec9f1af6ade2"/>
      <w:bookmarkStart w:id="3" w:name="co_anchor_I547f08f1aec311ec9f1af6ade371"/>
      <w:r>
        <w:rPr>
          <w:rFonts w:ascii="Times New Roman" w:hAnsi="Times New Roman"/>
          <w:b/>
          <w:color w:val="000000"/>
          <w:sz w:val="20"/>
        </w:rPr>
        <w:t>OPINION</w:t>
      </w:r>
    </w:p>
    <w:bookmarkEnd w:id="2"/>
    <w:bookmarkEnd w:id="3"/>
    <w:p w14:paraId="1A300789" w14:textId="77777777" w:rsidR="00BE0373" w:rsidRDefault="003564BE">
      <w:pPr>
        <w:spacing w:before="400" w:line="275" w:lineRule="atLeast"/>
        <w:jc w:val="both"/>
      </w:pPr>
      <w:r>
        <w:fldChar w:fldCharType="begin"/>
      </w:r>
      <w:r>
        <w:instrText xml:space="preserve"> HYPERLINK "http://www.westlaw.com/Link/Document/FullText?findType=h&amp;pubNum=176284&amp;ci</w:instrText>
      </w:r>
      <w:r>
        <w:instrText xml:space="preserve">te=0202990501&amp;originatingDoc=Id40d0ac056fa11ec80e88bfd15733b68&amp;refType=RQ&amp;originationContext=document&amp;vr=3.0&amp;rs=cblt1.0&amp;transitionType=DocumentItem&amp;contextData=(sc.Search)" \h </w:instrText>
      </w:r>
      <w:r>
        <w:fldChar w:fldCharType="separate"/>
      </w:r>
      <w:r>
        <w:rPr>
          <w:rFonts w:ascii="Times New Roman" w:hAnsi="Times New Roman"/>
          <w:color w:val="000000"/>
          <w:sz w:val="20"/>
        </w:rPr>
        <w:t>KETHLEDGE</w:t>
      </w:r>
      <w:r>
        <w:rPr>
          <w:rFonts w:ascii="Times New Roman" w:hAnsi="Times New Roman"/>
          <w:color w:val="000000"/>
          <w:sz w:val="20"/>
        </w:rPr>
        <w:fldChar w:fldCharType="end"/>
      </w:r>
      <w:r>
        <w:rPr>
          <w:rFonts w:ascii="Times New Roman" w:hAnsi="Times New Roman"/>
          <w:color w:val="000000"/>
          <w:sz w:val="20"/>
        </w:rPr>
        <w:t>, Circuit Judge.</w:t>
      </w:r>
    </w:p>
    <w:p w14:paraId="0DDB1C16" w14:textId="77777777" w:rsidR="00DD22CA" w:rsidRDefault="003564BE" w:rsidP="00DD22CA">
      <w:pPr>
        <w:spacing w:before="200" w:line="275" w:lineRule="atLeast"/>
        <w:jc w:val="both"/>
        <w:rPr>
          <w:rFonts w:ascii="Times New Roman" w:hAnsi="Times New Roman"/>
          <w:color w:val="000000"/>
          <w:sz w:val="20"/>
        </w:rPr>
      </w:pPr>
      <w:r>
        <w:rPr>
          <w:rFonts w:ascii="Times New Roman" w:hAnsi="Times New Roman"/>
          <w:color w:val="000000"/>
          <w:sz w:val="20"/>
        </w:rPr>
        <w:t>A subsidiary of Whirlpool Corporation with a sin</w:t>
      </w:r>
      <w:r>
        <w:rPr>
          <w:rFonts w:ascii="Times New Roman" w:hAnsi="Times New Roman"/>
          <w:color w:val="000000"/>
          <w:sz w:val="20"/>
        </w:rPr>
        <w:t>gle part-time employee in Luxembourg sold refrigerators and washing machines to Whirlpool in a series of complicated transactions. By means of a 2007 corporate restructuring, neither the Luxembourgian subsidiary nor Whirlpool itself paid any taxes on the p</w:t>
      </w:r>
      <w:r>
        <w:rPr>
          <w:rFonts w:ascii="Times New Roman" w:hAnsi="Times New Roman"/>
          <w:color w:val="000000"/>
          <w:sz w:val="20"/>
        </w:rPr>
        <w:t>rofits (more than $45 million) earned from those transactions. The IRS later determined that Whirlpool should have paid taxes on those profits. Whirlpool appealed that determination to the Tax Court, which granted summary judgment to the Commissioner. We a</w:t>
      </w:r>
      <w:r>
        <w:rPr>
          <w:rFonts w:ascii="Times New Roman" w:hAnsi="Times New Roman"/>
          <w:color w:val="000000"/>
          <w:sz w:val="20"/>
        </w:rPr>
        <w:t>ffirm.</w:t>
      </w:r>
      <w:bookmarkStart w:id="4" w:name="co_anchor_I54804171aec311ec9f1af6ade371"/>
    </w:p>
    <w:p w14:paraId="6831D472" w14:textId="4AB17499" w:rsidR="00BE0373" w:rsidRPr="00DD22CA" w:rsidRDefault="00DD22CA" w:rsidP="00DD22CA">
      <w:pPr>
        <w:spacing w:before="200" w:line="275" w:lineRule="atLeast"/>
        <w:jc w:val="both"/>
        <w:rPr>
          <w:b/>
          <w:bCs/>
        </w:rPr>
      </w:pPr>
      <w:r>
        <w:rPr>
          <w:rFonts w:ascii="Times New Roman" w:hAnsi="Times New Roman"/>
          <w:color w:val="000000"/>
          <w:sz w:val="20"/>
        </w:rPr>
        <w:tab/>
      </w:r>
      <w:r>
        <w:rPr>
          <w:rFonts w:ascii="Times New Roman" w:hAnsi="Times New Roman"/>
          <w:color w:val="000000"/>
          <w:sz w:val="20"/>
        </w:rPr>
        <w:tab/>
      </w:r>
      <w:r w:rsidRPr="00DD22CA">
        <w:rPr>
          <w:rFonts w:ascii="Times New Roman" w:hAnsi="Times New Roman"/>
          <w:b/>
          <w:bCs/>
          <w:color w:val="000000"/>
          <w:sz w:val="20"/>
        </w:rPr>
        <w:tab/>
      </w:r>
      <w:r w:rsidR="003564BE" w:rsidRPr="00DD22CA">
        <w:rPr>
          <w:rFonts w:ascii="Times New Roman" w:hAnsi="Times New Roman"/>
          <w:b/>
          <w:bCs/>
          <w:color w:val="000000"/>
          <w:sz w:val="20"/>
        </w:rPr>
        <w:t>I.</w:t>
      </w:r>
      <w:r w:rsidRPr="00DD22CA">
        <w:rPr>
          <w:rFonts w:ascii="Times New Roman" w:hAnsi="Times New Roman"/>
          <w:b/>
          <w:bCs/>
          <w:color w:val="000000"/>
          <w:sz w:val="20"/>
        </w:rPr>
        <w:t xml:space="preserve"> A.</w:t>
      </w:r>
    </w:p>
    <w:bookmarkEnd w:id="4"/>
    <w:p w14:paraId="2B6FD226" w14:textId="77777777" w:rsidR="00BE0373" w:rsidRDefault="003564BE">
      <w:pPr>
        <w:spacing w:before="200" w:line="275" w:lineRule="atLeast"/>
        <w:jc w:val="both"/>
      </w:pPr>
      <w:r>
        <w:rPr>
          <w:rFonts w:ascii="Times New Roman" w:hAnsi="Times New Roman"/>
          <w:color w:val="000000"/>
          <w:sz w:val="20"/>
        </w:rPr>
        <w:t xml:space="preserve">Before 1962, the income of a foreign subsidiary of an American corporation generally was not subject to taxation in the United States until that income was distributed to the American parent. </w:t>
      </w:r>
      <w:r>
        <w:rPr>
          <w:rFonts w:ascii="Times New Roman" w:hAnsi="Times New Roman"/>
          <w:i/>
          <w:color w:val="000000"/>
          <w:sz w:val="20"/>
        </w:rPr>
        <w:t>See</w:t>
      </w:r>
      <w:r>
        <w:rPr>
          <w:rFonts w:ascii="Times New Roman" w:hAnsi="Times New Roman"/>
          <w:color w:val="000000"/>
          <w:sz w:val="20"/>
        </w:rPr>
        <w:t xml:space="preserve"> </w:t>
      </w:r>
      <w:hyperlink r:id="rId6" w:anchor="co_pp_sp_838_354">
        <w:r>
          <w:rPr>
            <w:rFonts w:ascii="Times New Roman" w:hAnsi="Times New Roman"/>
            <w:i/>
            <w:color w:val="000000"/>
            <w:sz w:val="20"/>
          </w:rPr>
          <w:t>Ashland Oil, Inc. v. Comm'r of Internal Revenue</w:t>
        </w:r>
        <w:r>
          <w:rPr>
            <w:rFonts w:ascii="Times New Roman" w:hAnsi="Times New Roman"/>
            <w:color w:val="000000"/>
            <w:sz w:val="20"/>
          </w:rPr>
          <w:t>, 95 T.C. 348, 354 (1990)</w:t>
        </w:r>
      </w:hyperlink>
      <w:r>
        <w:rPr>
          <w:rFonts w:ascii="Times New Roman" w:hAnsi="Times New Roman"/>
          <w:color w:val="000000"/>
          <w:sz w:val="20"/>
        </w:rPr>
        <w:t xml:space="preserve">. This regime encouraged American companies to structure their operations so as to shift their income to foreign subsidiaries, whose income would not be subject to </w:t>
      </w:r>
      <w:r>
        <w:rPr>
          <w:rFonts w:ascii="Times New Roman" w:hAnsi="Times New Roman"/>
          <w:color w:val="000000"/>
          <w:sz w:val="20"/>
        </w:rPr>
        <w:t>taxation in the United States. The American parent could thereby defer indefinitely any taxation in the United States of the income shifted to the foreign subsidiary.</w:t>
      </w:r>
    </w:p>
    <w:p w14:paraId="7BDDC468" w14:textId="77777777" w:rsidR="00BE0373" w:rsidRDefault="003564BE">
      <w:pPr>
        <w:spacing w:line="275" w:lineRule="atLeast"/>
        <w:jc w:val="both"/>
      </w:pPr>
      <w:r>
        <w:rPr>
          <w:rFonts w:ascii="Times New Roman" w:hAnsi="Times New Roman"/>
          <w:color w:val="000000"/>
          <w:sz w:val="20"/>
        </w:rPr>
        <w:t> </w:t>
      </w:r>
    </w:p>
    <w:p w14:paraId="05C4CA5D" w14:textId="77777777" w:rsidR="00BE0373" w:rsidRDefault="003564BE">
      <w:pPr>
        <w:spacing w:line="275" w:lineRule="atLeast"/>
        <w:jc w:val="both"/>
      </w:pPr>
      <w:r>
        <w:rPr>
          <w:rFonts w:ascii="Times New Roman" w:hAnsi="Times New Roman"/>
          <w:color w:val="000000"/>
          <w:sz w:val="20"/>
        </w:rPr>
        <w:t>By 1961, the practice of shifting income to foreign subsidiaries for purposes of tax de</w:t>
      </w:r>
      <w:r>
        <w:rPr>
          <w:rFonts w:ascii="Times New Roman" w:hAnsi="Times New Roman"/>
          <w:color w:val="000000"/>
          <w:sz w:val="20"/>
        </w:rPr>
        <w:t>ferral had become widespread among multinational corporations. That year President Kennedy described the problem as follows:</w:t>
      </w:r>
    </w:p>
    <w:p w14:paraId="6993F992" w14:textId="77777777" w:rsidR="00BE0373" w:rsidRDefault="003564BE">
      <w:pPr>
        <w:spacing w:before="200" w:line="275" w:lineRule="atLeast"/>
        <w:ind w:left="480" w:right="480"/>
        <w:jc w:val="both"/>
      </w:pPr>
      <w:r>
        <w:rPr>
          <w:rFonts w:ascii="Times New Roman" w:hAnsi="Times New Roman"/>
          <w:color w:val="000000"/>
          <w:sz w:val="20"/>
        </w:rPr>
        <w:t xml:space="preserve">The undesirability of continuing deferral is underscored where deferral has served as a shelter for tax escape through the unjustifiable use of tax havens such as Switzerland. Recently </w:t>
      </w:r>
      <w:r>
        <w:rPr>
          <w:rFonts w:ascii="Times New Roman" w:hAnsi="Times New Roman"/>
          <w:color w:val="000000"/>
          <w:sz w:val="20"/>
        </w:rPr>
        <w:t>more and more enterprises organized abroad by American firms have arran</w:t>
      </w:r>
      <w:r>
        <w:rPr>
          <w:rFonts w:ascii="Times New Roman" w:hAnsi="Times New Roman"/>
          <w:color w:val="000000"/>
          <w:sz w:val="20"/>
        </w:rPr>
        <w:t>ged their corporate structures—aided by artificial arrangements between parent and subsidiary regarding intercompany pricing, the transfer of patent licensing rights, the shifting of management fees, and similar practices which maximize the accumulation of</w:t>
      </w:r>
      <w:r>
        <w:rPr>
          <w:rFonts w:ascii="Times New Roman" w:hAnsi="Times New Roman"/>
          <w:color w:val="000000"/>
          <w:sz w:val="20"/>
        </w:rPr>
        <w:t xml:space="preserve"> profits in the tax haven—so as to exploit the multiplicity of foreign tax systems and international agreements in order to reduce sharply or eliminate completely their tax liabilities both at home and abroad.</w:t>
      </w:r>
    </w:p>
    <w:p w14:paraId="01E5CE5B" w14:textId="1BCBFE5A" w:rsidR="00BE0373" w:rsidRDefault="003564BE">
      <w:pPr>
        <w:spacing w:line="275" w:lineRule="atLeast"/>
        <w:jc w:val="both"/>
      </w:pPr>
      <w:r>
        <w:rPr>
          <w:rFonts w:ascii="Times New Roman" w:hAnsi="Times New Roman"/>
          <w:color w:val="000000"/>
          <w:sz w:val="20"/>
        </w:rPr>
        <w:t> </w:t>
      </w:r>
    </w:p>
    <w:p w14:paraId="682A31B4" w14:textId="45B7EF8C" w:rsidR="00BE0373" w:rsidRDefault="003564BE">
      <w:pPr>
        <w:spacing w:line="275" w:lineRule="atLeast"/>
        <w:jc w:val="both"/>
      </w:pPr>
      <w:r>
        <w:rPr>
          <w:rFonts w:ascii="Times New Roman" w:hAnsi="Times New Roman"/>
          <w:color w:val="000000"/>
          <w:sz w:val="20"/>
        </w:rPr>
        <w:t>As an example of this practice, suppose that, in 1961, an American company created a subsidiary in a foreign country—say, Mexico—which then manufactur</w:t>
      </w:r>
      <w:r>
        <w:rPr>
          <w:rFonts w:ascii="Times New Roman" w:hAnsi="Times New Roman"/>
          <w:color w:val="000000"/>
          <w:sz w:val="20"/>
        </w:rPr>
        <w:t xml:space="preserve">ed goods for the American parent. If the Mexican subsidiary sold the finished goods directly to the American parent at a price reflecting </w:t>
      </w:r>
      <w:r>
        <w:rPr>
          <w:rFonts w:ascii="Times New Roman" w:hAnsi="Times New Roman"/>
          <w:color w:val="000000"/>
          <w:sz w:val="20"/>
        </w:rPr>
        <w:t>the cost of manufacturing them, the American parent would pay tax on whatever profit—say, $10 million—that it ear</w:t>
      </w:r>
      <w:r>
        <w:rPr>
          <w:rFonts w:ascii="Times New Roman" w:hAnsi="Times New Roman"/>
          <w:color w:val="000000"/>
          <w:sz w:val="20"/>
        </w:rPr>
        <w:t>ned from sales of those goods to third-party vendors. But suppose instead that the American parent created a second subsidiary in a country—say, Switzerland—that did not tax income from sales of goods manufactured elsewhere. The Mexican subsidiary could th</w:t>
      </w:r>
      <w:r>
        <w:rPr>
          <w:rFonts w:ascii="Times New Roman" w:hAnsi="Times New Roman"/>
          <w:color w:val="000000"/>
          <w:sz w:val="20"/>
        </w:rPr>
        <w:t xml:space="preserve">en sell the goods at a low price to the Swiss subsidiary, which could then sell them to the American parent at a relatively high price. Suppose the Swiss subsidiary's profit on those sales was $6 million. That would shift $6 </w:t>
      </w:r>
      <w:proofErr w:type="spellStart"/>
      <w:r>
        <w:rPr>
          <w:rFonts w:ascii="Times New Roman" w:hAnsi="Times New Roman"/>
          <w:color w:val="000000"/>
          <w:sz w:val="20"/>
        </w:rPr>
        <w:t>million</w:t>
      </w:r>
      <w:proofErr w:type="spellEnd"/>
      <w:r>
        <w:rPr>
          <w:rFonts w:ascii="Times New Roman" w:hAnsi="Times New Roman"/>
          <w:color w:val="000000"/>
          <w:sz w:val="20"/>
        </w:rPr>
        <w:t xml:space="preserve"> of profit from the Amer</w:t>
      </w:r>
      <w:r>
        <w:rPr>
          <w:rFonts w:ascii="Times New Roman" w:hAnsi="Times New Roman"/>
          <w:color w:val="000000"/>
          <w:sz w:val="20"/>
        </w:rPr>
        <w:t>ican parent—whose income was subject to taxation in the United States—to the Swiss subsidiary, whose income (prior to the enactment of the provisions at issue here) was not subject to taxation in its home country or in the United States. The American paren</w:t>
      </w:r>
      <w:r>
        <w:rPr>
          <w:rFonts w:ascii="Times New Roman" w:hAnsi="Times New Roman"/>
          <w:color w:val="000000"/>
          <w:sz w:val="20"/>
        </w:rPr>
        <w:t>t could thereby defer, indefinitely, paying any tax on the $6 million.</w:t>
      </w:r>
    </w:p>
    <w:p w14:paraId="35C1AC85" w14:textId="77777777" w:rsidR="00BE0373" w:rsidRDefault="003564BE">
      <w:pPr>
        <w:spacing w:line="275" w:lineRule="atLeast"/>
        <w:jc w:val="both"/>
      </w:pPr>
      <w:r>
        <w:rPr>
          <w:rFonts w:ascii="Times New Roman" w:hAnsi="Times New Roman"/>
          <w:color w:val="000000"/>
          <w:sz w:val="20"/>
        </w:rPr>
        <w:t> </w:t>
      </w:r>
    </w:p>
    <w:p w14:paraId="62044AE6" w14:textId="1D8ED0C0" w:rsidR="00BE0373" w:rsidRDefault="003564BE">
      <w:pPr>
        <w:spacing w:line="275" w:lineRule="atLeast"/>
        <w:jc w:val="both"/>
      </w:pPr>
      <w:r>
        <w:rPr>
          <w:rFonts w:ascii="Times New Roman" w:hAnsi="Times New Roman"/>
          <w:color w:val="000000"/>
          <w:sz w:val="20"/>
        </w:rPr>
        <w:t xml:space="preserve">Congress sought to prevent this kind of tax avoidance when, in 1962, it enacted Subpart F of the Internal Revenue Code. </w:t>
      </w:r>
      <w:r>
        <w:rPr>
          <w:rFonts w:ascii="Times New Roman" w:hAnsi="Times New Roman"/>
          <w:color w:val="000000"/>
          <w:sz w:val="20"/>
        </w:rPr>
        <w:t>Subpart F taxes an American corporation directly on certain kinds of income held by its foreign subsidiaries—which Congress referred to as “controlled foreign co</w:t>
      </w:r>
      <w:r>
        <w:rPr>
          <w:rFonts w:ascii="Times New Roman" w:hAnsi="Times New Roman"/>
          <w:color w:val="000000"/>
          <w:sz w:val="20"/>
        </w:rPr>
        <w:t xml:space="preserve">rporations” (“CFCs”). </w:t>
      </w:r>
      <w:r w:rsidR="00DD22CA">
        <w:rPr>
          <w:rFonts w:ascii="Times New Roman" w:hAnsi="Times New Roman"/>
          <w:color w:val="000000"/>
          <w:sz w:val="20"/>
        </w:rPr>
        <w:t>…</w:t>
      </w:r>
      <w:r>
        <w:rPr>
          <w:rFonts w:ascii="Times New Roman" w:hAnsi="Times New Roman"/>
          <w:color w:val="000000"/>
          <w:sz w:val="20"/>
        </w:rPr>
        <w:t xml:space="preserve">Subpart F includes a CFC's foreign base company sales income (“FBCSI”—the acronym is unavoidable here). </w:t>
      </w:r>
      <w:r w:rsidR="00DD22CA">
        <w:rPr>
          <w:rFonts w:ascii="Times New Roman" w:hAnsi="Times New Roman"/>
          <w:i/>
          <w:color w:val="000000"/>
          <w:sz w:val="20"/>
        </w:rPr>
        <w:t xml:space="preserve"> </w:t>
      </w:r>
    </w:p>
    <w:p w14:paraId="59BA3890" w14:textId="77777777" w:rsidR="00BE0373" w:rsidRDefault="003564BE">
      <w:pPr>
        <w:spacing w:line="275" w:lineRule="atLeast"/>
        <w:jc w:val="both"/>
      </w:pPr>
      <w:r>
        <w:rPr>
          <w:rFonts w:ascii="Times New Roman" w:hAnsi="Times New Roman"/>
          <w:color w:val="000000"/>
          <w:sz w:val="20"/>
        </w:rPr>
        <w:t> </w:t>
      </w:r>
    </w:p>
    <w:p w14:paraId="5818D270" w14:textId="051AF740" w:rsidR="00BE0373" w:rsidRDefault="003564BE">
      <w:pPr>
        <w:spacing w:line="275" w:lineRule="atLeast"/>
        <w:jc w:val="both"/>
      </w:pPr>
      <w:r>
        <w:rPr>
          <w:rFonts w:ascii="Times New Roman" w:hAnsi="Times New Roman"/>
          <w:color w:val="000000"/>
          <w:sz w:val="20"/>
        </w:rPr>
        <w:t xml:space="preserve">Under Subpart F of the Code, two provisions determine whether a CFC has generated FBCSI. </w:t>
      </w:r>
      <w:hyperlink r:id="rId7" w:anchor="co_pp_e07e0000a9f57">
        <w:r>
          <w:rPr>
            <w:rFonts w:ascii="Times New Roman" w:hAnsi="Times New Roman"/>
            <w:color w:val="000000"/>
            <w:sz w:val="20"/>
          </w:rPr>
          <w:t>Section 954(d)(1)</w:t>
        </w:r>
      </w:hyperlink>
      <w:r>
        <w:rPr>
          <w:rFonts w:ascii="Times New Roman" w:hAnsi="Times New Roman"/>
          <w:color w:val="000000"/>
          <w:sz w:val="20"/>
        </w:rPr>
        <w:t xml:space="preserve"> </w:t>
      </w:r>
      <w:r>
        <w:rPr>
          <w:rFonts w:ascii="Times New Roman" w:hAnsi="Times New Roman"/>
          <w:color w:val="000000"/>
          <w:sz w:val="20"/>
        </w:rPr>
        <w:lastRenderedPageBreak/>
        <w:t>treats as FBCSI any income that a CFC derives from certain transa</w:t>
      </w:r>
      <w:r>
        <w:rPr>
          <w:rFonts w:ascii="Times New Roman" w:hAnsi="Times New Roman"/>
          <w:color w:val="000000"/>
          <w:sz w:val="20"/>
        </w:rPr>
        <w:t xml:space="preserve">ctions with a “related person,” which the Code defines basically to include entities related to the CFC (either as a parent, subsidiary, or entity controlled by the same entity that controls the CFC). </w:t>
      </w:r>
      <w:r w:rsidR="00DD22CA">
        <w:rPr>
          <w:rFonts w:ascii="Times New Roman" w:hAnsi="Times New Roman"/>
          <w:i/>
          <w:color w:val="000000"/>
          <w:sz w:val="20"/>
        </w:rPr>
        <w:t xml:space="preserve"> </w:t>
      </w:r>
      <w:r>
        <w:rPr>
          <w:rFonts w:ascii="Times New Roman" w:hAnsi="Times New Roman"/>
          <w:color w:val="000000"/>
          <w:sz w:val="20"/>
        </w:rPr>
        <w:t xml:space="preserve">The transactions described in </w:t>
      </w:r>
      <w:hyperlink r:id="rId8" w:anchor="co_pp_e07e0000a9f57">
        <w:r>
          <w:rPr>
            <w:rFonts w:ascii="Times New Roman" w:hAnsi="Times New Roman"/>
            <w:color w:val="000000"/>
            <w:sz w:val="20"/>
          </w:rPr>
          <w:t>§ 954(d)(1)</w:t>
        </w:r>
      </w:hyperlink>
      <w:r>
        <w:rPr>
          <w:rFonts w:ascii="Times New Roman" w:hAnsi="Times New Roman"/>
          <w:color w:val="000000"/>
          <w:sz w:val="20"/>
        </w:rPr>
        <w:t xml:space="preserve"> are the kinds of transactions within a corporate structure—like the sale of products from the Swiss subsidiary to its American parent in the example described above—that American c</w:t>
      </w:r>
      <w:r>
        <w:rPr>
          <w:rFonts w:ascii="Times New Roman" w:hAnsi="Times New Roman"/>
          <w:color w:val="000000"/>
          <w:sz w:val="20"/>
        </w:rPr>
        <w:t xml:space="preserve">orporations often used (before the enactment of Subpart F) to defer taxation on income. </w:t>
      </w:r>
      <w:r w:rsidR="00DD22CA">
        <w:rPr>
          <w:rFonts w:ascii="Times New Roman" w:hAnsi="Times New Roman"/>
          <w:i/>
          <w:color w:val="000000"/>
          <w:sz w:val="20"/>
        </w:rPr>
        <w:t xml:space="preserve"> </w:t>
      </w:r>
    </w:p>
    <w:p w14:paraId="4B4E02A1" w14:textId="77777777" w:rsidR="00BE0373" w:rsidRDefault="003564BE">
      <w:pPr>
        <w:spacing w:line="275" w:lineRule="atLeast"/>
        <w:jc w:val="both"/>
      </w:pPr>
      <w:r>
        <w:rPr>
          <w:rFonts w:ascii="Times New Roman" w:hAnsi="Times New Roman"/>
          <w:color w:val="000000"/>
          <w:sz w:val="20"/>
        </w:rPr>
        <w:t> </w:t>
      </w:r>
    </w:p>
    <w:p w14:paraId="2C7FF39E" w14:textId="78F09C0C" w:rsidR="00BE0373" w:rsidRDefault="003564BE" w:rsidP="00CE5AAD">
      <w:pPr>
        <w:spacing w:line="275" w:lineRule="atLeast"/>
        <w:jc w:val="both"/>
      </w:pPr>
      <w:r>
        <w:rPr>
          <w:rFonts w:ascii="Times New Roman" w:hAnsi="Times New Roman"/>
          <w:color w:val="000000"/>
          <w:sz w:val="20"/>
        </w:rPr>
        <w:t>But under the tax laws of some countries—particularly those that employed a “territorial” system of taxation, under which income generated elsewhere typically is not taxed in the corporation's home country—a corporation could avoid taxati</w:t>
      </w:r>
      <w:r>
        <w:rPr>
          <w:rFonts w:ascii="Times New Roman" w:hAnsi="Times New Roman"/>
          <w:color w:val="000000"/>
          <w:sz w:val="20"/>
        </w:rPr>
        <w:t>on of income by conducting certain activities (</w:t>
      </w:r>
      <w:r>
        <w:rPr>
          <w:rFonts w:ascii="Times New Roman" w:hAnsi="Times New Roman"/>
          <w:i/>
          <w:color w:val="000000"/>
          <w:sz w:val="20"/>
        </w:rPr>
        <w:t>e.g.</w:t>
      </w:r>
      <w:r>
        <w:rPr>
          <w:rFonts w:ascii="Times New Roman" w:hAnsi="Times New Roman"/>
          <w:color w:val="000000"/>
          <w:sz w:val="20"/>
        </w:rPr>
        <w:t xml:space="preserve">, selling or manufacturing) through a foreign branch or division, rather than through a separate subsidiary. </w:t>
      </w:r>
      <w:r w:rsidR="008C6C3A">
        <w:rPr>
          <w:rFonts w:ascii="Times New Roman" w:hAnsi="Times New Roman"/>
          <w:color w:val="000000"/>
          <w:sz w:val="20"/>
        </w:rPr>
        <w:t>Section</w:t>
      </w:r>
      <w:hyperlink r:id="rId9" w:anchor="co_pp_4be3000003be5">
        <w:r>
          <w:rPr>
            <w:rFonts w:ascii="Times New Roman" w:hAnsi="Times New Roman"/>
            <w:color w:val="000000"/>
            <w:sz w:val="20"/>
          </w:rPr>
          <w:t xml:space="preserve"> 954(d)(2)</w:t>
        </w:r>
      </w:hyperlink>
      <w:r>
        <w:rPr>
          <w:rFonts w:ascii="Times New Roman" w:hAnsi="Times New Roman"/>
          <w:color w:val="000000"/>
          <w:sz w:val="20"/>
        </w:rPr>
        <w:t xml:space="preserve"> applies </w:t>
      </w:r>
      <w:r w:rsidR="008C6C3A">
        <w:rPr>
          <w:rFonts w:ascii="Times New Roman" w:hAnsi="Times New Roman"/>
          <w:color w:val="000000"/>
          <w:sz w:val="20"/>
        </w:rPr>
        <w:t xml:space="preserve"> </w:t>
      </w:r>
      <w:r>
        <w:rPr>
          <w:rFonts w:ascii="Times New Roman" w:hAnsi="Times New Roman"/>
          <w:color w:val="000000"/>
          <w:sz w:val="20"/>
        </w:rPr>
        <w:t xml:space="preserve"> when a CFC uses a foreign branch to achieve “substantially the same” tax effect—meaning the same tax-deferral effect—that Ameri</w:t>
      </w:r>
      <w:r>
        <w:rPr>
          <w:rFonts w:ascii="Times New Roman" w:hAnsi="Times New Roman"/>
          <w:color w:val="000000"/>
          <w:sz w:val="20"/>
        </w:rPr>
        <w:t>can corporations had been able to achieve (before 1962) by parking income with a foreign subsidiary</w:t>
      </w:r>
      <w:r w:rsidR="008C6C3A">
        <w:rPr>
          <w:rFonts w:ascii="Times New Roman" w:hAnsi="Times New Roman"/>
          <w:color w:val="000000"/>
          <w:sz w:val="20"/>
        </w:rPr>
        <w:t xml:space="preserve">. </w:t>
      </w:r>
      <w:r>
        <w:rPr>
          <w:rFonts w:ascii="Times New Roman" w:hAnsi="Times New Roman"/>
          <w:color w:val="000000"/>
          <w:sz w:val="20"/>
        </w:rPr>
        <w:t xml:space="preserve">And when the requirements of </w:t>
      </w:r>
      <w:hyperlink r:id="rId10" w:anchor="co_pp_4be3000003be5">
        <w:r>
          <w:rPr>
            <w:rFonts w:ascii="Times New Roman" w:hAnsi="Times New Roman"/>
            <w:color w:val="000000"/>
            <w:sz w:val="20"/>
          </w:rPr>
          <w:t>§ 954(d)(2)</w:t>
        </w:r>
      </w:hyperlink>
      <w:r>
        <w:rPr>
          <w:rFonts w:ascii="Times New Roman" w:hAnsi="Times New Roman"/>
          <w:color w:val="000000"/>
          <w:sz w:val="20"/>
        </w:rPr>
        <w:t xml:space="preserve"> are met, the income “attributable to” the branch's activities “shall constitute foreign base company sales income of the controlled foreign corporatio</w:t>
      </w:r>
      <w:r>
        <w:rPr>
          <w:rFonts w:ascii="Times New Roman" w:hAnsi="Times New Roman"/>
          <w:color w:val="000000"/>
          <w:sz w:val="20"/>
        </w:rPr>
        <w:t>n</w:t>
      </w:r>
      <w:r w:rsidR="00CE5AAD">
        <w:rPr>
          <w:rFonts w:ascii="Times New Roman" w:hAnsi="Times New Roman"/>
          <w:color w:val="000000"/>
          <w:sz w:val="20"/>
        </w:rPr>
        <w:t>.</w:t>
      </w:r>
    </w:p>
    <w:p w14:paraId="43B1BE0E" w14:textId="2D1AE33F" w:rsidR="00BE0373" w:rsidRDefault="003564BE">
      <w:pPr>
        <w:spacing w:before="400" w:line="275" w:lineRule="atLeast"/>
        <w:jc w:val="center"/>
      </w:pPr>
      <w:bookmarkStart w:id="5" w:name="co_anchor_I5484ae41aec311ec9f1af6ade371"/>
      <w:r>
        <w:rPr>
          <w:rFonts w:ascii="Times New Roman" w:hAnsi="Times New Roman"/>
          <w:color w:val="000000"/>
          <w:sz w:val="20"/>
        </w:rPr>
        <w:t>B.</w:t>
      </w:r>
    </w:p>
    <w:bookmarkEnd w:id="5"/>
    <w:p w14:paraId="14D4E7C5" w14:textId="419F7B69" w:rsidR="00BE0373" w:rsidRDefault="003564BE">
      <w:pPr>
        <w:spacing w:before="200" w:line="275" w:lineRule="atLeast"/>
        <w:jc w:val="both"/>
      </w:pPr>
      <w:r>
        <w:rPr>
          <w:rFonts w:ascii="Times New Roman" w:hAnsi="Times New Roman"/>
          <w:color w:val="000000"/>
          <w:sz w:val="20"/>
        </w:rPr>
        <w:t>Whirlpool-US owned 100% of Whirlpool Mexico (“Whirlpool-Mex”), which was organi</w:t>
      </w:r>
      <w:r>
        <w:rPr>
          <w:rFonts w:ascii="Times New Roman" w:hAnsi="Times New Roman"/>
          <w:color w:val="000000"/>
          <w:sz w:val="20"/>
        </w:rPr>
        <w:t xml:space="preserve">zed under Mexican law. Whirlpool-Mex in turn owned two Mexican subsidiaries: Commercial </w:t>
      </w:r>
      <w:proofErr w:type="spellStart"/>
      <w:r>
        <w:rPr>
          <w:rFonts w:ascii="Times New Roman" w:hAnsi="Times New Roman"/>
          <w:color w:val="000000"/>
          <w:sz w:val="20"/>
        </w:rPr>
        <w:t>Arcos</w:t>
      </w:r>
      <w:proofErr w:type="spellEnd"/>
      <w:r>
        <w:rPr>
          <w:rFonts w:ascii="Times New Roman" w:hAnsi="Times New Roman"/>
          <w:color w:val="000000"/>
          <w:sz w:val="20"/>
        </w:rPr>
        <w:t xml:space="preserve">, </w:t>
      </w:r>
      <w:proofErr w:type="gramStart"/>
      <w:r>
        <w:rPr>
          <w:rFonts w:ascii="Times New Roman" w:hAnsi="Times New Roman"/>
          <w:color w:val="000000"/>
          <w:sz w:val="20"/>
        </w:rPr>
        <w:t>which</w:t>
      </w:r>
      <w:proofErr w:type="gramEnd"/>
      <w:r>
        <w:rPr>
          <w:rFonts w:ascii="Times New Roman" w:hAnsi="Times New Roman"/>
          <w:color w:val="000000"/>
          <w:sz w:val="20"/>
        </w:rPr>
        <w:t xml:space="preserve"> performed administrative functions; and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w:t>
      </w:r>
      <w:proofErr w:type="spellStart"/>
      <w:r>
        <w:rPr>
          <w:rFonts w:ascii="Times New Roman" w:hAnsi="Times New Roman"/>
          <w:color w:val="000000"/>
          <w:sz w:val="20"/>
        </w:rPr>
        <w:t>Arcos</w:t>
      </w:r>
      <w:proofErr w:type="spellEnd"/>
      <w:r>
        <w:rPr>
          <w:rFonts w:ascii="Times New Roman" w:hAnsi="Times New Roman"/>
          <w:color w:val="000000"/>
          <w:sz w:val="20"/>
        </w:rPr>
        <w:t>, which manufactured refrigerators and washing machines for Whirlpool-Mex at two factories in Mexic</w:t>
      </w:r>
      <w:r>
        <w:rPr>
          <w:rFonts w:ascii="Times New Roman" w:hAnsi="Times New Roman"/>
          <w:color w:val="000000"/>
          <w:sz w:val="20"/>
        </w:rPr>
        <w:t xml:space="preserve">o.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owned the real estate (land and buildings) for the two factories and the equipment used to make the appliances.</w:t>
      </w:r>
    </w:p>
    <w:p w14:paraId="46CC2B63" w14:textId="77777777" w:rsidR="00BE0373" w:rsidRDefault="003564BE">
      <w:pPr>
        <w:spacing w:line="275" w:lineRule="atLeast"/>
        <w:jc w:val="both"/>
      </w:pPr>
      <w:r>
        <w:rPr>
          <w:rFonts w:ascii="Times New Roman" w:hAnsi="Times New Roman"/>
          <w:color w:val="000000"/>
          <w:sz w:val="20"/>
        </w:rPr>
        <w:t> </w:t>
      </w:r>
    </w:p>
    <w:p w14:paraId="21A93EFF" w14:textId="77777777" w:rsidR="00BE0373" w:rsidRDefault="003564BE">
      <w:pPr>
        <w:spacing w:line="275" w:lineRule="atLeast"/>
        <w:jc w:val="both"/>
      </w:pPr>
      <w:proofErr w:type="spellStart"/>
      <w:r>
        <w:rPr>
          <w:rFonts w:ascii="Times New Roman" w:hAnsi="Times New Roman"/>
          <w:color w:val="000000"/>
          <w:sz w:val="20"/>
        </w:rPr>
        <w:t>Industrias</w:t>
      </w:r>
      <w:proofErr w:type="spellEnd"/>
      <w:r>
        <w:rPr>
          <w:rFonts w:ascii="Times New Roman" w:hAnsi="Times New Roman"/>
          <w:color w:val="000000"/>
          <w:sz w:val="20"/>
        </w:rPr>
        <w:t xml:space="preserve"> sold the finished appliances to Whirlpool-Mex, which in turn sold most of them to Whirlpool-US. Under Mexican law, </w:t>
      </w:r>
      <w:proofErr w:type="spellStart"/>
      <w:r>
        <w:rPr>
          <w:rFonts w:ascii="Times New Roman" w:hAnsi="Times New Roman"/>
          <w:color w:val="000000"/>
          <w:sz w:val="20"/>
        </w:rPr>
        <w:t>In</w:t>
      </w:r>
      <w:r>
        <w:rPr>
          <w:rFonts w:ascii="Times New Roman" w:hAnsi="Times New Roman"/>
          <w:color w:val="000000"/>
          <w:sz w:val="20"/>
        </w:rPr>
        <w:t>dustrias</w:t>
      </w:r>
      <w:proofErr w:type="spellEnd"/>
      <w:r>
        <w:rPr>
          <w:rFonts w:ascii="Times New Roman" w:hAnsi="Times New Roman"/>
          <w:color w:val="000000"/>
          <w:sz w:val="20"/>
        </w:rPr>
        <w:t xml:space="preserve"> paid a 28% tax on its income from manufacturing the appliances and Whirlpool-Mex paid a 28% tax on its income from its sale of appliances to Whirlpool-US.</w:t>
      </w:r>
    </w:p>
    <w:p w14:paraId="74E281CB" w14:textId="77777777" w:rsidR="00BE0373" w:rsidRDefault="003564BE">
      <w:pPr>
        <w:spacing w:line="275" w:lineRule="atLeast"/>
        <w:jc w:val="both"/>
      </w:pPr>
      <w:r>
        <w:rPr>
          <w:rFonts w:ascii="Times New Roman" w:hAnsi="Times New Roman"/>
          <w:color w:val="000000"/>
          <w:sz w:val="20"/>
        </w:rPr>
        <w:t> </w:t>
      </w:r>
    </w:p>
    <w:p w14:paraId="309A3BB0" w14:textId="77777777" w:rsidR="00BE0373" w:rsidRDefault="003564BE">
      <w:pPr>
        <w:spacing w:line="275" w:lineRule="atLeast"/>
        <w:jc w:val="both"/>
      </w:pPr>
      <w:r>
        <w:rPr>
          <w:rFonts w:ascii="Times New Roman" w:hAnsi="Times New Roman"/>
          <w:color w:val="000000"/>
          <w:sz w:val="20"/>
        </w:rPr>
        <w:t xml:space="preserve">Beginning in 2007, however, Whirlpool restructured its Mexican operations to avoid (or at </w:t>
      </w:r>
      <w:r>
        <w:rPr>
          <w:rFonts w:ascii="Times New Roman" w:hAnsi="Times New Roman"/>
          <w:color w:val="000000"/>
          <w:sz w:val="20"/>
        </w:rPr>
        <w:t>least defer indefinitely) paying taxes on most of the income attributable to its Mexican operations. An express purpose of that restructuring, according to an internal Whirlpool PowerPoint presentation, was “[d]</w:t>
      </w:r>
      <w:proofErr w:type="spellStart"/>
      <w:r>
        <w:rPr>
          <w:rFonts w:ascii="Times New Roman" w:hAnsi="Times New Roman"/>
          <w:color w:val="000000"/>
          <w:sz w:val="20"/>
        </w:rPr>
        <w:t>eferral</w:t>
      </w:r>
      <w:proofErr w:type="spellEnd"/>
      <w:r>
        <w:rPr>
          <w:rFonts w:ascii="Times New Roman" w:hAnsi="Times New Roman"/>
          <w:color w:val="000000"/>
          <w:sz w:val="20"/>
        </w:rPr>
        <w:t xml:space="preserve"> of U.S. taxation of profits earned by</w:t>
      </w:r>
      <w:r>
        <w:rPr>
          <w:rFonts w:ascii="Times New Roman" w:hAnsi="Times New Roman"/>
          <w:color w:val="000000"/>
          <w:sz w:val="20"/>
        </w:rPr>
        <w:t xml:space="preserve"> [Whirlpool Overseas Manufacturing].” To that end, in May 2007, Whirlpool-US created Whirlpool Overseas Manufacturing (“Lux”), a wholly owned subsidiary organized under the laws of Luxembourg. (Technically, another of Whirlpool's subsidiaries, Whirlpool Lu</w:t>
      </w:r>
      <w:r>
        <w:rPr>
          <w:rFonts w:ascii="Times New Roman" w:hAnsi="Times New Roman"/>
          <w:color w:val="000000"/>
          <w:sz w:val="20"/>
        </w:rPr>
        <w:t>xembourg, owned Whirlpool Overseas Manufacturing. But Whirlpool Luxembourg was primarily a holding corporation. Thus, like the Tax Court, we disregard Whirlpool Luxembourg here.) Whirlpool also created another corporation, this time under Mexican law, call</w:t>
      </w:r>
      <w:r>
        <w:rPr>
          <w:rFonts w:ascii="Times New Roman" w:hAnsi="Times New Roman"/>
          <w:color w:val="000000"/>
          <w:sz w:val="20"/>
        </w:rPr>
        <w:t xml:space="preserve">ed Whirlpool </w:t>
      </w:r>
      <w:proofErr w:type="spellStart"/>
      <w:r>
        <w:rPr>
          <w:rFonts w:ascii="Times New Roman" w:hAnsi="Times New Roman"/>
          <w:color w:val="000000"/>
          <w:sz w:val="20"/>
        </w:rPr>
        <w:t>Internacional</w:t>
      </w:r>
      <w:proofErr w:type="spellEnd"/>
      <w:r>
        <w:rPr>
          <w:rFonts w:ascii="Times New Roman" w:hAnsi="Times New Roman"/>
          <w:color w:val="000000"/>
          <w:sz w:val="20"/>
        </w:rPr>
        <w:t xml:space="preserve"> (“WIN”), which was wholly owned by Lux. WIN had zero employees; Lux had one, who worked part-time in Luxembourg.</w:t>
      </w:r>
    </w:p>
    <w:p w14:paraId="27F09AFE" w14:textId="77777777" w:rsidR="00BE0373" w:rsidRDefault="003564BE">
      <w:pPr>
        <w:spacing w:line="275" w:lineRule="atLeast"/>
        <w:jc w:val="both"/>
      </w:pPr>
      <w:r>
        <w:rPr>
          <w:rFonts w:ascii="Times New Roman" w:hAnsi="Times New Roman"/>
          <w:color w:val="000000"/>
          <w:sz w:val="20"/>
        </w:rPr>
        <w:t> </w:t>
      </w:r>
    </w:p>
    <w:p w14:paraId="5476C3C3" w14:textId="77777777" w:rsidR="00BE0373" w:rsidRDefault="003564BE">
      <w:pPr>
        <w:spacing w:line="275" w:lineRule="atLeast"/>
        <w:jc w:val="both"/>
      </w:pPr>
      <w:r>
        <w:rPr>
          <w:rFonts w:ascii="Times New Roman" w:hAnsi="Times New Roman"/>
          <w:color w:val="000000"/>
          <w:sz w:val="20"/>
        </w:rPr>
        <w:t xml:space="preserve">Yet—on paper—Whirlpool's manufacturing operations in Mexico were conducted entirely by WIN and Lux. To that end, </w:t>
      </w:r>
      <w:proofErr w:type="spellStart"/>
      <w:r>
        <w:rPr>
          <w:rFonts w:ascii="Times New Roman" w:hAnsi="Times New Roman"/>
          <w:color w:val="000000"/>
          <w:sz w:val="20"/>
        </w:rPr>
        <w:t>I</w:t>
      </w:r>
      <w:r>
        <w:rPr>
          <w:rFonts w:ascii="Times New Roman" w:hAnsi="Times New Roman"/>
          <w:color w:val="000000"/>
          <w:sz w:val="20"/>
        </w:rPr>
        <w:t>ndustrias</w:t>
      </w:r>
      <w:proofErr w:type="spellEnd"/>
      <w:r>
        <w:rPr>
          <w:rFonts w:ascii="Times New Roman" w:hAnsi="Times New Roman"/>
          <w:color w:val="000000"/>
          <w:sz w:val="20"/>
        </w:rPr>
        <w:t xml:space="preserve"> and Commercial </w:t>
      </w:r>
      <w:proofErr w:type="spellStart"/>
      <w:r>
        <w:rPr>
          <w:rFonts w:ascii="Times New Roman" w:hAnsi="Times New Roman"/>
          <w:color w:val="000000"/>
          <w:sz w:val="20"/>
        </w:rPr>
        <w:t>Arcos</w:t>
      </w:r>
      <w:proofErr w:type="spellEnd"/>
      <w:r>
        <w:rPr>
          <w:rFonts w:ascii="Times New Roman" w:hAnsi="Times New Roman"/>
          <w:color w:val="000000"/>
          <w:sz w:val="20"/>
        </w:rPr>
        <w:t xml:space="preserve"> “subcontracted” its hourly employees (and “seconded” most of its executives) to WIN.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also sold to WIN parts and tools to manufacture the appliances, and leased to WIN the real estate (again, land and buildings) for</w:t>
      </w:r>
      <w:r>
        <w:rPr>
          <w:rFonts w:ascii="Times New Roman" w:hAnsi="Times New Roman"/>
          <w:color w:val="000000"/>
          <w:sz w:val="20"/>
        </w:rPr>
        <w:t xml:space="preserve"> Whirlpool's two factories in Mexico. Meanwhile,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sold to Lux its machinery, equipment, and title to works-in-progress (</w:t>
      </w:r>
      <w:r>
        <w:rPr>
          <w:rFonts w:ascii="Times New Roman" w:hAnsi="Times New Roman"/>
          <w:i/>
          <w:color w:val="000000"/>
          <w:sz w:val="20"/>
        </w:rPr>
        <w:t>i.e.</w:t>
      </w:r>
      <w:r>
        <w:rPr>
          <w:rFonts w:ascii="Times New Roman" w:hAnsi="Times New Roman"/>
          <w:color w:val="000000"/>
          <w:sz w:val="20"/>
        </w:rPr>
        <w:t>, unfinished appliances) at the two factories. Lux and WIN then entered into an agreement to manufacture the appliances: W</w:t>
      </w:r>
      <w:r>
        <w:rPr>
          <w:rFonts w:ascii="Times New Roman" w:hAnsi="Times New Roman"/>
          <w:color w:val="000000"/>
          <w:sz w:val="20"/>
        </w:rPr>
        <w:t xml:space="preserve">IN provided manufacturing services, using </w:t>
      </w:r>
      <w:proofErr w:type="spellStart"/>
      <w:r>
        <w:rPr>
          <w:rFonts w:ascii="Times New Roman" w:hAnsi="Times New Roman"/>
          <w:color w:val="000000"/>
          <w:sz w:val="20"/>
        </w:rPr>
        <w:t>Industrias's</w:t>
      </w:r>
      <w:proofErr w:type="spellEnd"/>
      <w:r>
        <w:rPr>
          <w:rFonts w:ascii="Times New Roman" w:hAnsi="Times New Roman"/>
          <w:color w:val="000000"/>
          <w:sz w:val="20"/>
        </w:rPr>
        <w:t xml:space="preserve"> subcontracted employees and Lux's equipment (which had been purchased from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and Lux owned all the raw materials, works-in progress, and finished goods. Lux paid WIN an arm's length fee for </w:t>
      </w:r>
      <w:r>
        <w:rPr>
          <w:rFonts w:ascii="Times New Roman" w:hAnsi="Times New Roman"/>
          <w:color w:val="000000"/>
          <w:sz w:val="20"/>
        </w:rPr>
        <w:t>WIN's manufacturing services.</w:t>
      </w:r>
    </w:p>
    <w:p w14:paraId="6B40E03C" w14:textId="77777777" w:rsidR="00BE0373" w:rsidRDefault="003564BE">
      <w:pPr>
        <w:spacing w:line="275" w:lineRule="atLeast"/>
        <w:jc w:val="both"/>
      </w:pPr>
      <w:r>
        <w:rPr>
          <w:rFonts w:ascii="Times New Roman" w:hAnsi="Times New Roman"/>
          <w:color w:val="000000"/>
          <w:sz w:val="20"/>
        </w:rPr>
        <w:t> </w:t>
      </w:r>
    </w:p>
    <w:p w14:paraId="32E75A2E" w14:textId="77777777" w:rsidR="00BE0373" w:rsidRDefault="003564BE">
      <w:pPr>
        <w:spacing w:line="275" w:lineRule="atLeast"/>
        <w:jc w:val="both"/>
      </w:pPr>
      <w:r>
        <w:rPr>
          <w:rFonts w:ascii="Times New Roman" w:hAnsi="Times New Roman"/>
          <w:color w:val="000000"/>
          <w:sz w:val="20"/>
        </w:rPr>
        <w:t>Having made an agreement with its own subsidiary (namely WIN), Lux then made one with its parent. Specifically, Lux and Whirlpool-US entered into a Manufacturing Supply Agreement, under which Lux agreed to manufacture applia</w:t>
      </w:r>
      <w:r>
        <w:rPr>
          <w:rFonts w:ascii="Times New Roman" w:hAnsi="Times New Roman"/>
          <w:color w:val="000000"/>
          <w:sz w:val="20"/>
        </w:rPr>
        <w:t>nces according to Whirlpool-US's specifications (which Lux did pursuant to its agreement with WIN); and Whirlpool-US, in turn, agreed to pay Lux “an arms' [sic] length” price for the finished appliances. The agreement further provided that Whirlpool-US wou</w:t>
      </w:r>
      <w:r>
        <w:rPr>
          <w:rFonts w:ascii="Times New Roman" w:hAnsi="Times New Roman"/>
          <w:color w:val="000000"/>
          <w:sz w:val="20"/>
        </w:rPr>
        <w:t>ld take title to the appliances as soon as they were finished—</w:t>
      </w:r>
      <w:r>
        <w:rPr>
          <w:rFonts w:ascii="Times New Roman" w:hAnsi="Times New Roman"/>
          <w:i/>
          <w:color w:val="000000"/>
          <w:sz w:val="20"/>
        </w:rPr>
        <w:t>i.e.</w:t>
      </w:r>
      <w:r>
        <w:rPr>
          <w:rFonts w:ascii="Times New Roman" w:hAnsi="Times New Roman"/>
          <w:color w:val="000000"/>
          <w:sz w:val="20"/>
        </w:rPr>
        <w:t xml:space="preserve">, while they </w:t>
      </w:r>
      <w:r>
        <w:rPr>
          <w:rFonts w:ascii="Times New Roman" w:hAnsi="Times New Roman"/>
          <w:color w:val="000000"/>
          <w:sz w:val="20"/>
        </w:rPr>
        <w:lastRenderedPageBreak/>
        <w:t>remained on the factory floor. Lux also entered into an identical agreement with Whirlpool-Mex.</w:t>
      </w:r>
    </w:p>
    <w:p w14:paraId="707B5E44" w14:textId="77777777" w:rsidR="00BE0373" w:rsidRDefault="003564BE">
      <w:pPr>
        <w:spacing w:line="275" w:lineRule="atLeast"/>
        <w:jc w:val="both"/>
      </w:pPr>
      <w:r>
        <w:rPr>
          <w:rFonts w:ascii="Times New Roman" w:hAnsi="Times New Roman"/>
          <w:color w:val="000000"/>
          <w:sz w:val="20"/>
        </w:rPr>
        <w:t> </w:t>
      </w:r>
    </w:p>
    <w:p w14:paraId="16A59716" w14:textId="77777777" w:rsidR="008C6C3A" w:rsidRDefault="003564BE" w:rsidP="008C6C3A">
      <w:pPr>
        <w:spacing w:line="275" w:lineRule="atLeast"/>
        <w:jc w:val="both"/>
        <w:rPr>
          <w:rFonts w:ascii="Times New Roman" w:hAnsi="Times New Roman"/>
          <w:color w:val="000000"/>
          <w:sz w:val="20"/>
        </w:rPr>
      </w:pPr>
      <w:r>
        <w:rPr>
          <w:rFonts w:ascii="Times New Roman" w:hAnsi="Times New Roman"/>
          <w:color w:val="000000"/>
          <w:sz w:val="20"/>
        </w:rPr>
        <w:t>Meanwhile, on the ground in Mexico, nothing changed. The same employers (</w:t>
      </w:r>
      <w:proofErr w:type="spellStart"/>
      <w:r>
        <w:rPr>
          <w:rFonts w:ascii="Times New Roman" w:hAnsi="Times New Roman"/>
          <w:color w:val="000000"/>
          <w:sz w:val="20"/>
        </w:rPr>
        <w:t>Indust</w:t>
      </w:r>
      <w:r>
        <w:rPr>
          <w:rFonts w:ascii="Times New Roman" w:hAnsi="Times New Roman"/>
          <w:color w:val="000000"/>
          <w:sz w:val="20"/>
        </w:rPr>
        <w:t>rias</w:t>
      </w:r>
      <w:proofErr w:type="spellEnd"/>
      <w:r>
        <w:rPr>
          <w:rFonts w:ascii="Times New Roman" w:hAnsi="Times New Roman"/>
          <w:color w:val="000000"/>
          <w:sz w:val="20"/>
        </w:rPr>
        <w:t xml:space="preserve"> and Commercial </w:t>
      </w:r>
      <w:proofErr w:type="spellStart"/>
      <w:r>
        <w:rPr>
          <w:rFonts w:ascii="Times New Roman" w:hAnsi="Times New Roman"/>
          <w:color w:val="000000"/>
          <w:sz w:val="20"/>
        </w:rPr>
        <w:t>Arcos</w:t>
      </w:r>
      <w:proofErr w:type="spellEnd"/>
      <w:r>
        <w:rPr>
          <w:rFonts w:ascii="Times New Roman" w:hAnsi="Times New Roman"/>
          <w:color w:val="000000"/>
          <w:sz w:val="20"/>
        </w:rPr>
        <w:t xml:space="preserve">) paid the same employees to make the same appliances in the same factories, just as before </w:t>
      </w:r>
      <w:r>
        <w:rPr>
          <w:rFonts w:ascii="Times New Roman" w:hAnsi="Times New Roman"/>
          <w:color w:val="000000"/>
          <w:sz w:val="20"/>
        </w:rPr>
        <w:t>the restructuring. Only the underlying corporate arrangements had changed.</w:t>
      </w:r>
      <w:bookmarkStart w:id="6" w:name="co_anchor_I54874651aec311ec9f1af6ade371"/>
      <w:r w:rsidR="008C6C3A">
        <w:rPr>
          <w:rFonts w:ascii="Times New Roman" w:hAnsi="Times New Roman"/>
          <w:color w:val="000000"/>
          <w:sz w:val="20"/>
        </w:rPr>
        <w:t xml:space="preserve"> </w:t>
      </w:r>
    </w:p>
    <w:p w14:paraId="03F8F73C" w14:textId="77777777" w:rsidR="008C6C3A" w:rsidRDefault="008C6C3A" w:rsidP="008C6C3A">
      <w:pPr>
        <w:spacing w:line="275" w:lineRule="atLeast"/>
        <w:jc w:val="both"/>
        <w:rPr>
          <w:rFonts w:ascii="Times New Roman" w:hAnsi="Times New Roman"/>
          <w:color w:val="000000"/>
          <w:sz w:val="20"/>
        </w:rPr>
      </w:pPr>
    </w:p>
    <w:p w14:paraId="3AC37A8F" w14:textId="72AC0979" w:rsidR="00BE0373" w:rsidRDefault="008C6C3A" w:rsidP="008C6C3A">
      <w:pPr>
        <w:spacing w:line="275" w:lineRule="atLeast"/>
        <w:jc w:val="both"/>
      </w:pP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sidR="003564BE">
        <w:rPr>
          <w:rFonts w:ascii="Times New Roman" w:hAnsi="Times New Roman"/>
          <w:color w:val="000000"/>
          <w:sz w:val="20"/>
        </w:rPr>
        <w:t>C.</w:t>
      </w:r>
      <w:r w:rsidR="0011122E">
        <w:rPr>
          <w:rFonts w:ascii="Times New Roman" w:hAnsi="Times New Roman"/>
          <w:color w:val="000000"/>
          <w:sz w:val="20"/>
        </w:rPr>
        <w:t>1.</w:t>
      </w:r>
      <w:bookmarkEnd w:id="6"/>
    </w:p>
    <w:p w14:paraId="78418EC5" w14:textId="77777777" w:rsidR="00BE0373" w:rsidRDefault="003564BE">
      <w:pPr>
        <w:spacing w:before="200" w:line="275" w:lineRule="atLeast"/>
        <w:jc w:val="both"/>
      </w:pPr>
      <w:r>
        <w:rPr>
          <w:rFonts w:ascii="Times New Roman" w:hAnsi="Times New Roman"/>
          <w:color w:val="000000"/>
          <w:sz w:val="20"/>
        </w:rPr>
        <w:t>B</w:t>
      </w:r>
      <w:r>
        <w:rPr>
          <w:rFonts w:ascii="Times New Roman" w:hAnsi="Times New Roman"/>
          <w:color w:val="000000"/>
          <w:sz w:val="20"/>
        </w:rPr>
        <w:t xml:space="preserve">ut those arrangements were hardly </w:t>
      </w:r>
      <w:r>
        <w:rPr>
          <w:rFonts w:ascii="Times New Roman" w:hAnsi="Times New Roman"/>
          <w:color w:val="000000"/>
          <w:sz w:val="20"/>
        </w:rPr>
        <w:t>arbitrary. In large part they tracked the requirements of Mexico's “Maquiladora Program,” which (among other benefits) offered reduced tax rates for “foreign principals” (</w:t>
      </w:r>
      <w:r>
        <w:rPr>
          <w:rFonts w:ascii="Times New Roman" w:hAnsi="Times New Roman"/>
          <w:i/>
          <w:color w:val="000000"/>
          <w:sz w:val="20"/>
        </w:rPr>
        <w:t>i.e.</w:t>
      </w:r>
      <w:r>
        <w:rPr>
          <w:rFonts w:ascii="Times New Roman" w:hAnsi="Times New Roman"/>
          <w:color w:val="000000"/>
          <w:sz w:val="20"/>
        </w:rPr>
        <w:t xml:space="preserve">, a foreign corporate parent) that met its requirements. To qualify, the foreign </w:t>
      </w:r>
      <w:r>
        <w:rPr>
          <w:rFonts w:ascii="Times New Roman" w:hAnsi="Times New Roman"/>
          <w:color w:val="000000"/>
          <w:sz w:val="20"/>
        </w:rPr>
        <w:t>principal (in our case Lux, a CFC of Whirlpool-US) was required to enlist a Mexican subsidiary—known as the “maquiladora” (in our case WIN)—to perform the principal's manufacturing activities at a location in Mexico. The foreign principal was also required</w:t>
      </w:r>
      <w:r>
        <w:rPr>
          <w:rFonts w:ascii="Times New Roman" w:hAnsi="Times New Roman"/>
          <w:color w:val="000000"/>
          <w:sz w:val="20"/>
        </w:rPr>
        <w:t xml:space="preserve"> to provide all the necessary raw materials; to own the component parts and works-in-progress; to take title to the finished goods; and then to export them. If those requirements were met, Mexico would tax the maquiladora at a 17% rate, rather than the usu</w:t>
      </w:r>
      <w:r>
        <w:rPr>
          <w:rFonts w:ascii="Times New Roman" w:hAnsi="Times New Roman"/>
          <w:color w:val="000000"/>
          <w:sz w:val="20"/>
        </w:rPr>
        <w:t>al 28%.</w:t>
      </w:r>
    </w:p>
    <w:p w14:paraId="060F1F12" w14:textId="77777777" w:rsidR="00BE0373" w:rsidRDefault="003564BE">
      <w:pPr>
        <w:spacing w:line="275" w:lineRule="atLeast"/>
        <w:jc w:val="both"/>
      </w:pPr>
      <w:r>
        <w:rPr>
          <w:rFonts w:ascii="Times New Roman" w:hAnsi="Times New Roman"/>
          <w:color w:val="000000"/>
          <w:sz w:val="20"/>
        </w:rPr>
        <w:t> </w:t>
      </w:r>
    </w:p>
    <w:p w14:paraId="0D27A0A0" w14:textId="77777777" w:rsidR="00BE0373" w:rsidRDefault="003564BE">
      <w:pPr>
        <w:spacing w:line="275" w:lineRule="atLeast"/>
        <w:jc w:val="both"/>
      </w:pPr>
      <w:r>
        <w:rPr>
          <w:rFonts w:ascii="Times New Roman" w:hAnsi="Times New Roman"/>
          <w:color w:val="000000"/>
          <w:sz w:val="20"/>
        </w:rPr>
        <w:t>The foreign principal could also benefit directly from the program. Normally, under Mexican law, a foreign corporation with a “permanent establishment” in Mexico—</w:t>
      </w:r>
      <w:r>
        <w:rPr>
          <w:rFonts w:ascii="Times New Roman" w:hAnsi="Times New Roman"/>
          <w:i/>
          <w:color w:val="000000"/>
          <w:sz w:val="20"/>
        </w:rPr>
        <w:t>e.g.</w:t>
      </w:r>
      <w:r>
        <w:rPr>
          <w:rFonts w:ascii="Times New Roman" w:hAnsi="Times New Roman"/>
          <w:color w:val="000000"/>
          <w:sz w:val="20"/>
        </w:rPr>
        <w:t>, a factory there—paid tax at a 28% rate on income attributable to that establis</w:t>
      </w:r>
      <w:r>
        <w:rPr>
          <w:rFonts w:ascii="Times New Roman" w:hAnsi="Times New Roman"/>
          <w:color w:val="000000"/>
          <w:sz w:val="20"/>
        </w:rPr>
        <w:t xml:space="preserve">hment (for example, profit from foreign sales of goods manufactured in Mexico). But if (among other requirements) a foreign principal paid its Mexican subsidiary an arm's length price for its manufacturing services, then Mexico would deem the principal </w:t>
      </w:r>
      <w:r>
        <w:rPr>
          <w:rFonts w:ascii="Times New Roman" w:hAnsi="Times New Roman"/>
          <w:i/>
          <w:color w:val="000000"/>
          <w:sz w:val="20"/>
        </w:rPr>
        <w:t>not</w:t>
      </w:r>
      <w:r>
        <w:rPr>
          <w:rFonts w:ascii="Times New Roman" w:hAnsi="Times New Roman"/>
          <w:color w:val="000000"/>
          <w:sz w:val="20"/>
        </w:rPr>
        <w:t xml:space="preserve"> to have a permanent establishment in Mexico—which meant that the principal would be exempt from taxation there.</w:t>
      </w:r>
    </w:p>
    <w:p w14:paraId="4449DE9C" w14:textId="77777777" w:rsidR="00BE0373" w:rsidRDefault="003564BE">
      <w:pPr>
        <w:spacing w:line="275" w:lineRule="atLeast"/>
        <w:jc w:val="both"/>
      </w:pPr>
      <w:r>
        <w:rPr>
          <w:rFonts w:ascii="Times New Roman" w:hAnsi="Times New Roman"/>
          <w:color w:val="000000"/>
          <w:sz w:val="20"/>
        </w:rPr>
        <w:t> </w:t>
      </w:r>
    </w:p>
    <w:p w14:paraId="60EDE142" w14:textId="77777777" w:rsidR="00BE0373" w:rsidRDefault="003564BE">
      <w:pPr>
        <w:spacing w:line="275" w:lineRule="atLeast"/>
        <w:jc w:val="both"/>
      </w:pPr>
      <w:r>
        <w:rPr>
          <w:rFonts w:ascii="Times New Roman" w:hAnsi="Times New Roman"/>
          <w:color w:val="000000"/>
          <w:sz w:val="20"/>
        </w:rPr>
        <w:t>Whirlpool's restructured operations in Mexico met the requirements of the Maquiladora Program. WIN performed Lux's manufacturing activities a</w:t>
      </w:r>
      <w:r>
        <w:rPr>
          <w:rFonts w:ascii="Times New Roman" w:hAnsi="Times New Roman"/>
          <w:color w:val="000000"/>
          <w:sz w:val="20"/>
        </w:rPr>
        <w:t>t two locations in Mexico; Lux owned the raw materials, parts, and works-in-progress; and Lux held title to the finished goods, which (as to most of the appliances) it immediately conveyed to Whirlpool-US. Moreover, Lux paid WIN an arm's-length price for i</w:t>
      </w:r>
      <w:r>
        <w:rPr>
          <w:rFonts w:ascii="Times New Roman" w:hAnsi="Times New Roman"/>
          <w:color w:val="000000"/>
          <w:sz w:val="20"/>
        </w:rPr>
        <w:t xml:space="preserve">ts manufacturing services, with the result that Lux paid no tax </w:t>
      </w:r>
      <w:r>
        <w:rPr>
          <w:rFonts w:ascii="Times New Roman" w:hAnsi="Times New Roman"/>
          <w:color w:val="000000"/>
          <w:sz w:val="20"/>
        </w:rPr>
        <w:t>in Mexico on its profit from sales of the finished appliances to Whirlpool-US. In 2009—the tax year at issue here—Lux's profit on those sales exceeded $45 million.</w:t>
      </w:r>
    </w:p>
    <w:p w14:paraId="20E791F8" w14:textId="77777777" w:rsidR="00BE0373" w:rsidRDefault="003564BE">
      <w:pPr>
        <w:spacing w:line="275" w:lineRule="atLeast"/>
        <w:jc w:val="both"/>
      </w:pPr>
      <w:r>
        <w:rPr>
          <w:rFonts w:ascii="Times New Roman" w:hAnsi="Times New Roman"/>
          <w:color w:val="000000"/>
          <w:sz w:val="20"/>
        </w:rPr>
        <w:t> </w:t>
      </w:r>
    </w:p>
    <w:p w14:paraId="6ED7ADA2" w14:textId="77777777" w:rsidR="00BE0373" w:rsidRDefault="003564BE">
      <w:pPr>
        <w:spacing w:before="400" w:line="275" w:lineRule="atLeast"/>
        <w:jc w:val="center"/>
      </w:pPr>
      <w:bookmarkStart w:id="7" w:name="co_anchor_I5488ccf1aec311ec9f1af6ade371"/>
      <w:r>
        <w:rPr>
          <w:rFonts w:ascii="Times New Roman" w:hAnsi="Times New Roman"/>
          <w:color w:val="000000"/>
          <w:sz w:val="20"/>
        </w:rPr>
        <w:t>2.</w:t>
      </w:r>
    </w:p>
    <w:bookmarkEnd w:id="7"/>
    <w:p w14:paraId="632D182F" w14:textId="77777777" w:rsidR="00BE0373" w:rsidRDefault="003564BE">
      <w:pPr>
        <w:spacing w:before="200" w:line="275" w:lineRule="atLeast"/>
        <w:jc w:val="both"/>
      </w:pPr>
      <w:r>
        <w:rPr>
          <w:rFonts w:ascii="Times New Roman" w:hAnsi="Times New Roman"/>
          <w:color w:val="000000"/>
          <w:sz w:val="20"/>
        </w:rPr>
        <w:t>What caught the attention of the IRS, however, was not that Lux paid no tax on that profit in Mexico, but that Lux and Whirlpool-US paid no tax on that profit at all. For there remains the curious fact that WIN's parent company was organized not in the Uni</w:t>
      </w:r>
      <w:r>
        <w:rPr>
          <w:rFonts w:ascii="Times New Roman" w:hAnsi="Times New Roman"/>
          <w:color w:val="000000"/>
          <w:sz w:val="20"/>
        </w:rPr>
        <w:t>ted States or some other country in which Whirlpool had a meaningful presence, but in Luxembourg—a country in which there occurred nothing of consequence to Whirlpool's operations save the performance of administrative tasks by a single part-time employee.</w:t>
      </w:r>
      <w:r>
        <w:rPr>
          <w:rFonts w:ascii="Times New Roman" w:hAnsi="Times New Roman"/>
          <w:color w:val="000000"/>
          <w:sz w:val="20"/>
        </w:rPr>
        <w:t xml:space="preserve"> Corporations in Luxembourg normally paid a 28% tax on their income. But Luxembourg happened to have a treaty with Mexico, under which Luxembourgian companies paid no tax in Luxembourg on income attributable to the activities of a permanent establishment i</w:t>
      </w:r>
      <w:r>
        <w:rPr>
          <w:rFonts w:ascii="Times New Roman" w:hAnsi="Times New Roman"/>
          <w:color w:val="000000"/>
          <w:sz w:val="20"/>
        </w:rPr>
        <w:t xml:space="preserve">n Mexico. </w:t>
      </w:r>
      <w:r>
        <w:rPr>
          <w:rFonts w:ascii="Times New Roman" w:hAnsi="Times New Roman"/>
          <w:i/>
          <w:color w:val="000000"/>
          <w:sz w:val="20"/>
        </w:rPr>
        <w:t>See</w:t>
      </w:r>
      <w:r>
        <w:rPr>
          <w:rFonts w:ascii="Times New Roman" w:hAnsi="Times New Roman"/>
          <w:color w:val="000000"/>
          <w:sz w:val="20"/>
        </w:rPr>
        <w:t xml:space="preserve"> Convention for the Avoidance of Double Taxation and the Prevention of Fiscal Evasion with Respect to Taxes on Income, Lux.-Mex., Feb. 7, 2001, Arts. 7(2), 23(1)(A).</w:t>
      </w:r>
    </w:p>
    <w:p w14:paraId="5405B87C" w14:textId="77777777" w:rsidR="00BE0373" w:rsidRDefault="003564BE">
      <w:pPr>
        <w:spacing w:line="275" w:lineRule="atLeast"/>
        <w:jc w:val="both"/>
      </w:pPr>
      <w:r>
        <w:rPr>
          <w:rFonts w:ascii="Times New Roman" w:hAnsi="Times New Roman"/>
          <w:color w:val="000000"/>
          <w:sz w:val="20"/>
        </w:rPr>
        <w:t> </w:t>
      </w:r>
    </w:p>
    <w:p w14:paraId="7A835F16" w14:textId="77777777" w:rsidR="00BE0373" w:rsidRDefault="003564BE">
      <w:pPr>
        <w:spacing w:line="275" w:lineRule="atLeast"/>
        <w:jc w:val="both"/>
      </w:pPr>
      <w:r>
        <w:rPr>
          <w:rFonts w:ascii="Times New Roman" w:hAnsi="Times New Roman"/>
          <w:color w:val="000000"/>
          <w:sz w:val="20"/>
        </w:rPr>
        <w:t>Lux had already obtained from Mexican authorities a determination that it d</w:t>
      </w:r>
      <w:r>
        <w:rPr>
          <w:rFonts w:ascii="Times New Roman" w:hAnsi="Times New Roman"/>
          <w:color w:val="000000"/>
          <w:sz w:val="20"/>
        </w:rPr>
        <w:t xml:space="preserve">id not have a permanent establishment in Mexico. Yet Lux represented to Luxembourgian authorities that it </w:t>
      </w:r>
      <w:r>
        <w:rPr>
          <w:rFonts w:ascii="Times New Roman" w:hAnsi="Times New Roman"/>
          <w:i/>
          <w:color w:val="000000"/>
          <w:sz w:val="20"/>
        </w:rPr>
        <w:t>did</w:t>
      </w:r>
      <w:r>
        <w:rPr>
          <w:rFonts w:ascii="Times New Roman" w:hAnsi="Times New Roman"/>
          <w:color w:val="000000"/>
          <w:sz w:val="20"/>
        </w:rPr>
        <w:t xml:space="preserve"> have a “fixed place of business” in Mexico (namely the two factories whose land and buildings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had leased to WIN); that “[t]he </w:t>
      </w:r>
      <w:bookmarkStart w:id="8" w:name="co_pp_sp_8173_949_1"/>
      <w:r>
        <w:rPr>
          <w:rFonts w:ascii="Times New Roman" w:hAnsi="Times New Roman"/>
          <w:b/>
          <w:color w:val="000000"/>
          <w:sz w:val="20"/>
        </w:rPr>
        <w:t>*949</w:t>
      </w:r>
      <w:bookmarkEnd w:id="8"/>
      <w:r>
        <w:rPr>
          <w:rFonts w:ascii="Times New Roman" w:hAnsi="Times New Roman"/>
          <w:color w:val="000000"/>
          <w:sz w:val="20"/>
        </w:rPr>
        <w:t xml:space="preserve"> peop</w:t>
      </w:r>
      <w:r>
        <w:rPr>
          <w:rFonts w:ascii="Times New Roman" w:hAnsi="Times New Roman"/>
          <w:color w:val="000000"/>
          <w:sz w:val="20"/>
        </w:rPr>
        <w:t>le located in Mexico have all the necessary powers to execute contracts in the name and on behalf of [Lux] without any need to refer to the head-office” in Luxembourg; and that, “[t]</w:t>
      </w:r>
      <w:proofErr w:type="spellStart"/>
      <w:r>
        <w:rPr>
          <w:rFonts w:ascii="Times New Roman" w:hAnsi="Times New Roman"/>
          <w:color w:val="000000"/>
          <w:sz w:val="20"/>
        </w:rPr>
        <w:t>herefore</w:t>
      </w:r>
      <w:proofErr w:type="spellEnd"/>
      <w:r>
        <w:rPr>
          <w:rFonts w:ascii="Times New Roman" w:hAnsi="Times New Roman"/>
          <w:color w:val="000000"/>
          <w:sz w:val="20"/>
        </w:rPr>
        <w:t xml:space="preserve">, [Lux] is considered </w:t>
      </w:r>
      <w:r>
        <w:rPr>
          <w:rFonts w:ascii="Times New Roman" w:hAnsi="Times New Roman"/>
          <w:i/>
          <w:color w:val="000000"/>
          <w:sz w:val="20"/>
        </w:rPr>
        <w:t>having a permanent establishment in Mexico</w:t>
      </w:r>
      <w:r>
        <w:rPr>
          <w:rFonts w:ascii="Times New Roman" w:hAnsi="Times New Roman"/>
          <w:color w:val="000000"/>
          <w:sz w:val="20"/>
        </w:rPr>
        <w:t xml:space="preserve"> a</w:t>
      </w:r>
      <w:r>
        <w:rPr>
          <w:rFonts w:ascii="Times New Roman" w:hAnsi="Times New Roman"/>
          <w:color w:val="000000"/>
          <w:sz w:val="20"/>
        </w:rPr>
        <w:t>ccording to the provisions of article 5 of the Convention between Mexico and [Luxembourg] for the avoidance of double taxation[.]” (Emphasis added.) Lux did not disclose to the Luxembourgian authorities, however, that the Mexican authorities had made the o</w:t>
      </w:r>
      <w:r>
        <w:rPr>
          <w:rFonts w:ascii="Times New Roman" w:hAnsi="Times New Roman"/>
          <w:color w:val="000000"/>
          <w:sz w:val="20"/>
        </w:rPr>
        <w:t xml:space="preserve">pposite determination—that Lux did </w:t>
      </w:r>
      <w:r>
        <w:rPr>
          <w:rFonts w:ascii="Times New Roman" w:hAnsi="Times New Roman"/>
          <w:i/>
          <w:color w:val="000000"/>
          <w:sz w:val="20"/>
        </w:rPr>
        <w:t>not</w:t>
      </w:r>
      <w:r>
        <w:rPr>
          <w:rFonts w:ascii="Times New Roman" w:hAnsi="Times New Roman"/>
          <w:color w:val="000000"/>
          <w:sz w:val="20"/>
        </w:rPr>
        <w:t xml:space="preserve"> have a permanent establishment in Mexico.</w:t>
      </w:r>
    </w:p>
    <w:p w14:paraId="1CE3BA5E" w14:textId="77777777" w:rsidR="00BE0373" w:rsidRDefault="003564BE">
      <w:pPr>
        <w:spacing w:line="275" w:lineRule="atLeast"/>
        <w:jc w:val="both"/>
      </w:pPr>
      <w:r>
        <w:rPr>
          <w:rFonts w:ascii="Times New Roman" w:hAnsi="Times New Roman"/>
          <w:color w:val="000000"/>
          <w:sz w:val="20"/>
        </w:rPr>
        <w:t> </w:t>
      </w:r>
    </w:p>
    <w:p w14:paraId="677166DD" w14:textId="77777777" w:rsidR="00BE0373" w:rsidRDefault="003564BE">
      <w:pPr>
        <w:spacing w:line="275" w:lineRule="atLeast"/>
        <w:jc w:val="both"/>
      </w:pPr>
      <w:r>
        <w:rPr>
          <w:rFonts w:ascii="Times New Roman" w:hAnsi="Times New Roman"/>
          <w:color w:val="000000"/>
          <w:sz w:val="20"/>
        </w:rPr>
        <w:t xml:space="preserve">Based on Lux's submission, the Luxembourgian authorities determined that Lux had a permanent establishment in Mexico. Lux therefore avoided not merely “double taxation” </w:t>
      </w:r>
      <w:r>
        <w:rPr>
          <w:rFonts w:ascii="Times New Roman" w:hAnsi="Times New Roman"/>
          <w:color w:val="000000"/>
          <w:sz w:val="20"/>
        </w:rPr>
        <w:lastRenderedPageBreak/>
        <w:t>in M</w:t>
      </w:r>
      <w:r>
        <w:rPr>
          <w:rFonts w:ascii="Times New Roman" w:hAnsi="Times New Roman"/>
          <w:color w:val="000000"/>
          <w:sz w:val="20"/>
        </w:rPr>
        <w:t>exico and Luxembourg on its $45 million in profits from sales of appliances to Whirlpool-US; instead, it avoided any taxation at all.</w:t>
      </w:r>
    </w:p>
    <w:p w14:paraId="04840767" w14:textId="77777777" w:rsidR="00BE0373" w:rsidRDefault="003564BE">
      <w:pPr>
        <w:spacing w:line="275" w:lineRule="atLeast"/>
        <w:jc w:val="both"/>
      </w:pPr>
      <w:r>
        <w:rPr>
          <w:rFonts w:ascii="Times New Roman" w:hAnsi="Times New Roman"/>
          <w:color w:val="000000"/>
          <w:sz w:val="20"/>
        </w:rPr>
        <w:t> </w:t>
      </w:r>
    </w:p>
    <w:p w14:paraId="581CA919" w14:textId="77777777" w:rsidR="00BE0373" w:rsidRDefault="003564BE">
      <w:pPr>
        <w:spacing w:before="400" w:line="275" w:lineRule="atLeast"/>
        <w:jc w:val="center"/>
      </w:pPr>
      <w:bookmarkStart w:id="9" w:name="co_anchor_I548a5391aec311ec9f1af6ade371"/>
      <w:r>
        <w:rPr>
          <w:rFonts w:ascii="Times New Roman" w:hAnsi="Times New Roman"/>
          <w:color w:val="000000"/>
          <w:sz w:val="20"/>
        </w:rPr>
        <w:t>3.</w:t>
      </w:r>
    </w:p>
    <w:bookmarkEnd w:id="9"/>
    <w:p w14:paraId="5E900423" w14:textId="77777777" w:rsidR="00BE0373" w:rsidRDefault="003564BE">
      <w:pPr>
        <w:spacing w:before="200" w:line="275" w:lineRule="atLeast"/>
        <w:jc w:val="both"/>
      </w:pPr>
      <w:r>
        <w:rPr>
          <w:rFonts w:ascii="Times New Roman" w:hAnsi="Times New Roman"/>
          <w:color w:val="000000"/>
          <w:sz w:val="20"/>
        </w:rPr>
        <w:t xml:space="preserve">That left the United States as a jurisdiction in which Lux might be taxed on that $45 million. But WIN elected to be </w:t>
      </w:r>
      <w:r>
        <w:rPr>
          <w:rFonts w:ascii="Times New Roman" w:hAnsi="Times New Roman"/>
          <w:color w:val="000000"/>
          <w:sz w:val="20"/>
        </w:rPr>
        <w:t xml:space="preserve">a “disregarded entity” for purposes of American tax law, </w:t>
      </w:r>
      <w:r>
        <w:rPr>
          <w:rFonts w:ascii="Times New Roman" w:hAnsi="Times New Roman"/>
          <w:i/>
          <w:color w:val="000000"/>
          <w:sz w:val="20"/>
        </w:rPr>
        <w:t>see</w:t>
      </w:r>
      <w:r>
        <w:rPr>
          <w:rFonts w:ascii="Times New Roman" w:hAnsi="Times New Roman"/>
          <w:color w:val="000000"/>
          <w:sz w:val="20"/>
        </w:rPr>
        <w:t xml:space="preserve"> </w:t>
      </w:r>
      <w:hyperlink r:id="rId11" w:anchor="co_pp_8b3b0000958a4">
        <w:r>
          <w:rPr>
            <w:rFonts w:ascii="Times New Roman" w:hAnsi="Times New Roman"/>
            <w:color w:val="000000"/>
            <w:sz w:val="20"/>
          </w:rPr>
          <w:t>26 C.F.R. § 301.7701-2(a)</w:t>
        </w:r>
      </w:hyperlink>
      <w:r>
        <w:rPr>
          <w:rFonts w:ascii="Times New Roman" w:hAnsi="Times New Roman"/>
          <w:color w:val="000000"/>
          <w:sz w:val="20"/>
        </w:rPr>
        <w:t>, meaning (as an initial matter at least) that, for those purposes, WIN would be regarded as part of Lux itself—rather than as a s</w:t>
      </w:r>
      <w:r>
        <w:rPr>
          <w:rFonts w:ascii="Times New Roman" w:hAnsi="Times New Roman"/>
          <w:color w:val="000000"/>
          <w:sz w:val="20"/>
        </w:rPr>
        <w:t xml:space="preserve">eparate entity and thus a “related person” under </w:t>
      </w:r>
      <w:hyperlink r:id="rId12" w:anchor="co_pp_e07e0000a9f57">
        <w:r>
          <w:rPr>
            <w:rFonts w:ascii="Times New Roman" w:hAnsi="Times New Roman"/>
            <w:color w:val="000000"/>
            <w:sz w:val="20"/>
          </w:rPr>
          <w:t>§ 954(d)(1)</w:t>
        </w:r>
      </w:hyperlink>
      <w:r>
        <w:rPr>
          <w:rFonts w:ascii="Times New Roman" w:hAnsi="Times New Roman"/>
          <w:color w:val="000000"/>
          <w:sz w:val="20"/>
        </w:rPr>
        <w:t>. In any event, Whirlpool Corporation represented on its 2009 tax return that none of Lux's income from its sales to Whirlpool-US (or anyone else) was FBCSI.</w:t>
      </w:r>
    </w:p>
    <w:p w14:paraId="55FBADAC" w14:textId="77777777" w:rsidR="00BE0373" w:rsidRDefault="003564BE">
      <w:pPr>
        <w:spacing w:line="275" w:lineRule="atLeast"/>
        <w:jc w:val="both"/>
      </w:pPr>
      <w:r>
        <w:rPr>
          <w:rFonts w:ascii="Times New Roman" w:hAnsi="Times New Roman"/>
          <w:color w:val="000000"/>
          <w:sz w:val="20"/>
        </w:rPr>
        <w:t> </w:t>
      </w:r>
    </w:p>
    <w:p w14:paraId="33427C19" w14:textId="77777777" w:rsidR="00BE0373" w:rsidRDefault="003564BE">
      <w:pPr>
        <w:spacing w:before="400" w:line="275" w:lineRule="atLeast"/>
        <w:jc w:val="center"/>
      </w:pPr>
      <w:bookmarkStart w:id="10" w:name="co_anchor_I548aefd1aec311ec9f1af6ade371"/>
      <w:r>
        <w:rPr>
          <w:rFonts w:ascii="Times New Roman" w:hAnsi="Times New Roman"/>
          <w:color w:val="000000"/>
          <w:sz w:val="20"/>
        </w:rPr>
        <w:t>D.</w:t>
      </w:r>
    </w:p>
    <w:bookmarkEnd w:id="10"/>
    <w:p w14:paraId="189F920B" w14:textId="77777777" w:rsidR="00BE0373" w:rsidRDefault="003564BE">
      <w:pPr>
        <w:spacing w:before="200" w:line="275" w:lineRule="atLeast"/>
        <w:jc w:val="both"/>
      </w:pPr>
      <w:r>
        <w:rPr>
          <w:rFonts w:ascii="Times New Roman" w:hAnsi="Times New Roman"/>
          <w:color w:val="000000"/>
          <w:sz w:val="20"/>
        </w:rPr>
        <w:t>The IRS thereafter disagreed with that representation and determined that Lux's 2009 sales income was FBCSI that should have been included in Whirlpool's income for that year. The IRS issued deficiency notices to Whirlpool accordingly. Whirlpool filed pet</w:t>
      </w:r>
      <w:r>
        <w:rPr>
          <w:rFonts w:ascii="Times New Roman" w:hAnsi="Times New Roman"/>
          <w:color w:val="000000"/>
          <w:sz w:val="20"/>
        </w:rPr>
        <w:t>itions in the Tax Court challenging the IRS's determination. The parties filed cross-motions for summary judgment, which the Tax Court decided in a meticulously reasoned 62-page opinion. The Tax Court granted summary judgment to neither party as to the que</w:t>
      </w:r>
      <w:r>
        <w:rPr>
          <w:rFonts w:ascii="Times New Roman" w:hAnsi="Times New Roman"/>
          <w:color w:val="000000"/>
          <w:sz w:val="20"/>
        </w:rPr>
        <w:t xml:space="preserve">stion presented under </w:t>
      </w:r>
      <w:hyperlink r:id="rId13" w:anchor="co_pp_e07e0000a9f57">
        <w:r>
          <w:rPr>
            <w:rFonts w:ascii="Times New Roman" w:hAnsi="Times New Roman"/>
            <w:color w:val="000000"/>
            <w:sz w:val="20"/>
          </w:rPr>
          <w:t>§ 954(d)(1)</w:t>
        </w:r>
      </w:hyperlink>
      <w:r>
        <w:rPr>
          <w:rFonts w:ascii="Times New Roman" w:hAnsi="Times New Roman"/>
          <w:color w:val="000000"/>
          <w:sz w:val="20"/>
        </w:rPr>
        <w:t xml:space="preserve">, holding that genuine issues of material fact existed as to the application of that provision. But the Tax Court granted summary judgment to the Commissioner under </w:t>
      </w:r>
      <w:hyperlink r:id="rId14" w:anchor="co_pp_4be3000003be5">
        <w:r>
          <w:rPr>
            <w:rFonts w:ascii="Times New Roman" w:hAnsi="Times New Roman"/>
            <w:color w:val="000000"/>
            <w:sz w:val="20"/>
          </w:rPr>
          <w:t>§ 954(d)(2)</w:t>
        </w:r>
      </w:hyperlink>
      <w:r>
        <w:rPr>
          <w:rFonts w:ascii="Times New Roman" w:hAnsi="Times New Roman"/>
          <w:color w:val="000000"/>
          <w:sz w:val="20"/>
        </w:rPr>
        <w:t xml:space="preserve">, holding that “the bare text of the statute, literally read, indicates that [Lux's] sales income is FBCSI that must be included in petitioners' income under subpart F.” Op. at 40. The court also determined that the IRS's implementing </w:t>
      </w:r>
      <w:r>
        <w:rPr>
          <w:rFonts w:ascii="Times New Roman" w:hAnsi="Times New Roman"/>
          <w:color w:val="000000"/>
          <w:sz w:val="20"/>
        </w:rPr>
        <w:t>regulations “yield the same result by a more complicated process.” Op. at 42. The Tax Court therefore entered orders upholding the deficiencies.</w:t>
      </w:r>
    </w:p>
    <w:p w14:paraId="3CB263FF" w14:textId="77777777" w:rsidR="00BE0373" w:rsidRDefault="003564BE">
      <w:pPr>
        <w:spacing w:line="275" w:lineRule="atLeast"/>
        <w:jc w:val="both"/>
      </w:pPr>
      <w:r>
        <w:rPr>
          <w:rFonts w:ascii="Times New Roman" w:hAnsi="Times New Roman"/>
          <w:color w:val="000000"/>
          <w:sz w:val="20"/>
        </w:rPr>
        <w:t> </w:t>
      </w:r>
    </w:p>
    <w:p w14:paraId="22B309BA" w14:textId="77777777" w:rsidR="00BE0373" w:rsidRDefault="003564BE">
      <w:pPr>
        <w:spacing w:line="275" w:lineRule="atLeast"/>
        <w:jc w:val="both"/>
      </w:pPr>
      <w:r>
        <w:rPr>
          <w:rFonts w:ascii="Times New Roman" w:hAnsi="Times New Roman"/>
          <w:color w:val="000000"/>
          <w:sz w:val="20"/>
        </w:rPr>
        <w:t>This appeal followed.</w:t>
      </w:r>
    </w:p>
    <w:p w14:paraId="4988E11D" w14:textId="77777777" w:rsidR="00BE0373" w:rsidRDefault="003564BE">
      <w:pPr>
        <w:spacing w:line="275" w:lineRule="atLeast"/>
        <w:jc w:val="both"/>
      </w:pPr>
      <w:r>
        <w:rPr>
          <w:rFonts w:ascii="Times New Roman" w:hAnsi="Times New Roman"/>
          <w:color w:val="000000"/>
          <w:sz w:val="20"/>
        </w:rPr>
        <w:t> </w:t>
      </w:r>
    </w:p>
    <w:p w14:paraId="2330E663" w14:textId="77777777" w:rsidR="00BE0373" w:rsidRDefault="003564BE">
      <w:pPr>
        <w:spacing w:before="400" w:line="275" w:lineRule="atLeast"/>
        <w:jc w:val="center"/>
      </w:pPr>
      <w:bookmarkStart w:id="11" w:name="co_anchor_I548c0141aec311ec9f1af6ade371"/>
      <w:r>
        <w:rPr>
          <w:rFonts w:ascii="Times New Roman" w:hAnsi="Times New Roman"/>
          <w:color w:val="000000"/>
          <w:sz w:val="20"/>
        </w:rPr>
        <w:t>II.</w:t>
      </w:r>
    </w:p>
    <w:p w14:paraId="26031711" w14:textId="77777777" w:rsidR="00BE0373" w:rsidRDefault="003564BE">
      <w:pPr>
        <w:spacing w:before="200" w:line="275" w:lineRule="atLeast"/>
        <w:jc w:val="both"/>
      </w:pPr>
      <w:bookmarkStart w:id="12" w:name="co_anchor_B12055116179_1"/>
      <w:bookmarkStart w:id="13" w:name="co_anchor_B22055116179_1"/>
      <w:bookmarkEnd w:id="11"/>
      <w:bookmarkEnd w:id="12"/>
      <w:bookmarkEnd w:id="13"/>
      <w:r>
        <w:rPr>
          <w:rFonts w:ascii="Times New Roman" w:hAnsi="Times New Roman"/>
          <w:color w:val="000000"/>
          <w:sz w:val="20"/>
        </w:rPr>
        <w:t xml:space="preserve">We review de novo the Tax Court's grant of summary judgment in favor of the IRS. </w:t>
      </w:r>
      <w:r>
        <w:rPr>
          <w:rFonts w:ascii="Times New Roman" w:hAnsi="Times New Roman"/>
          <w:i/>
          <w:color w:val="000000"/>
          <w:sz w:val="20"/>
        </w:rPr>
        <w:t xml:space="preserve">See </w:t>
      </w:r>
      <w:hyperlink r:id="rId15" w:anchor="co_pp_sp_506_492">
        <w:r>
          <w:rPr>
            <w:rFonts w:ascii="Times New Roman" w:hAnsi="Times New Roman"/>
            <w:i/>
            <w:color w:val="000000"/>
            <w:sz w:val="20"/>
          </w:rPr>
          <w:t>Golden v. Comm'r of Internal Revenue</w:t>
        </w:r>
        <w:r>
          <w:rPr>
            <w:rFonts w:ascii="Times New Roman" w:hAnsi="Times New Roman"/>
            <w:color w:val="000000"/>
            <w:sz w:val="20"/>
          </w:rPr>
          <w:t>, 548 F.3d 487, 492 (6th Cir. 2008)</w:t>
        </w:r>
      </w:hyperlink>
      <w:r>
        <w:rPr>
          <w:rFonts w:ascii="Times New Roman" w:hAnsi="Times New Roman"/>
          <w:color w:val="000000"/>
          <w:sz w:val="20"/>
        </w:rPr>
        <w:t>. Absent some ambiguity incapable of resolution</w:t>
      </w:r>
      <w:r>
        <w:rPr>
          <w:rFonts w:ascii="Times New Roman" w:hAnsi="Times New Roman"/>
          <w:color w:val="000000"/>
          <w:sz w:val="20"/>
        </w:rPr>
        <w:t xml:space="preserve"> by means of all the tools of statutory construction, we give effect to our interpretation of the statute without regard to any divergent interpretations offered by the agency. </w:t>
      </w:r>
      <w:r>
        <w:rPr>
          <w:rFonts w:ascii="Times New Roman" w:hAnsi="Times New Roman"/>
          <w:i/>
          <w:color w:val="000000"/>
          <w:sz w:val="20"/>
        </w:rPr>
        <w:t xml:space="preserve">See </w:t>
      </w:r>
      <w:hyperlink r:id="rId16" w:anchor="co_pp_sp_506_489">
        <w:r>
          <w:rPr>
            <w:rFonts w:ascii="Times New Roman" w:hAnsi="Times New Roman"/>
            <w:i/>
            <w:color w:val="000000"/>
            <w:sz w:val="20"/>
          </w:rPr>
          <w:t>Montgomery County v. F</w:t>
        </w:r>
        <w:r>
          <w:rPr>
            <w:rFonts w:ascii="Times New Roman" w:hAnsi="Times New Roman"/>
            <w:i/>
            <w:color w:val="000000"/>
            <w:sz w:val="20"/>
          </w:rPr>
          <w:t>.C.C.</w:t>
        </w:r>
        <w:r>
          <w:rPr>
            <w:rFonts w:ascii="Times New Roman" w:hAnsi="Times New Roman"/>
            <w:color w:val="000000"/>
            <w:sz w:val="20"/>
          </w:rPr>
          <w:t>, 863 F.3d 485, 489 (6th Cir. 2017)</w:t>
        </w:r>
      </w:hyperlink>
      <w:r>
        <w:rPr>
          <w:rFonts w:ascii="Times New Roman" w:hAnsi="Times New Roman"/>
          <w:color w:val="000000"/>
          <w:sz w:val="20"/>
        </w:rPr>
        <w:t>. There is no such ambiguity here.</w:t>
      </w:r>
    </w:p>
    <w:p w14:paraId="5F98BC5E" w14:textId="77777777" w:rsidR="00BE0373" w:rsidRDefault="003564BE">
      <w:pPr>
        <w:spacing w:line="275" w:lineRule="atLeast"/>
        <w:jc w:val="both"/>
      </w:pPr>
      <w:r>
        <w:rPr>
          <w:rFonts w:ascii="Times New Roman" w:hAnsi="Times New Roman"/>
          <w:color w:val="000000"/>
          <w:sz w:val="20"/>
        </w:rPr>
        <w:t> </w:t>
      </w:r>
    </w:p>
    <w:p w14:paraId="017F5026" w14:textId="77777777" w:rsidR="00BE0373" w:rsidRDefault="003564BE">
      <w:pPr>
        <w:spacing w:before="400" w:line="275" w:lineRule="atLeast"/>
        <w:jc w:val="center"/>
      </w:pPr>
      <w:bookmarkStart w:id="14" w:name="co_anchor_I548cc491aec311ec9f1af6ade371"/>
      <w:r>
        <w:rPr>
          <w:rFonts w:ascii="Times New Roman" w:hAnsi="Times New Roman"/>
          <w:color w:val="000000"/>
          <w:sz w:val="20"/>
        </w:rPr>
        <w:t>A.</w:t>
      </w:r>
    </w:p>
    <w:p w14:paraId="0C3267CC" w14:textId="77777777" w:rsidR="00BE0373" w:rsidRDefault="003564BE">
      <w:pPr>
        <w:spacing w:before="200" w:line="275" w:lineRule="atLeast"/>
        <w:jc w:val="both"/>
      </w:pPr>
      <w:bookmarkStart w:id="15" w:name="co_anchor_B32055116179_1"/>
      <w:bookmarkEnd w:id="14"/>
      <w:bookmarkEnd w:id="15"/>
      <w:r>
        <w:rPr>
          <w:rFonts w:ascii="Times New Roman" w:hAnsi="Times New Roman"/>
          <w:color w:val="000000"/>
          <w:sz w:val="20"/>
        </w:rPr>
        <w:t xml:space="preserve">The question presented is whether Lux's income from its sales of appliances to Whirlpool-US and Whirlpool-Mexico in 2009 is FBCSI under </w:t>
      </w:r>
      <w:hyperlink r:id="rId17" w:anchor="co_pp_4be3000003be5">
        <w:r>
          <w:rPr>
            <w:rFonts w:ascii="Times New Roman" w:hAnsi="Times New Roman"/>
            <w:color w:val="000000"/>
            <w:sz w:val="20"/>
          </w:rPr>
          <w:t>§ 954(</w:t>
        </w:r>
        <w:r>
          <w:rPr>
            <w:rFonts w:ascii="Times New Roman" w:hAnsi="Times New Roman"/>
            <w:color w:val="000000"/>
            <w:sz w:val="20"/>
          </w:rPr>
          <w:t>d)(2)</w:t>
        </w:r>
      </w:hyperlink>
      <w:r>
        <w:rPr>
          <w:rFonts w:ascii="Times New Roman" w:hAnsi="Times New Roman"/>
          <w:color w:val="000000"/>
          <w:sz w:val="20"/>
        </w:rPr>
        <w:t>. That provision provides in full:</w:t>
      </w:r>
    </w:p>
    <w:p w14:paraId="04C4B41D" w14:textId="77777777" w:rsidR="00BE0373" w:rsidRDefault="003564BE">
      <w:pPr>
        <w:spacing w:before="200" w:line="275" w:lineRule="atLeast"/>
        <w:ind w:left="480" w:right="480"/>
        <w:jc w:val="both"/>
      </w:pPr>
      <w:bookmarkStart w:id="16" w:name="co_pp_sp_8173_950_1"/>
      <w:r>
        <w:rPr>
          <w:rFonts w:ascii="Times New Roman" w:hAnsi="Times New Roman"/>
          <w:b/>
          <w:color w:val="000000"/>
          <w:sz w:val="20"/>
        </w:rPr>
        <w:t>*950</w:t>
      </w:r>
      <w:bookmarkEnd w:id="16"/>
      <w:r>
        <w:rPr>
          <w:rFonts w:ascii="Times New Roman" w:hAnsi="Times New Roman"/>
          <w:color w:val="000000"/>
          <w:sz w:val="20"/>
        </w:rPr>
        <w:t xml:space="preserve"> </w:t>
      </w:r>
      <w:r>
        <w:rPr>
          <w:rFonts w:ascii="Times New Roman" w:hAnsi="Times New Roman"/>
          <w:b/>
          <w:color w:val="000000"/>
          <w:sz w:val="20"/>
        </w:rPr>
        <w:t>Certain branch income.</w:t>
      </w:r>
      <w:r>
        <w:rPr>
          <w:rFonts w:ascii="Times New Roman" w:hAnsi="Times New Roman"/>
          <w:color w:val="000000"/>
          <w:sz w:val="20"/>
        </w:rPr>
        <w:t xml:space="preserve"> For purposes of determining foreign base company sales income in situations in which the carrying on of activities by a controlled foreign corporation through a branch or similar establishment outside the country of incorporation of the controlled foreign</w:t>
      </w:r>
      <w:r>
        <w:rPr>
          <w:rFonts w:ascii="Times New Roman" w:hAnsi="Times New Roman"/>
          <w:color w:val="000000"/>
          <w:sz w:val="20"/>
        </w:rPr>
        <w:t xml:space="preserve"> corporation has substantially the same effect as if such branch or similar establishment were a wholly owned subsidiary corporation deriving such income, under regulations prescribed by the Secretary the income attributable to the carrying on of such bran</w:t>
      </w:r>
      <w:r>
        <w:rPr>
          <w:rFonts w:ascii="Times New Roman" w:hAnsi="Times New Roman"/>
          <w:color w:val="000000"/>
          <w:sz w:val="20"/>
        </w:rPr>
        <w:t>ch or similar establishment shall be treated as income derived by a wholly owned subsidiary of the controlled foreign corporation and shall constitute foreign base company sales income of the controlled foreign corporation.</w:t>
      </w:r>
    </w:p>
    <w:p w14:paraId="093E6197" w14:textId="77777777" w:rsidR="00BE0373" w:rsidRDefault="003564BE">
      <w:pPr>
        <w:spacing w:line="275" w:lineRule="atLeast"/>
        <w:jc w:val="both"/>
      </w:pPr>
      <w:r>
        <w:rPr>
          <w:rFonts w:ascii="Times New Roman" w:hAnsi="Times New Roman"/>
          <w:color w:val="000000"/>
          <w:sz w:val="20"/>
        </w:rPr>
        <w:t> </w:t>
      </w:r>
    </w:p>
    <w:p w14:paraId="39329DA8" w14:textId="77777777" w:rsidR="00BE0373" w:rsidRDefault="003564BE">
      <w:pPr>
        <w:spacing w:line="275" w:lineRule="atLeast"/>
        <w:jc w:val="both"/>
      </w:pPr>
      <w:r>
        <w:rPr>
          <w:rFonts w:ascii="Times New Roman" w:hAnsi="Times New Roman"/>
          <w:color w:val="000000"/>
          <w:sz w:val="20"/>
        </w:rPr>
        <w:t>As the Tax Court aptly observe</w:t>
      </w:r>
      <w:r>
        <w:rPr>
          <w:rFonts w:ascii="Times New Roman" w:hAnsi="Times New Roman"/>
          <w:color w:val="000000"/>
          <w:sz w:val="20"/>
        </w:rPr>
        <w:t xml:space="preserve">d, </w:t>
      </w:r>
      <w:hyperlink r:id="rId18" w:anchor="co_pp_4be3000003be5">
        <w:r>
          <w:rPr>
            <w:rFonts w:ascii="Times New Roman" w:hAnsi="Times New Roman"/>
            <w:color w:val="000000"/>
            <w:sz w:val="20"/>
          </w:rPr>
          <w:t>§ 954(d)(2)</w:t>
        </w:r>
      </w:hyperlink>
      <w:r>
        <w:rPr>
          <w:rFonts w:ascii="Times New Roman" w:hAnsi="Times New Roman"/>
          <w:color w:val="000000"/>
          <w:sz w:val="20"/>
        </w:rPr>
        <w:t xml:space="preserve"> consists of a single (nearly interminable) sentence that specifies two conditions and then two consequences that follow if those conditions are met. The first condition is that the CFC was “carrying on” acti</w:t>
      </w:r>
      <w:r>
        <w:rPr>
          <w:rFonts w:ascii="Times New Roman" w:hAnsi="Times New Roman"/>
          <w:color w:val="000000"/>
          <w:sz w:val="20"/>
        </w:rPr>
        <w:t>vities “through a branch or similar establishment” outside its country of incorporation. The second condition is that the branch arrangement had “substantially the same effect as if such branch were a wholly owned subsidiary corporation [of the CFC] derivi</w:t>
      </w:r>
      <w:r>
        <w:rPr>
          <w:rFonts w:ascii="Times New Roman" w:hAnsi="Times New Roman"/>
          <w:color w:val="000000"/>
          <w:sz w:val="20"/>
        </w:rPr>
        <w:t xml:space="preserve">ng such income[.]” If those conditions are met, then two consequences follow as to “the income attributable to” the </w:t>
      </w:r>
      <w:r>
        <w:rPr>
          <w:rFonts w:ascii="Times New Roman" w:hAnsi="Times New Roman"/>
          <w:color w:val="000000"/>
          <w:sz w:val="20"/>
        </w:rPr>
        <w:lastRenderedPageBreak/>
        <w:t>branch's activities: first, that income “shall be treated as income derived by a wholly owned subsidiary of the controlled foreign corporati</w:t>
      </w:r>
      <w:r>
        <w:rPr>
          <w:rFonts w:ascii="Times New Roman" w:hAnsi="Times New Roman"/>
          <w:color w:val="000000"/>
          <w:sz w:val="20"/>
        </w:rPr>
        <w:t xml:space="preserve">on”; and second, the income attributable to the branch's activities “shall constitute foreign base company sales income of the controlled foreign corporation.” </w:t>
      </w:r>
      <w:hyperlink r:id="rId19" w:anchor="co_pp_4be3000003be5">
        <w:r>
          <w:rPr>
            <w:rFonts w:ascii="Times New Roman" w:hAnsi="Times New Roman"/>
            <w:color w:val="000000"/>
            <w:sz w:val="20"/>
          </w:rPr>
          <w:t>26 U.S.C. § 954(d)(2)</w:t>
        </w:r>
      </w:hyperlink>
      <w:r>
        <w:rPr>
          <w:rFonts w:ascii="Times New Roman" w:hAnsi="Times New Roman"/>
          <w:color w:val="000000"/>
          <w:sz w:val="20"/>
        </w:rPr>
        <w:t>.</w:t>
      </w:r>
    </w:p>
    <w:p w14:paraId="65D71646" w14:textId="77777777" w:rsidR="00BE0373" w:rsidRDefault="003564BE">
      <w:pPr>
        <w:spacing w:line="275" w:lineRule="atLeast"/>
        <w:jc w:val="both"/>
      </w:pPr>
      <w:r>
        <w:rPr>
          <w:rFonts w:ascii="Times New Roman" w:hAnsi="Times New Roman"/>
          <w:color w:val="000000"/>
          <w:sz w:val="20"/>
        </w:rPr>
        <w:t> </w:t>
      </w:r>
    </w:p>
    <w:p w14:paraId="077E74AB" w14:textId="77777777" w:rsidR="00BE0373" w:rsidRDefault="003564BE">
      <w:pPr>
        <w:spacing w:before="400" w:line="275" w:lineRule="atLeast"/>
        <w:jc w:val="center"/>
      </w:pPr>
      <w:bookmarkStart w:id="17" w:name="co_anchor_I548e4b31aec311ec9f1af6ade371"/>
      <w:r>
        <w:rPr>
          <w:rFonts w:ascii="Times New Roman" w:hAnsi="Times New Roman"/>
          <w:color w:val="000000"/>
          <w:sz w:val="20"/>
        </w:rPr>
        <w:t>1.</w:t>
      </w:r>
    </w:p>
    <w:bookmarkEnd w:id="17"/>
    <w:p w14:paraId="194E738E" w14:textId="77777777" w:rsidR="00BE0373" w:rsidRDefault="003564BE">
      <w:pPr>
        <w:spacing w:before="200" w:line="275" w:lineRule="atLeast"/>
        <w:jc w:val="both"/>
      </w:pPr>
      <w:r>
        <w:rPr>
          <w:rFonts w:ascii="Times New Roman" w:hAnsi="Times New Roman"/>
          <w:color w:val="000000"/>
          <w:sz w:val="20"/>
        </w:rPr>
        <w:t xml:space="preserve">We begin with the conditions. The </w:t>
      </w:r>
      <w:r>
        <w:rPr>
          <w:rFonts w:ascii="Times New Roman" w:hAnsi="Times New Roman"/>
          <w:color w:val="000000"/>
          <w:sz w:val="20"/>
        </w:rPr>
        <w:t>first condition—that Lux “</w:t>
      </w:r>
      <w:proofErr w:type="spellStart"/>
      <w:r>
        <w:rPr>
          <w:rFonts w:ascii="Times New Roman" w:hAnsi="Times New Roman"/>
          <w:color w:val="000000"/>
          <w:sz w:val="20"/>
        </w:rPr>
        <w:t>carr</w:t>
      </w:r>
      <w:proofErr w:type="spellEnd"/>
      <w:r>
        <w:rPr>
          <w:rFonts w:ascii="Times New Roman" w:hAnsi="Times New Roman"/>
          <w:color w:val="000000"/>
          <w:sz w:val="20"/>
        </w:rPr>
        <w:t>[</w:t>
      </w:r>
      <w:proofErr w:type="spellStart"/>
      <w:r>
        <w:rPr>
          <w:rFonts w:ascii="Times New Roman" w:hAnsi="Times New Roman"/>
          <w:color w:val="000000"/>
          <w:sz w:val="20"/>
        </w:rPr>
        <w:t>ied</w:t>
      </w:r>
      <w:proofErr w:type="spellEnd"/>
      <w:r>
        <w:rPr>
          <w:rFonts w:ascii="Times New Roman" w:hAnsi="Times New Roman"/>
          <w:color w:val="000000"/>
          <w:sz w:val="20"/>
        </w:rPr>
        <w:t>] on” activities “through a branch or similar establishment” outside its country of incorporation—is undisputedly met here. Lux (the CFC) was a Luxembourgian corporation acting through WIN in Mexico; and WIN itself, throug</w:t>
      </w:r>
      <w:r>
        <w:rPr>
          <w:rFonts w:ascii="Times New Roman" w:hAnsi="Times New Roman"/>
          <w:color w:val="000000"/>
          <w:sz w:val="20"/>
        </w:rPr>
        <w:t>h its disregarded-entity election in 2009, asked to be treated as a branch (rather than a subsidiary) of Lux for federal tax purposes.</w:t>
      </w:r>
    </w:p>
    <w:p w14:paraId="71B3C13C" w14:textId="77777777" w:rsidR="00BE0373" w:rsidRDefault="003564BE">
      <w:pPr>
        <w:spacing w:line="275" w:lineRule="atLeast"/>
        <w:jc w:val="both"/>
      </w:pPr>
      <w:r>
        <w:rPr>
          <w:rFonts w:ascii="Times New Roman" w:hAnsi="Times New Roman"/>
          <w:color w:val="000000"/>
          <w:sz w:val="20"/>
        </w:rPr>
        <w:t> </w:t>
      </w:r>
    </w:p>
    <w:p w14:paraId="180912E9" w14:textId="77777777" w:rsidR="00BE0373" w:rsidRDefault="003564BE">
      <w:pPr>
        <w:spacing w:line="275" w:lineRule="atLeast"/>
        <w:jc w:val="both"/>
      </w:pPr>
      <w:r>
        <w:rPr>
          <w:rFonts w:ascii="Times New Roman" w:hAnsi="Times New Roman"/>
          <w:color w:val="000000"/>
          <w:sz w:val="20"/>
        </w:rPr>
        <w:t xml:space="preserve">To meet the second condition, the branch arrangement must have had “substantially the same effect as if such branch or </w:t>
      </w:r>
      <w:r>
        <w:rPr>
          <w:rFonts w:ascii="Times New Roman" w:hAnsi="Times New Roman"/>
          <w:color w:val="000000"/>
          <w:sz w:val="20"/>
        </w:rPr>
        <w:t xml:space="preserve">similar establishment were a wholly owned subsidiary deriving” the income attributable to the branch's activities. </w:t>
      </w:r>
      <w:r>
        <w:rPr>
          <w:rFonts w:ascii="Times New Roman" w:hAnsi="Times New Roman"/>
          <w:i/>
          <w:color w:val="000000"/>
          <w:sz w:val="20"/>
        </w:rPr>
        <w:t>Id</w:t>
      </w:r>
      <w:r>
        <w:rPr>
          <w:rFonts w:ascii="Times New Roman" w:hAnsi="Times New Roman"/>
          <w:color w:val="000000"/>
          <w:sz w:val="20"/>
        </w:rPr>
        <w:t>. The meaning of that phrase presents the principal interpretive question in this appeal.</w:t>
      </w:r>
    </w:p>
    <w:p w14:paraId="2F272EB7" w14:textId="77777777" w:rsidR="00BE0373" w:rsidRDefault="003564BE">
      <w:pPr>
        <w:spacing w:line="275" w:lineRule="atLeast"/>
        <w:jc w:val="both"/>
      </w:pPr>
      <w:r>
        <w:rPr>
          <w:rFonts w:ascii="Times New Roman" w:hAnsi="Times New Roman"/>
          <w:color w:val="000000"/>
          <w:sz w:val="20"/>
        </w:rPr>
        <w:t> </w:t>
      </w:r>
    </w:p>
    <w:p w14:paraId="0D37F38E" w14:textId="77777777" w:rsidR="00BE0373" w:rsidRDefault="003564BE">
      <w:pPr>
        <w:spacing w:line="275" w:lineRule="atLeast"/>
        <w:jc w:val="both"/>
      </w:pPr>
      <w:bookmarkStart w:id="18" w:name="co_anchor_B42055116179_1"/>
      <w:bookmarkEnd w:id="18"/>
      <w:r>
        <w:rPr>
          <w:rFonts w:ascii="Times New Roman" w:hAnsi="Times New Roman"/>
          <w:color w:val="000000"/>
          <w:sz w:val="20"/>
        </w:rPr>
        <w:t>We construe statutory text as it would have bee</w:t>
      </w:r>
      <w:r>
        <w:rPr>
          <w:rFonts w:ascii="Times New Roman" w:hAnsi="Times New Roman"/>
          <w:color w:val="000000"/>
          <w:sz w:val="20"/>
        </w:rPr>
        <w:t xml:space="preserve">n understood “at the time Congress enacted the statute.” </w:t>
      </w:r>
      <w:hyperlink r:id="rId20" w:anchor="co_pp_sp_708_2070">
        <w:r>
          <w:rPr>
            <w:rFonts w:ascii="Times New Roman" w:hAnsi="Times New Roman"/>
            <w:i/>
            <w:color w:val="000000"/>
            <w:sz w:val="20"/>
          </w:rPr>
          <w:t>Wisconsin Central Ltd. v. U.S.</w:t>
        </w:r>
        <w:r>
          <w:rPr>
            <w:rFonts w:ascii="Times New Roman" w:hAnsi="Times New Roman"/>
            <w:color w:val="000000"/>
            <w:sz w:val="20"/>
          </w:rPr>
          <w:t xml:space="preserve">, ––– U.S. ––––, 138 </w:t>
        </w:r>
        <w:proofErr w:type="spellStart"/>
        <w:r>
          <w:rPr>
            <w:rFonts w:ascii="Times New Roman" w:hAnsi="Times New Roman"/>
            <w:color w:val="000000"/>
            <w:sz w:val="20"/>
          </w:rPr>
          <w:t>S.Ct</w:t>
        </w:r>
        <w:proofErr w:type="spellEnd"/>
        <w:r>
          <w:rPr>
            <w:rFonts w:ascii="Times New Roman" w:hAnsi="Times New Roman"/>
            <w:color w:val="000000"/>
            <w:sz w:val="20"/>
          </w:rPr>
          <w:t>. 2067, 2070, 201 L.Ed.2d 490 (2018)</w:t>
        </w:r>
      </w:hyperlink>
      <w:r>
        <w:rPr>
          <w:rFonts w:ascii="Times New Roman" w:hAnsi="Times New Roman"/>
          <w:color w:val="000000"/>
          <w:sz w:val="20"/>
        </w:rPr>
        <w:t xml:space="preserve"> (cleaned up). And “when a statute, like this one, is</w:t>
      </w:r>
      <w:r>
        <w:rPr>
          <w:rFonts w:ascii="Times New Roman" w:hAnsi="Times New Roman"/>
          <w:color w:val="000000"/>
          <w:sz w:val="20"/>
        </w:rPr>
        <w:t xml:space="preserve"> ‘addressing a technical subject, a specialized meaning is to be expected.</w:t>
      </w:r>
      <w:proofErr w:type="gramStart"/>
      <w:r>
        <w:rPr>
          <w:rFonts w:ascii="Times New Roman" w:hAnsi="Times New Roman"/>
          <w:color w:val="000000"/>
          <w:sz w:val="20"/>
        </w:rPr>
        <w:t>’ ”</w:t>
      </w:r>
      <w:proofErr w:type="gramEnd"/>
      <w:r>
        <w:rPr>
          <w:rFonts w:ascii="Times New Roman" w:hAnsi="Times New Roman"/>
          <w:color w:val="000000"/>
          <w:sz w:val="20"/>
        </w:rPr>
        <w:t xml:space="preserve"> </w:t>
      </w:r>
      <w:hyperlink r:id="rId21" w:anchor="co_pp_sp_708_1658">
        <w:r>
          <w:rPr>
            <w:rFonts w:ascii="Times New Roman" w:hAnsi="Times New Roman"/>
            <w:i/>
            <w:color w:val="000000"/>
            <w:sz w:val="20"/>
          </w:rPr>
          <w:t>Van Buren v. United States</w:t>
        </w:r>
        <w:r>
          <w:rPr>
            <w:rFonts w:ascii="Times New Roman" w:hAnsi="Times New Roman"/>
            <w:color w:val="000000"/>
            <w:sz w:val="20"/>
          </w:rPr>
          <w:t xml:space="preserve">, ––– U.S. ––––, 141 </w:t>
        </w:r>
        <w:proofErr w:type="spellStart"/>
        <w:r>
          <w:rPr>
            <w:rFonts w:ascii="Times New Roman" w:hAnsi="Times New Roman"/>
            <w:color w:val="000000"/>
            <w:sz w:val="20"/>
          </w:rPr>
          <w:t>S.Ct</w:t>
        </w:r>
        <w:proofErr w:type="spellEnd"/>
        <w:r>
          <w:rPr>
            <w:rFonts w:ascii="Times New Roman" w:hAnsi="Times New Roman"/>
            <w:color w:val="000000"/>
            <w:sz w:val="20"/>
          </w:rPr>
          <w:t>. 1648, 1658 n.7, 210 L.Ed.2d 26 (2021)</w:t>
        </w:r>
      </w:hyperlink>
      <w:r>
        <w:rPr>
          <w:rFonts w:ascii="Times New Roman" w:hAnsi="Times New Roman"/>
          <w:color w:val="000000"/>
          <w:sz w:val="20"/>
        </w:rPr>
        <w:t xml:space="preserve"> (cleaned up) (quoting Scalia &amp; G</w:t>
      </w:r>
      <w:r>
        <w:rPr>
          <w:rFonts w:ascii="Times New Roman" w:hAnsi="Times New Roman"/>
          <w:color w:val="000000"/>
          <w:sz w:val="20"/>
        </w:rPr>
        <w:t xml:space="preserve">arner, </w:t>
      </w:r>
      <w:r>
        <w:rPr>
          <w:rFonts w:ascii="Times New Roman" w:hAnsi="Times New Roman"/>
          <w:i/>
          <w:color w:val="000000"/>
          <w:sz w:val="20"/>
        </w:rPr>
        <w:t>Reading Law</w:t>
      </w:r>
      <w:r>
        <w:rPr>
          <w:rFonts w:ascii="Times New Roman" w:hAnsi="Times New Roman"/>
          <w:color w:val="000000"/>
          <w:sz w:val="20"/>
        </w:rPr>
        <w:t xml:space="preserve"> 73 (2012)). Thus we ask what </w:t>
      </w:r>
      <w:proofErr w:type="gramStart"/>
      <w:r>
        <w:rPr>
          <w:rFonts w:ascii="Times New Roman" w:hAnsi="Times New Roman"/>
          <w:color w:val="000000"/>
          <w:sz w:val="20"/>
        </w:rPr>
        <w:t>“ ‘</w:t>
      </w:r>
      <w:proofErr w:type="gramEnd"/>
      <w:r>
        <w:rPr>
          <w:rFonts w:ascii="Times New Roman" w:hAnsi="Times New Roman"/>
          <w:color w:val="000000"/>
          <w:sz w:val="20"/>
        </w:rPr>
        <w:t xml:space="preserve">an appropriately informed’ speaker of the language would understand” that specialized meaning to be. </w:t>
      </w:r>
      <w:hyperlink r:id="rId22" w:anchor="co_pp_sp_708_1657">
        <w:r>
          <w:rPr>
            <w:rFonts w:ascii="Times New Roman" w:hAnsi="Times New Roman"/>
            <w:i/>
            <w:color w:val="000000"/>
            <w:sz w:val="20"/>
          </w:rPr>
          <w:t>Van Buren</w:t>
        </w:r>
        <w:r>
          <w:rPr>
            <w:rFonts w:ascii="Times New Roman" w:hAnsi="Times New Roman"/>
            <w:color w:val="000000"/>
            <w:sz w:val="20"/>
          </w:rPr>
          <w:t xml:space="preserve">, 141 </w:t>
        </w:r>
        <w:proofErr w:type="spellStart"/>
        <w:r>
          <w:rPr>
            <w:rFonts w:ascii="Times New Roman" w:hAnsi="Times New Roman"/>
            <w:color w:val="000000"/>
            <w:sz w:val="20"/>
          </w:rPr>
          <w:t>S.Ct</w:t>
        </w:r>
        <w:proofErr w:type="spellEnd"/>
        <w:r>
          <w:rPr>
            <w:rFonts w:ascii="Times New Roman" w:hAnsi="Times New Roman"/>
            <w:color w:val="000000"/>
            <w:sz w:val="20"/>
          </w:rPr>
          <w:t>. at 1657</w:t>
        </w:r>
      </w:hyperlink>
      <w:r>
        <w:rPr>
          <w:rFonts w:ascii="Times New Roman" w:hAnsi="Times New Roman"/>
          <w:color w:val="000000"/>
          <w:sz w:val="20"/>
        </w:rPr>
        <w:t xml:space="preserve"> (quoting Nelson, </w:t>
      </w:r>
      <w:hyperlink r:id="rId23" w:anchor="co_pp_sp_1359_354">
        <w:r>
          <w:rPr>
            <w:rFonts w:ascii="Times New Roman" w:hAnsi="Times New Roman"/>
            <w:i/>
            <w:color w:val="000000"/>
            <w:sz w:val="20"/>
          </w:rPr>
          <w:t>What is Textualism?</w:t>
        </w:r>
        <w:r>
          <w:rPr>
            <w:rFonts w:ascii="Times New Roman" w:hAnsi="Times New Roman"/>
            <w:color w:val="000000"/>
            <w:sz w:val="20"/>
          </w:rPr>
          <w:t>, 91 Va. L. Rev. 347, 354 (2005)</w:t>
        </w:r>
      </w:hyperlink>
      <w:r>
        <w:rPr>
          <w:rFonts w:ascii="Times New Roman" w:hAnsi="Times New Roman"/>
          <w:color w:val="000000"/>
          <w:sz w:val="20"/>
        </w:rPr>
        <w:t>).</w:t>
      </w:r>
    </w:p>
    <w:p w14:paraId="36875698" w14:textId="77777777" w:rsidR="00BE0373" w:rsidRDefault="003564BE">
      <w:pPr>
        <w:spacing w:line="275" w:lineRule="atLeast"/>
        <w:jc w:val="both"/>
      </w:pPr>
      <w:r>
        <w:rPr>
          <w:rFonts w:ascii="Times New Roman" w:hAnsi="Times New Roman"/>
          <w:color w:val="000000"/>
          <w:sz w:val="20"/>
        </w:rPr>
        <w:t> </w:t>
      </w:r>
    </w:p>
    <w:p w14:paraId="0111CE0E" w14:textId="77777777" w:rsidR="00BE0373" w:rsidRDefault="003564BE">
      <w:pPr>
        <w:spacing w:line="275" w:lineRule="atLeast"/>
        <w:jc w:val="both"/>
      </w:pPr>
      <w:r>
        <w:rPr>
          <w:rFonts w:ascii="Times New Roman" w:hAnsi="Times New Roman"/>
          <w:color w:val="000000"/>
          <w:sz w:val="20"/>
        </w:rPr>
        <w:t>The phrase at issue here</w:t>
      </w:r>
      <w:proofErr w:type="gramStart"/>
      <w:r>
        <w:rPr>
          <w:rFonts w:ascii="Times New Roman" w:hAnsi="Times New Roman"/>
          <w:color w:val="000000"/>
          <w:sz w:val="20"/>
        </w:rPr>
        <w:t>—“</w:t>
      </w:r>
      <w:proofErr w:type="gramEnd"/>
      <w:r>
        <w:rPr>
          <w:rFonts w:ascii="Times New Roman" w:hAnsi="Times New Roman"/>
          <w:color w:val="000000"/>
          <w:sz w:val="20"/>
        </w:rPr>
        <w:t>substantially the same effect as if such branch or similar establishment were a wholly owned subsidiary deriving such inco</w:t>
      </w:r>
      <w:r>
        <w:rPr>
          <w:rFonts w:ascii="Times New Roman" w:hAnsi="Times New Roman"/>
          <w:color w:val="000000"/>
          <w:sz w:val="20"/>
        </w:rPr>
        <w:t xml:space="preserve">me”—would have resonated loudly with an informed reader when Subpart F was enacted in 1962. The year before, as noted above, President Kennedy had deplored the growing use of “artificial arrangements </w:t>
      </w:r>
      <w:r>
        <w:rPr>
          <w:rFonts w:ascii="Times New Roman" w:hAnsi="Times New Roman"/>
          <w:color w:val="000000"/>
          <w:sz w:val="20"/>
        </w:rPr>
        <w:t xml:space="preserve">between parent </w:t>
      </w:r>
      <w:bookmarkStart w:id="19" w:name="co_pp_sp_8173_951_1"/>
      <w:r>
        <w:rPr>
          <w:rFonts w:ascii="Times New Roman" w:hAnsi="Times New Roman"/>
          <w:b/>
          <w:color w:val="000000"/>
          <w:sz w:val="20"/>
        </w:rPr>
        <w:t>*951</w:t>
      </w:r>
      <w:bookmarkEnd w:id="19"/>
      <w:r>
        <w:rPr>
          <w:rFonts w:ascii="Times New Roman" w:hAnsi="Times New Roman"/>
          <w:color w:val="000000"/>
          <w:sz w:val="20"/>
        </w:rPr>
        <w:t xml:space="preserve"> and subsidiary regarding intercompan</w:t>
      </w:r>
      <w:r>
        <w:rPr>
          <w:rFonts w:ascii="Times New Roman" w:hAnsi="Times New Roman"/>
          <w:color w:val="000000"/>
          <w:sz w:val="20"/>
        </w:rPr>
        <w:t>y pricing, the transfer of patent licensing rights, the shifting of management fees, and similar practices which maximize the accumulation of profits” in tax havens “so as to exploit the multiplicity of foreign tax systems and international agreements in o</w:t>
      </w:r>
      <w:r>
        <w:rPr>
          <w:rFonts w:ascii="Times New Roman" w:hAnsi="Times New Roman"/>
          <w:color w:val="000000"/>
          <w:sz w:val="20"/>
        </w:rPr>
        <w:t xml:space="preserve">rder to reduce sharply or eliminate completely their tax liabilities both at home and abroad.” Message from the President of the United States Relative </w:t>
      </w:r>
      <w:proofErr w:type="gramStart"/>
      <w:r>
        <w:rPr>
          <w:rFonts w:ascii="Times New Roman" w:hAnsi="Times New Roman"/>
          <w:color w:val="000000"/>
          <w:sz w:val="20"/>
        </w:rPr>
        <w:t>To</w:t>
      </w:r>
      <w:proofErr w:type="gramEnd"/>
      <w:r>
        <w:rPr>
          <w:rFonts w:ascii="Times New Roman" w:hAnsi="Times New Roman"/>
          <w:color w:val="000000"/>
          <w:sz w:val="20"/>
        </w:rPr>
        <w:t xml:space="preserve"> Our Federal Tax System, April 20, 1961, </w:t>
      </w:r>
      <w:r>
        <w:rPr>
          <w:rFonts w:ascii="Times New Roman" w:hAnsi="Times New Roman"/>
          <w:i/>
          <w:color w:val="000000"/>
          <w:sz w:val="20"/>
        </w:rPr>
        <w:t>reprinted in</w:t>
      </w:r>
      <w:r>
        <w:rPr>
          <w:rFonts w:ascii="Times New Roman" w:hAnsi="Times New Roman"/>
          <w:color w:val="000000"/>
          <w:sz w:val="20"/>
        </w:rPr>
        <w:t xml:space="preserve"> H.R. Doc. No. 87-140, at 6 (1961).</w:t>
      </w:r>
    </w:p>
    <w:p w14:paraId="231A917B" w14:textId="77777777" w:rsidR="00BE0373" w:rsidRDefault="003564BE">
      <w:pPr>
        <w:spacing w:line="275" w:lineRule="atLeast"/>
        <w:jc w:val="both"/>
      </w:pPr>
      <w:r>
        <w:rPr>
          <w:rFonts w:ascii="Times New Roman" w:hAnsi="Times New Roman"/>
          <w:color w:val="000000"/>
          <w:sz w:val="20"/>
        </w:rPr>
        <w:t> </w:t>
      </w:r>
    </w:p>
    <w:p w14:paraId="4D4BDD79" w14:textId="77777777" w:rsidR="00BE0373" w:rsidRDefault="003564BE">
      <w:pPr>
        <w:spacing w:line="275" w:lineRule="atLeast"/>
        <w:jc w:val="both"/>
      </w:pPr>
      <w:r>
        <w:rPr>
          <w:rFonts w:ascii="Times New Roman" w:hAnsi="Times New Roman"/>
          <w:color w:val="000000"/>
          <w:sz w:val="20"/>
        </w:rPr>
        <w:t>In response</w:t>
      </w:r>
      <w:r>
        <w:rPr>
          <w:rFonts w:ascii="Times New Roman" w:hAnsi="Times New Roman"/>
          <w:color w:val="000000"/>
          <w:sz w:val="20"/>
        </w:rPr>
        <w:t xml:space="preserve"> to the president's speech, the staff of the Joint Committee on Internal Revenue Taxation issued a report, dated July 21, 1961, on the use of foreign subsidiaries by multinational American corporations to defer the taxation of income. That report likewise </w:t>
      </w:r>
      <w:r>
        <w:rPr>
          <w:rFonts w:ascii="Times New Roman" w:hAnsi="Times New Roman"/>
          <w:color w:val="000000"/>
          <w:sz w:val="20"/>
        </w:rPr>
        <w:t>observed: “by conducting its foreign operations though a corporation organized under the laws of a foreign country an American parent corporation can postpone the tax on income earned by a foreign subsidiary until that income is returned to the U.S. parent</w:t>
      </w:r>
      <w:r>
        <w:rPr>
          <w:rFonts w:ascii="Times New Roman" w:hAnsi="Times New Roman"/>
          <w:color w:val="000000"/>
          <w:sz w:val="20"/>
        </w:rPr>
        <w:t xml:space="preserve"> as dividends or otherwise.” Joint Committee on Taxation, at 5.</w:t>
      </w:r>
    </w:p>
    <w:p w14:paraId="727C3C5D" w14:textId="77777777" w:rsidR="00BE0373" w:rsidRDefault="003564BE">
      <w:pPr>
        <w:spacing w:line="275" w:lineRule="atLeast"/>
        <w:jc w:val="both"/>
      </w:pPr>
      <w:r>
        <w:rPr>
          <w:rFonts w:ascii="Times New Roman" w:hAnsi="Times New Roman"/>
          <w:color w:val="000000"/>
          <w:sz w:val="20"/>
        </w:rPr>
        <w:t> </w:t>
      </w:r>
    </w:p>
    <w:p w14:paraId="2324B65F" w14:textId="77777777" w:rsidR="00BE0373" w:rsidRDefault="003564BE">
      <w:pPr>
        <w:spacing w:line="275" w:lineRule="atLeast"/>
        <w:jc w:val="both"/>
      </w:pPr>
      <w:r>
        <w:rPr>
          <w:rFonts w:ascii="Times New Roman" w:hAnsi="Times New Roman"/>
          <w:color w:val="000000"/>
          <w:sz w:val="20"/>
        </w:rPr>
        <w:t xml:space="preserve">The Joint Committee's report described in detail various ways that American corporations at that time had actually used foreign subsidiaries to defer taxation of income. To cite one notable </w:t>
      </w:r>
      <w:r>
        <w:rPr>
          <w:rFonts w:ascii="Times New Roman" w:hAnsi="Times New Roman"/>
          <w:color w:val="000000"/>
          <w:sz w:val="20"/>
        </w:rPr>
        <w:t xml:space="preserve">example of many in the report, an American corporation was “engaged in the manufacture and sale of various types of machines and equipment which [were] sold to companies in the United States and in many foreign countries[.]” </w:t>
      </w:r>
      <w:r>
        <w:rPr>
          <w:rFonts w:ascii="Times New Roman" w:hAnsi="Times New Roman"/>
          <w:i/>
          <w:color w:val="000000"/>
          <w:sz w:val="20"/>
        </w:rPr>
        <w:t>Id.</w:t>
      </w:r>
      <w:r>
        <w:rPr>
          <w:rFonts w:ascii="Times New Roman" w:hAnsi="Times New Roman"/>
          <w:color w:val="000000"/>
          <w:sz w:val="20"/>
        </w:rPr>
        <w:t xml:space="preserve"> at 11. The American corpora</w:t>
      </w:r>
      <w:r>
        <w:rPr>
          <w:rFonts w:ascii="Times New Roman" w:hAnsi="Times New Roman"/>
          <w:color w:val="000000"/>
          <w:sz w:val="20"/>
        </w:rPr>
        <w:t xml:space="preserve">tion established a “foreign subsidiary corporation” with “headquarters in a country which ha[d] no income tax.” </w:t>
      </w:r>
      <w:r>
        <w:rPr>
          <w:rFonts w:ascii="Times New Roman" w:hAnsi="Times New Roman"/>
          <w:i/>
          <w:color w:val="000000"/>
          <w:sz w:val="20"/>
        </w:rPr>
        <w:t>Id.</w:t>
      </w:r>
      <w:r>
        <w:rPr>
          <w:rFonts w:ascii="Times New Roman" w:hAnsi="Times New Roman"/>
          <w:color w:val="000000"/>
          <w:sz w:val="20"/>
        </w:rPr>
        <w:t xml:space="preserve"> The American corporation then shifted income to the foreign subsidiary “to obtain ‘a greater immediate cash flow resulting from tax deferral</w:t>
      </w:r>
      <w:r>
        <w:rPr>
          <w:rFonts w:ascii="Times New Roman" w:hAnsi="Times New Roman"/>
          <w:color w:val="000000"/>
          <w:sz w:val="20"/>
        </w:rPr>
        <w:t xml:space="preserve"> which could be used to finance the expansion of overseas business.</w:t>
      </w:r>
      <w:proofErr w:type="gramStart"/>
      <w:r>
        <w:rPr>
          <w:rFonts w:ascii="Times New Roman" w:hAnsi="Times New Roman"/>
          <w:color w:val="000000"/>
          <w:sz w:val="20"/>
        </w:rPr>
        <w:t>’ ”</w:t>
      </w:r>
      <w:proofErr w:type="gramEnd"/>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at 12. (quoting “[r]</w:t>
      </w:r>
      <w:proofErr w:type="spellStart"/>
      <w:r>
        <w:rPr>
          <w:rFonts w:ascii="Times New Roman" w:hAnsi="Times New Roman"/>
          <w:color w:val="000000"/>
          <w:sz w:val="20"/>
        </w:rPr>
        <w:t>epresentatives</w:t>
      </w:r>
      <w:proofErr w:type="spellEnd"/>
      <w:r>
        <w:rPr>
          <w:rFonts w:ascii="Times New Roman" w:hAnsi="Times New Roman"/>
          <w:color w:val="000000"/>
          <w:sz w:val="20"/>
        </w:rPr>
        <w:t xml:space="preserve">” of the foreign subsidiary). The report separately discussed “a foreign subsidiary which manufacture[d] for its American parent parts or finished </w:t>
      </w:r>
      <w:r>
        <w:rPr>
          <w:rFonts w:ascii="Times New Roman" w:hAnsi="Times New Roman"/>
          <w:color w:val="000000"/>
          <w:sz w:val="20"/>
        </w:rPr>
        <w:t xml:space="preserve">products which it then [sold] to the American parent corporation for distribution in the United States”; and the report noted that, “[t]o the extent that the foreign subsidiary charges a disproportionately high price, its income will be unrealistically </w:t>
      </w:r>
      <w:proofErr w:type="gramStart"/>
      <w:r>
        <w:rPr>
          <w:rFonts w:ascii="Times New Roman" w:hAnsi="Times New Roman"/>
          <w:color w:val="000000"/>
          <w:sz w:val="20"/>
        </w:rPr>
        <w:t>hig</w:t>
      </w:r>
      <w:r>
        <w:rPr>
          <w:rFonts w:ascii="Times New Roman" w:hAnsi="Times New Roman"/>
          <w:color w:val="000000"/>
          <w:sz w:val="20"/>
        </w:rPr>
        <w:t>h</w:t>
      </w:r>
      <w:proofErr w:type="gramEnd"/>
      <w:r>
        <w:rPr>
          <w:rFonts w:ascii="Times New Roman" w:hAnsi="Times New Roman"/>
          <w:color w:val="000000"/>
          <w:sz w:val="20"/>
        </w:rPr>
        <w:t xml:space="preserve"> and the income of the American parent will be unrealistically low.” </w:t>
      </w:r>
      <w:r>
        <w:rPr>
          <w:rFonts w:ascii="Times New Roman" w:hAnsi="Times New Roman"/>
          <w:i/>
          <w:color w:val="000000"/>
          <w:sz w:val="20"/>
        </w:rPr>
        <w:t>Id.</w:t>
      </w:r>
      <w:r>
        <w:rPr>
          <w:rFonts w:ascii="Times New Roman" w:hAnsi="Times New Roman"/>
          <w:color w:val="000000"/>
          <w:sz w:val="20"/>
        </w:rPr>
        <w:t xml:space="preserve"> at 13.</w:t>
      </w:r>
    </w:p>
    <w:p w14:paraId="52751448" w14:textId="77777777" w:rsidR="00BE0373" w:rsidRDefault="003564BE">
      <w:pPr>
        <w:spacing w:line="275" w:lineRule="atLeast"/>
        <w:jc w:val="both"/>
      </w:pPr>
      <w:r>
        <w:rPr>
          <w:rFonts w:ascii="Times New Roman" w:hAnsi="Times New Roman"/>
          <w:color w:val="000000"/>
          <w:sz w:val="20"/>
        </w:rPr>
        <w:t> </w:t>
      </w:r>
    </w:p>
    <w:p w14:paraId="7097E9B7" w14:textId="77777777" w:rsidR="00BE0373" w:rsidRDefault="003564BE">
      <w:pPr>
        <w:spacing w:line="275" w:lineRule="atLeast"/>
        <w:jc w:val="both"/>
      </w:pPr>
      <w:r>
        <w:rPr>
          <w:rFonts w:ascii="Times New Roman" w:hAnsi="Times New Roman"/>
          <w:color w:val="000000"/>
          <w:sz w:val="20"/>
        </w:rPr>
        <w:t xml:space="preserve">The report also observed that “in many cases the abuse resulting from the use of a foreign subsidiary consists in the </w:t>
      </w:r>
      <w:r>
        <w:rPr>
          <w:rFonts w:ascii="Times New Roman" w:hAnsi="Times New Roman"/>
          <w:color w:val="000000"/>
          <w:sz w:val="20"/>
        </w:rPr>
        <w:lastRenderedPageBreak/>
        <w:t>fact that the foreign subsidiary has little, if any sub</w:t>
      </w:r>
      <w:r>
        <w:rPr>
          <w:rFonts w:ascii="Times New Roman" w:hAnsi="Times New Roman"/>
          <w:color w:val="000000"/>
          <w:sz w:val="20"/>
        </w:rPr>
        <w:t xml:space="preserve">stance and does not, in fact, function as an operating commercial corporation.” </w:t>
      </w:r>
      <w:r>
        <w:rPr>
          <w:rFonts w:ascii="Times New Roman" w:hAnsi="Times New Roman"/>
          <w:i/>
          <w:color w:val="000000"/>
          <w:sz w:val="20"/>
        </w:rPr>
        <w:t>Id.</w:t>
      </w:r>
      <w:r>
        <w:rPr>
          <w:rFonts w:ascii="Times New Roman" w:hAnsi="Times New Roman"/>
          <w:color w:val="000000"/>
          <w:sz w:val="20"/>
        </w:rPr>
        <w:t xml:space="preserve"> at 15. For example, one American manufacturer “organized an international subsidiary under the laws of Liechtenstein which, nominally at least,” performed sales operations </w:t>
      </w:r>
      <w:r>
        <w:rPr>
          <w:rFonts w:ascii="Times New Roman" w:hAnsi="Times New Roman"/>
          <w:color w:val="000000"/>
          <w:sz w:val="20"/>
        </w:rPr>
        <w:t xml:space="preserve">“throughout the world” for its American parent. </w:t>
      </w:r>
      <w:r>
        <w:rPr>
          <w:rFonts w:ascii="Times New Roman" w:hAnsi="Times New Roman"/>
          <w:i/>
          <w:color w:val="000000"/>
          <w:sz w:val="20"/>
        </w:rPr>
        <w:t>Id.</w:t>
      </w:r>
      <w:r>
        <w:rPr>
          <w:rFonts w:ascii="Times New Roman" w:hAnsi="Times New Roman"/>
          <w:color w:val="000000"/>
          <w:sz w:val="20"/>
        </w:rPr>
        <w:t xml:space="preserve"> Although the Liechtenstein subsidiary “employ[ed] few, if any, salesmen,” it received up to “80 percent” of the income from the American company's foreign operations. As to this example, the report concluded: “[T]he profits thus allocated to the Liechtens</w:t>
      </w:r>
      <w:r>
        <w:rPr>
          <w:rFonts w:ascii="Times New Roman" w:hAnsi="Times New Roman"/>
          <w:color w:val="000000"/>
          <w:sz w:val="20"/>
        </w:rPr>
        <w:t xml:space="preserve">tein corporation are grossly disproportionate to the real value of what little work that corporation does.” </w:t>
      </w:r>
      <w:r>
        <w:rPr>
          <w:rFonts w:ascii="Times New Roman" w:hAnsi="Times New Roman"/>
          <w:i/>
          <w:color w:val="000000"/>
          <w:sz w:val="20"/>
        </w:rPr>
        <w:t>Id.</w:t>
      </w:r>
    </w:p>
    <w:p w14:paraId="0EEE1056" w14:textId="77777777" w:rsidR="00BE0373" w:rsidRDefault="003564BE">
      <w:pPr>
        <w:spacing w:line="275" w:lineRule="atLeast"/>
        <w:jc w:val="both"/>
      </w:pPr>
      <w:r>
        <w:rPr>
          <w:rFonts w:ascii="Times New Roman" w:hAnsi="Times New Roman"/>
          <w:color w:val="000000"/>
          <w:sz w:val="20"/>
        </w:rPr>
        <w:t> </w:t>
      </w:r>
    </w:p>
    <w:p w14:paraId="5DF57AA6" w14:textId="77777777" w:rsidR="00BE0373" w:rsidRDefault="003564BE">
      <w:pPr>
        <w:spacing w:line="275" w:lineRule="atLeast"/>
        <w:jc w:val="both"/>
      </w:pPr>
      <w:r>
        <w:rPr>
          <w:rFonts w:ascii="Times New Roman" w:hAnsi="Times New Roman"/>
          <w:color w:val="000000"/>
          <w:sz w:val="20"/>
        </w:rPr>
        <w:t>In a statement submitted to Congress in 1961, the Secretary of the Treasury similarly emphasized the recent “proliferation of corporate entiti</w:t>
      </w:r>
      <w:r>
        <w:rPr>
          <w:rFonts w:ascii="Times New Roman" w:hAnsi="Times New Roman"/>
          <w:color w:val="000000"/>
          <w:sz w:val="20"/>
        </w:rPr>
        <w:t xml:space="preserve">es in tax haven countries, like Switzerland.” Statement of Douglas Dillon, Secretary of the Treasury, before the House Ways and Means Committee </w:t>
      </w:r>
      <w:r>
        <w:rPr>
          <w:rFonts w:ascii="Times New Roman" w:hAnsi="Times New Roman"/>
          <w:i/>
          <w:color w:val="000000"/>
          <w:sz w:val="20"/>
        </w:rPr>
        <w:t>reprinted in</w:t>
      </w:r>
      <w:r>
        <w:rPr>
          <w:rFonts w:ascii="Times New Roman" w:hAnsi="Times New Roman"/>
          <w:color w:val="000000"/>
          <w:sz w:val="20"/>
        </w:rPr>
        <w:t xml:space="preserve"> Joint Committee on Taxation 21, 23 (1961). “[I]n the year ended March 31, 1961” for example, Americ</w:t>
      </w:r>
      <w:r>
        <w:rPr>
          <w:rFonts w:ascii="Times New Roman" w:hAnsi="Times New Roman"/>
          <w:color w:val="000000"/>
          <w:sz w:val="20"/>
        </w:rPr>
        <w:t xml:space="preserve">an </w:t>
      </w:r>
      <w:bookmarkStart w:id="20" w:name="co_pp_sp_8173_952_1"/>
      <w:r>
        <w:rPr>
          <w:rFonts w:ascii="Times New Roman" w:hAnsi="Times New Roman"/>
          <w:b/>
          <w:color w:val="000000"/>
          <w:sz w:val="20"/>
        </w:rPr>
        <w:t>*952</w:t>
      </w:r>
      <w:bookmarkEnd w:id="20"/>
      <w:r>
        <w:rPr>
          <w:rFonts w:ascii="Times New Roman" w:hAnsi="Times New Roman"/>
          <w:color w:val="000000"/>
          <w:sz w:val="20"/>
        </w:rPr>
        <w:t xml:space="preserve"> companies created 170 new subsidiaries in Switzerland—an increase of more than 50%. </w:t>
      </w:r>
      <w:r>
        <w:rPr>
          <w:rFonts w:ascii="Times New Roman" w:hAnsi="Times New Roman"/>
          <w:i/>
          <w:color w:val="000000"/>
          <w:sz w:val="20"/>
        </w:rPr>
        <w:t>Id.</w:t>
      </w:r>
      <w:r>
        <w:rPr>
          <w:rFonts w:ascii="Times New Roman" w:hAnsi="Times New Roman"/>
          <w:color w:val="000000"/>
          <w:sz w:val="20"/>
        </w:rPr>
        <w:t xml:space="preserve"> “Increasingly,” the Secretary observed, “U.S. manufacturing subsidiaries operating elsewhere ... are being linked to subsidiaries in the tax haven countries.” </w:t>
      </w:r>
      <w:r>
        <w:rPr>
          <w:rFonts w:ascii="Times New Roman" w:hAnsi="Times New Roman"/>
          <w:i/>
          <w:color w:val="000000"/>
          <w:sz w:val="20"/>
        </w:rPr>
        <w:t>I</w:t>
      </w:r>
      <w:r>
        <w:rPr>
          <w:rFonts w:ascii="Times New Roman" w:hAnsi="Times New Roman"/>
          <w:i/>
          <w:color w:val="000000"/>
          <w:sz w:val="20"/>
        </w:rPr>
        <w:t>d.</w:t>
      </w:r>
      <w:r>
        <w:rPr>
          <w:rFonts w:ascii="Times New Roman" w:hAnsi="Times New Roman"/>
          <w:color w:val="000000"/>
          <w:sz w:val="20"/>
        </w:rPr>
        <w:t xml:space="preserve"> The Commissioner of Internal Revenue likewise observed in a 1961 memorandum: “In recent years the number of foreign corporations owned directly or indirectly by U.S. shareholders has increased rapidly.” Memorandum of Comm'r of Internal Revenue dated Jun</w:t>
      </w:r>
      <w:r>
        <w:rPr>
          <w:rFonts w:ascii="Times New Roman" w:hAnsi="Times New Roman"/>
          <w:color w:val="000000"/>
          <w:sz w:val="20"/>
        </w:rPr>
        <w:t xml:space="preserve">e 22, 1961, </w:t>
      </w:r>
      <w:r>
        <w:rPr>
          <w:rFonts w:ascii="Times New Roman" w:hAnsi="Times New Roman"/>
          <w:i/>
          <w:color w:val="000000"/>
          <w:sz w:val="20"/>
        </w:rPr>
        <w:t>reprinted in</w:t>
      </w:r>
      <w:r>
        <w:rPr>
          <w:rFonts w:ascii="Times New Roman" w:hAnsi="Times New Roman"/>
          <w:color w:val="000000"/>
          <w:sz w:val="20"/>
        </w:rPr>
        <w:t xml:space="preserve"> Joint Committee on Taxation 28, 28 (1961). And though the Service had difficulty distinguishing subsidiaries that had “real business purposes” from those that did not, the Commissioner was certain that “some ha[d] been organized fo</w:t>
      </w:r>
      <w:r>
        <w:rPr>
          <w:rFonts w:ascii="Times New Roman" w:hAnsi="Times New Roman"/>
          <w:color w:val="000000"/>
          <w:sz w:val="20"/>
        </w:rPr>
        <w:t xml:space="preserve">r the sole purpose of avoiding the payment of U.S. taxes that would otherwise be due.” </w:t>
      </w:r>
      <w:r>
        <w:rPr>
          <w:rFonts w:ascii="Times New Roman" w:hAnsi="Times New Roman"/>
          <w:i/>
          <w:color w:val="000000"/>
          <w:sz w:val="20"/>
        </w:rPr>
        <w:t>Id.</w:t>
      </w:r>
    </w:p>
    <w:p w14:paraId="2D6F101E" w14:textId="77777777" w:rsidR="00BE0373" w:rsidRDefault="003564BE">
      <w:pPr>
        <w:spacing w:line="275" w:lineRule="atLeast"/>
        <w:jc w:val="both"/>
      </w:pPr>
      <w:r>
        <w:rPr>
          <w:rFonts w:ascii="Times New Roman" w:hAnsi="Times New Roman"/>
          <w:color w:val="000000"/>
          <w:sz w:val="20"/>
        </w:rPr>
        <w:t> </w:t>
      </w:r>
    </w:p>
    <w:p w14:paraId="18CA1243" w14:textId="77777777" w:rsidR="00BE0373" w:rsidRDefault="003564BE">
      <w:pPr>
        <w:spacing w:line="275" w:lineRule="atLeast"/>
        <w:jc w:val="both"/>
      </w:pPr>
      <w:r>
        <w:rPr>
          <w:rFonts w:ascii="Times New Roman" w:hAnsi="Times New Roman"/>
          <w:color w:val="000000"/>
          <w:sz w:val="20"/>
        </w:rPr>
        <w:t>In this historical context, an informed reader would have understood the phrase at issue here</w:t>
      </w:r>
      <w:proofErr w:type="gramStart"/>
      <w:r>
        <w:rPr>
          <w:rFonts w:ascii="Times New Roman" w:hAnsi="Times New Roman"/>
          <w:color w:val="000000"/>
          <w:sz w:val="20"/>
        </w:rPr>
        <w:t>—“</w:t>
      </w:r>
      <w:proofErr w:type="gramEnd"/>
      <w:r>
        <w:rPr>
          <w:rFonts w:ascii="Times New Roman" w:hAnsi="Times New Roman"/>
          <w:color w:val="000000"/>
          <w:sz w:val="20"/>
        </w:rPr>
        <w:t>substantially the same effect as if such branch or similar establishment were a wholly owned [foreign] subsidiary deriving such income”—to be nearly a term of ar</w:t>
      </w:r>
      <w:r>
        <w:rPr>
          <w:rFonts w:ascii="Times New Roman" w:hAnsi="Times New Roman"/>
          <w:color w:val="000000"/>
          <w:sz w:val="20"/>
        </w:rPr>
        <w:t xml:space="preserve">t. The practice of shifting income to “wholly owned </w:t>
      </w:r>
      <w:proofErr w:type="spellStart"/>
      <w:r>
        <w:rPr>
          <w:rFonts w:ascii="Times New Roman" w:hAnsi="Times New Roman"/>
          <w:color w:val="000000"/>
          <w:sz w:val="20"/>
        </w:rPr>
        <w:t>subsidiar</w:t>
      </w:r>
      <w:proofErr w:type="spellEnd"/>
      <w:r>
        <w:rPr>
          <w:rFonts w:ascii="Times New Roman" w:hAnsi="Times New Roman"/>
          <w:color w:val="000000"/>
          <w:sz w:val="20"/>
        </w:rPr>
        <w:t>[</w:t>
      </w:r>
      <w:proofErr w:type="spellStart"/>
      <w:r>
        <w:rPr>
          <w:rFonts w:ascii="Times New Roman" w:hAnsi="Times New Roman"/>
          <w:color w:val="000000"/>
          <w:sz w:val="20"/>
        </w:rPr>
        <w:t>ies</w:t>
      </w:r>
      <w:proofErr w:type="spellEnd"/>
      <w:r>
        <w:rPr>
          <w:rFonts w:ascii="Times New Roman" w:hAnsi="Times New Roman"/>
          <w:color w:val="000000"/>
          <w:sz w:val="20"/>
        </w:rPr>
        <w:t xml:space="preserve">]” overseas was associated, above all, with one “effect”: tax deferral. Subpart F in general and </w:t>
      </w:r>
      <w:hyperlink r:id="rId24">
        <w:r>
          <w:rPr>
            <w:rFonts w:ascii="Times New Roman" w:hAnsi="Times New Roman"/>
            <w:color w:val="000000"/>
            <w:sz w:val="20"/>
          </w:rPr>
          <w:t>§ 954</w:t>
        </w:r>
      </w:hyperlink>
      <w:r>
        <w:rPr>
          <w:rFonts w:ascii="Times New Roman" w:hAnsi="Times New Roman"/>
          <w:color w:val="000000"/>
          <w:sz w:val="20"/>
        </w:rPr>
        <w:t xml:space="preserve"> in particular are overwhelmingly focused on preventing precisely that effect. T</w:t>
      </w:r>
      <w:r>
        <w:rPr>
          <w:rFonts w:ascii="Times New Roman" w:hAnsi="Times New Roman"/>
          <w:color w:val="000000"/>
          <w:sz w:val="20"/>
        </w:rPr>
        <w:t xml:space="preserve">hus, as a matter of </w:t>
      </w:r>
      <w:r>
        <w:rPr>
          <w:rFonts w:ascii="Times New Roman" w:hAnsi="Times New Roman"/>
          <w:color w:val="000000"/>
          <w:sz w:val="20"/>
        </w:rPr>
        <w:t xml:space="preserve">historical and statutory context alike, an informed reader would naturally understand the “effect” to which </w:t>
      </w:r>
      <w:hyperlink r:id="rId25" w:anchor="co_pp_4be3000003be5">
        <w:r>
          <w:rPr>
            <w:rFonts w:ascii="Times New Roman" w:hAnsi="Times New Roman"/>
            <w:color w:val="000000"/>
            <w:sz w:val="20"/>
          </w:rPr>
          <w:t>§ 954(d)(2)</w:t>
        </w:r>
      </w:hyperlink>
      <w:r>
        <w:rPr>
          <w:rFonts w:ascii="Times New Roman" w:hAnsi="Times New Roman"/>
          <w:color w:val="000000"/>
          <w:sz w:val="20"/>
        </w:rPr>
        <w:t xml:space="preserve"> refers to be a </w:t>
      </w:r>
      <w:r>
        <w:rPr>
          <w:rFonts w:ascii="Times New Roman" w:hAnsi="Times New Roman"/>
          <w:i/>
          <w:color w:val="000000"/>
          <w:sz w:val="20"/>
        </w:rPr>
        <w:t>tax-deferral effect</w:t>
      </w:r>
      <w:r>
        <w:rPr>
          <w:rFonts w:ascii="Times New Roman" w:hAnsi="Times New Roman"/>
          <w:color w:val="000000"/>
          <w:sz w:val="20"/>
        </w:rPr>
        <w:t>. We therefore agree with the Tax Court that the</w:t>
      </w:r>
      <w:r>
        <w:rPr>
          <w:rFonts w:ascii="Times New Roman" w:hAnsi="Times New Roman"/>
          <w:color w:val="000000"/>
          <w:sz w:val="20"/>
        </w:rPr>
        <w:t xml:space="preserve"> phrase “substantially the same effect,” as used in </w:t>
      </w:r>
      <w:hyperlink r:id="rId26" w:anchor="co_pp_4be3000003be5">
        <w:r>
          <w:rPr>
            <w:rFonts w:ascii="Times New Roman" w:hAnsi="Times New Roman"/>
            <w:color w:val="000000"/>
            <w:sz w:val="20"/>
          </w:rPr>
          <w:t>§ 954(d)(2)</w:t>
        </w:r>
      </w:hyperlink>
      <w:r>
        <w:rPr>
          <w:rFonts w:ascii="Times New Roman" w:hAnsi="Times New Roman"/>
          <w:color w:val="000000"/>
          <w:sz w:val="20"/>
        </w:rPr>
        <w:t>, refers to the “deferral of tax” on sales income. Op. at ––––. Indeed, no one in this appeal disputes that aspect of the Tax Court's reasoning.</w:t>
      </w:r>
    </w:p>
    <w:p w14:paraId="1B2B5322" w14:textId="77777777" w:rsidR="00BE0373" w:rsidRDefault="003564BE">
      <w:pPr>
        <w:spacing w:line="275" w:lineRule="atLeast"/>
        <w:jc w:val="both"/>
      </w:pPr>
      <w:r>
        <w:rPr>
          <w:rFonts w:ascii="Times New Roman" w:hAnsi="Times New Roman"/>
          <w:color w:val="000000"/>
          <w:sz w:val="20"/>
        </w:rPr>
        <w:t> </w:t>
      </w:r>
    </w:p>
    <w:p w14:paraId="6820FB11" w14:textId="77777777" w:rsidR="00BE0373" w:rsidRDefault="003564BE">
      <w:pPr>
        <w:spacing w:line="275" w:lineRule="atLeast"/>
        <w:jc w:val="both"/>
      </w:pPr>
      <w:r>
        <w:rPr>
          <w:rFonts w:ascii="Times New Roman" w:hAnsi="Times New Roman"/>
          <w:color w:val="000000"/>
          <w:sz w:val="20"/>
        </w:rPr>
        <w:t>The second c</w:t>
      </w:r>
      <w:r>
        <w:rPr>
          <w:rFonts w:ascii="Times New Roman" w:hAnsi="Times New Roman"/>
          <w:color w:val="000000"/>
          <w:sz w:val="20"/>
        </w:rPr>
        <w:t xml:space="preserve">ondition of </w:t>
      </w:r>
      <w:hyperlink r:id="rId27" w:anchor="co_pp_4be3000003be5">
        <w:r>
          <w:rPr>
            <w:rFonts w:ascii="Times New Roman" w:hAnsi="Times New Roman"/>
            <w:color w:val="000000"/>
            <w:sz w:val="20"/>
          </w:rPr>
          <w:t>§ 954(d)(2)</w:t>
        </w:r>
      </w:hyperlink>
      <w:r>
        <w:rPr>
          <w:rFonts w:ascii="Times New Roman" w:hAnsi="Times New Roman"/>
          <w:color w:val="000000"/>
          <w:sz w:val="20"/>
        </w:rPr>
        <w:t xml:space="preserve">, then, is that the CFC's “carrying on of activities” through a foreign branch had a substantial tax-deferral effect. That condition is plainly met here: the Tax Court found—and Whirlpool again does </w:t>
      </w:r>
      <w:r>
        <w:rPr>
          <w:rFonts w:ascii="Times New Roman" w:hAnsi="Times New Roman"/>
          <w:color w:val="000000"/>
          <w:sz w:val="20"/>
        </w:rPr>
        <w:t xml:space="preserve">not dispute—that, “[b]y carrying on its activities ‘through a branch or similar establishment’ in Mexico, [Lux] avoided </w:t>
      </w:r>
      <w:r>
        <w:rPr>
          <w:rFonts w:ascii="Times New Roman" w:hAnsi="Times New Roman"/>
          <w:i/>
          <w:color w:val="000000"/>
          <w:sz w:val="20"/>
        </w:rPr>
        <w:t>any</w:t>
      </w:r>
      <w:r>
        <w:rPr>
          <w:rFonts w:ascii="Times New Roman" w:hAnsi="Times New Roman"/>
          <w:color w:val="000000"/>
          <w:sz w:val="20"/>
        </w:rPr>
        <w:t xml:space="preserve"> taxation of its sales income.” </w:t>
      </w:r>
      <w:r>
        <w:rPr>
          <w:rFonts w:ascii="Times New Roman" w:hAnsi="Times New Roman"/>
          <w:i/>
          <w:color w:val="000000"/>
          <w:sz w:val="20"/>
        </w:rPr>
        <w:t>Id</w:t>
      </w:r>
      <w:r>
        <w:rPr>
          <w:rFonts w:ascii="Times New Roman" w:hAnsi="Times New Roman"/>
          <w:color w:val="000000"/>
          <w:sz w:val="20"/>
        </w:rPr>
        <w:t>. (emphasis added). Indeed, as noted above, an express purpose of Whirlpool's 2007 restructuring wa</w:t>
      </w:r>
      <w:r>
        <w:rPr>
          <w:rFonts w:ascii="Times New Roman" w:hAnsi="Times New Roman"/>
          <w:color w:val="000000"/>
          <w:sz w:val="20"/>
        </w:rPr>
        <w:t>s “[d]</w:t>
      </w:r>
      <w:proofErr w:type="spellStart"/>
      <w:r>
        <w:rPr>
          <w:rFonts w:ascii="Times New Roman" w:hAnsi="Times New Roman"/>
          <w:color w:val="000000"/>
          <w:sz w:val="20"/>
        </w:rPr>
        <w:t>eferral</w:t>
      </w:r>
      <w:proofErr w:type="spellEnd"/>
      <w:r>
        <w:rPr>
          <w:rFonts w:ascii="Times New Roman" w:hAnsi="Times New Roman"/>
          <w:color w:val="000000"/>
          <w:sz w:val="20"/>
        </w:rPr>
        <w:t xml:space="preserve"> of U.S. taxation of profits earned by [Lux].”</w:t>
      </w:r>
    </w:p>
    <w:p w14:paraId="544CB276" w14:textId="77777777" w:rsidR="00BE0373" w:rsidRDefault="003564BE">
      <w:pPr>
        <w:spacing w:line="275" w:lineRule="atLeast"/>
        <w:jc w:val="both"/>
      </w:pPr>
      <w:r>
        <w:rPr>
          <w:rFonts w:ascii="Times New Roman" w:hAnsi="Times New Roman"/>
          <w:color w:val="000000"/>
          <w:sz w:val="20"/>
        </w:rPr>
        <w:t> </w:t>
      </w:r>
    </w:p>
    <w:p w14:paraId="1D67394D" w14:textId="77777777" w:rsidR="00BE0373" w:rsidRDefault="003564BE">
      <w:pPr>
        <w:spacing w:line="275" w:lineRule="atLeast"/>
        <w:jc w:val="both"/>
      </w:pPr>
      <w:r>
        <w:rPr>
          <w:rFonts w:ascii="Times New Roman" w:hAnsi="Times New Roman"/>
          <w:color w:val="000000"/>
          <w:sz w:val="20"/>
        </w:rPr>
        <w:t>Meanwhile, Whirlpool does not dispute that Lux's income from its sales of appliances to Whirlpool-US and Whirlpool-Mexico in 2009 was “attributable to” the activities of its Mexican branch. To t</w:t>
      </w:r>
      <w:r>
        <w:rPr>
          <w:rFonts w:ascii="Times New Roman" w:hAnsi="Times New Roman"/>
          <w:color w:val="000000"/>
          <w:sz w:val="20"/>
        </w:rPr>
        <w:t>he contrary, Whirlpool itself contends (albeit in a different context) that “the income at issue constituted income attributable to the Manufacturing [</w:t>
      </w:r>
      <w:r>
        <w:rPr>
          <w:rFonts w:ascii="Times New Roman" w:hAnsi="Times New Roman"/>
          <w:i/>
          <w:color w:val="000000"/>
          <w:sz w:val="20"/>
        </w:rPr>
        <w:t>i.e.</w:t>
      </w:r>
      <w:r>
        <w:rPr>
          <w:rFonts w:ascii="Times New Roman" w:hAnsi="Times New Roman"/>
          <w:color w:val="000000"/>
          <w:sz w:val="20"/>
        </w:rPr>
        <w:t xml:space="preserve">, Mexican] Branch and not [Lux].” </w:t>
      </w:r>
      <w:proofErr w:type="spellStart"/>
      <w:r>
        <w:rPr>
          <w:rFonts w:ascii="Times New Roman" w:hAnsi="Times New Roman"/>
          <w:color w:val="000000"/>
          <w:sz w:val="20"/>
        </w:rPr>
        <w:t>Whrlpl</w:t>
      </w:r>
      <w:proofErr w:type="spellEnd"/>
      <w:r>
        <w:rPr>
          <w:rFonts w:ascii="Times New Roman" w:hAnsi="Times New Roman"/>
          <w:color w:val="000000"/>
          <w:sz w:val="20"/>
        </w:rPr>
        <w:t>. Br. 51.</w:t>
      </w:r>
    </w:p>
    <w:p w14:paraId="1C0E100C" w14:textId="77777777" w:rsidR="00BE0373" w:rsidRDefault="003564BE">
      <w:pPr>
        <w:spacing w:line="275" w:lineRule="atLeast"/>
        <w:jc w:val="both"/>
      </w:pPr>
      <w:r>
        <w:rPr>
          <w:rFonts w:ascii="Times New Roman" w:hAnsi="Times New Roman"/>
          <w:color w:val="000000"/>
          <w:sz w:val="20"/>
        </w:rPr>
        <w:t> </w:t>
      </w:r>
    </w:p>
    <w:p w14:paraId="628A645D" w14:textId="77777777" w:rsidR="00BE0373" w:rsidRDefault="003564BE">
      <w:pPr>
        <w:spacing w:line="275" w:lineRule="atLeast"/>
        <w:jc w:val="both"/>
      </w:pPr>
      <w:r>
        <w:rPr>
          <w:rFonts w:ascii="Times New Roman" w:hAnsi="Times New Roman"/>
          <w:color w:val="000000"/>
          <w:sz w:val="20"/>
        </w:rPr>
        <w:t xml:space="preserve">From these premises, </w:t>
      </w:r>
      <w:hyperlink r:id="rId28" w:anchor="co_pp_4be3000003be5">
        <w:r>
          <w:rPr>
            <w:rFonts w:ascii="Times New Roman" w:hAnsi="Times New Roman"/>
            <w:color w:val="000000"/>
            <w:sz w:val="20"/>
          </w:rPr>
          <w:t>§ 954(d)(2)</w:t>
        </w:r>
      </w:hyperlink>
      <w:r>
        <w:rPr>
          <w:rFonts w:ascii="Times New Roman" w:hAnsi="Times New Roman"/>
          <w:color w:val="000000"/>
          <w:sz w:val="20"/>
        </w:rPr>
        <w:t xml:space="preserve"> expressly prescribes the consequences that follow: first, that the sales income “attributable to” the “carrying on” of activities through Lux's Mexican branch “shall be treated as income derived by a wholly owned subsidiary” of Lux; and s</w:t>
      </w:r>
      <w:r>
        <w:rPr>
          <w:rFonts w:ascii="Times New Roman" w:hAnsi="Times New Roman"/>
          <w:color w:val="000000"/>
          <w:sz w:val="20"/>
        </w:rPr>
        <w:t>econd, that the income attributable to the branch's activities “shall constitute foreign base company sales income of” Lux. That second consequence directly answers the question presented in this appeal.</w:t>
      </w:r>
    </w:p>
    <w:p w14:paraId="723932FA" w14:textId="77777777" w:rsidR="00BE0373" w:rsidRDefault="003564BE">
      <w:pPr>
        <w:spacing w:line="275" w:lineRule="atLeast"/>
        <w:jc w:val="both"/>
      </w:pPr>
      <w:r>
        <w:rPr>
          <w:rFonts w:ascii="Times New Roman" w:hAnsi="Times New Roman"/>
          <w:color w:val="000000"/>
          <w:sz w:val="20"/>
        </w:rPr>
        <w:t> </w:t>
      </w:r>
    </w:p>
    <w:p w14:paraId="17658FF1" w14:textId="77777777" w:rsidR="00BE0373" w:rsidRDefault="003564BE">
      <w:pPr>
        <w:spacing w:line="275" w:lineRule="atLeast"/>
        <w:jc w:val="both"/>
      </w:pPr>
      <w:r>
        <w:rPr>
          <w:rFonts w:ascii="Times New Roman" w:hAnsi="Times New Roman"/>
          <w:color w:val="000000"/>
          <w:sz w:val="20"/>
        </w:rPr>
        <w:t xml:space="preserve">We acknowledge that </w:t>
      </w:r>
      <w:hyperlink r:id="rId29" w:anchor="co_pp_4be3000003be5">
        <w:r>
          <w:rPr>
            <w:rFonts w:ascii="Times New Roman" w:hAnsi="Times New Roman"/>
            <w:color w:val="000000"/>
            <w:sz w:val="20"/>
          </w:rPr>
          <w:t>§ 954(d)(2)</w:t>
        </w:r>
      </w:hyperlink>
      <w:r>
        <w:rPr>
          <w:rFonts w:ascii="Times New Roman" w:hAnsi="Times New Roman"/>
          <w:color w:val="000000"/>
          <w:sz w:val="20"/>
        </w:rPr>
        <w:t xml:space="preserve"> states that, if the provision's two conditions are met, then “under regulations prescribed by the Secretary” the provision's two consequences “shall” follow. And Whirlpool makes various arguments as to those regulations, seeking a result di</w:t>
      </w:r>
      <w:r>
        <w:rPr>
          <w:rFonts w:ascii="Times New Roman" w:hAnsi="Times New Roman"/>
          <w:color w:val="000000"/>
          <w:sz w:val="20"/>
        </w:rPr>
        <w:t xml:space="preserve">fferent from the one mandated by the statute itself. But the agency's regulations can only implement the statute's commands, not vary from </w:t>
      </w:r>
      <w:bookmarkStart w:id="21" w:name="co_pp_sp_8173_953_1"/>
      <w:r>
        <w:rPr>
          <w:rFonts w:ascii="Times New Roman" w:hAnsi="Times New Roman"/>
          <w:b/>
          <w:color w:val="000000"/>
          <w:sz w:val="20"/>
        </w:rPr>
        <w:t>*953</w:t>
      </w:r>
      <w:bookmarkEnd w:id="21"/>
      <w:r>
        <w:rPr>
          <w:rFonts w:ascii="Times New Roman" w:hAnsi="Times New Roman"/>
          <w:color w:val="000000"/>
          <w:sz w:val="20"/>
        </w:rPr>
        <w:t xml:space="preserve"> them. (The Tax Court read the “under regulations” text the same way. </w:t>
      </w:r>
      <w:r>
        <w:rPr>
          <w:rFonts w:ascii="Times New Roman" w:hAnsi="Times New Roman"/>
          <w:i/>
          <w:color w:val="000000"/>
          <w:sz w:val="20"/>
        </w:rPr>
        <w:t>See</w:t>
      </w:r>
      <w:r>
        <w:rPr>
          <w:rFonts w:ascii="Times New Roman" w:hAnsi="Times New Roman"/>
          <w:color w:val="000000"/>
          <w:sz w:val="20"/>
        </w:rPr>
        <w:t xml:space="preserve"> Op. at –––– (“The Secretary was authori</w:t>
      </w:r>
      <w:r>
        <w:rPr>
          <w:rFonts w:ascii="Times New Roman" w:hAnsi="Times New Roman"/>
          <w:color w:val="000000"/>
          <w:sz w:val="20"/>
        </w:rPr>
        <w:t xml:space="preserve">zed to issue regulations implementing </w:t>
      </w:r>
      <w:r>
        <w:rPr>
          <w:rFonts w:ascii="Times New Roman" w:hAnsi="Times New Roman"/>
          <w:color w:val="000000"/>
          <w:sz w:val="20"/>
        </w:rPr>
        <w:lastRenderedPageBreak/>
        <w:t>these results.”)). And the relevant command here—that Lux's sales income “shall constitute foreign base company sales income of” Lux—could hardly be clearer.</w:t>
      </w:r>
    </w:p>
    <w:p w14:paraId="2E4FD26A" w14:textId="77777777" w:rsidR="00BE0373" w:rsidRDefault="003564BE">
      <w:pPr>
        <w:spacing w:line="275" w:lineRule="atLeast"/>
        <w:jc w:val="both"/>
      </w:pPr>
      <w:r>
        <w:rPr>
          <w:rFonts w:ascii="Times New Roman" w:hAnsi="Times New Roman"/>
          <w:color w:val="000000"/>
          <w:sz w:val="20"/>
        </w:rPr>
        <w:t> </w:t>
      </w:r>
    </w:p>
    <w:p w14:paraId="4747F962" w14:textId="77777777" w:rsidR="00BE0373" w:rsidRDefault="003564BE">
      <w:pPr>
        <w:spacing w:line="275" w:lineRule="atLeast"/>
        <w:jc w:val="both"/>
      </w:pPr>
      <w:r>
        <w:rPr>
          <w:rFonts w:ascii="Times New Roman" w:hAnsi="Times New Roman"/>
          <w:color w:val="000000"/>
          <w:sz w:val="20"/>
        </w:rPr>
        <w:t xml:space="preserve">Our dissenting colleague—in a thoughtful opinion, in this </w:t>
      </w:r>
      <w:r>
        <w:rPr>
          <w:rFonts w:ascii="Times New Roman" w:hAnsi="Times New Roman"/>
          <w:color w:val="000000"/>
          <w:sz w:val="20"/>
        </w:rPr>
        <w:t xml:space="preserve">difficult case—reads the “under regulations” text to condition the two commands (the “shall[s]”) that follow. But that reading would delegate to the Secretary unfettered discretion to determine whether </w:t>
      </w:r>
      <w:r>
        <w:rPr>
          <w:rFonts w:ascii="Times New Roman" w:hAnsi="Times New Roman"/>
          <w:i/>
          <w:color w:val="000000"/>
          <w:sz w:val="20"/>
        </w:rPr>
        <w:t>any</w:t>
      </w:r>
      <w:r>
        <w:rPr>
          <w:rFonts w:ascii="Times New Roman" w:hAnsi="Times New Roman"/>
          <w:color w:val="000000"/>
          <w:sz w:val="20"/>
        </w:rPr>
        <w:t xml:space="preserve"> consequences follow when the two conditions of </w:t>
      </w:r>
      <w:hyperlink r:id="rId30" w:anchor="co_pp_4be3000003be5">
        <w:r>
          <w:rPr>
            <w:rFonts w:ascii="Times New Roman" w:hAnsi="Times New Roman"/>
            <w:color w:val="000000"/>
            <w:sz w:val="20"/>
          </w:rPr>
          <w:t>§ 954(d)(2)</w:t>
        </w:r>
      </w:hyperlink>
      <w:r>
        <w:rPr>
          <w:rFonts w:ascii="Times New Roman" w:hAnsi="Times New Roman"/>
          <w:color w:val="000000"/>
          <w:sz w:val="20"/>
        </w:rPr>
        <w:t xml:space="preserve"> are met. That would amount to a power to do much more than “fill up the details.” </w:t>
      </w:r>
      <w:hyperlink r:id="rId31" w:anchor="co_pp_sp_780_43">
        <w:r>
          <w:rPr>
            <w:rFonts w:ascii="Times New Roman" w:hAnsi="Times New Roman"/>
            <w:i/>
            <w:color w:val="000000"/>
            <w:sz w:val="20"/>
          </w:rPr>
          <w:t>Wayman v. Southard</w:t>
        </w:r>
        <w:r>
          <w:rPr>
            <w:rFonts w:ascii="Times New Roman" w:hAnsi="Times New Roman"/>
            <w:color w:val="000000"/>
            <w:sz w:val="20"/>
          </w:rPr>
          <w:t xml:space="preserve">, 23 U.S. (10 Wheat.) 1, 43, 6 </w:t>
        </w:r>
        <w:proofErr w:type="spellStart"/>
        <w:r>
          <w:rPr>
            <w:rFonts w:ascii="Times New Roman" w:hAnsi="Times New Roman"/>
            <w:color w:val="000000"/>
            <w:sz w:val="20"/>
          </w:rPr>
          <w:t>L.Ed</w:t>
        </w:r>
        <w:proofErr w:type="spellEnd"/>
        <w:r>
          <w:rPr>
            <w:rFonts w:ascii="Times New Roman" w:hAnsi="Times New Roman"/>
            <w:color w:val="000000"/>
            <w:sz w:val="20"/>
          </w:rPr>
          <w:t>. 253 (1825)</w:t>
        </w:r>
      </w:hyperlink>
      <w:r>
        <w:rPr>
          <w:rFonts w:ascii="Times New Roman" w:hAnsi="Times New Roman"/>
          <w:color w:val="000000"/>
          <w:sz w:val="20"/>
        </w:rPr>
        <w:t xml:space="preserve"> (Marshall, C.J.). The dissent also argues that our reading of </w:t>
      </w:r>
      <w:hyperlink r:id="rId32" w:anchor="co_pp_4be3000003be5">
        <w:r>
          <w:rPr>
            <w:rFonts w:ascii="Times New Roman" w:hAnsi="Times New Roman"/>
            <w:color w:val="000000"/>
            <w:sz w:val="20"/>
          </w:rPr>
          <w:t>§ 954(d)(2)</w:t>
        </w:r>
      </w:hyperlink>
      <w:r>
        <w:rPr>
          <w:rFonts w:ascii="Times New Roman" w:hAnsi="Times New Roman"/>
          <w:color w:val="000000"/>
          <w:sz w:val="20"/>
        </w:rPr>
        <w:t xml:space="preserve"> would allow income from sources o</w:t>
      </w:r>
      <w:r>
        <w:rPr>
          <w:rFonts w:ascii="Times New Roman" w:hAnsi="Times New Roman"/>
          <w:color w:val="000000"/>
          <w:sz w:val="20"/>
        </w:rPr>
        <w:t xml:space="preserve">ther than sales—for example, interest income—to be treated as FBSCI. But perhaps here the acronym gets in the way. </w:t>
      </w:r>
      <w:hyperlink r:id="rId33" w:anchor="co_pp_4be3000003be5">
        <w:r>
          <w:rPr>
            <w:rFonts w:ascii="Times New Roman" w:hAnsi="Times New Roman"/>
            <w:color w:val="000000"/>
            <w:sz w:val="20"/>
          </w:rPr>
          <w:t>Section 954(d)(2)</w:t>
        </w:r>
      </w:hyperlink>
      <w:r>
        <w:rPr>
          <w:rFonts w:ascii="Times New Roman" w:hAnsi="Times New Roman"/>
          <w:color w:val="000000"/>
          <w:sz w:val="20"/>
        </w:rPr>
        <w:t xml:space="preserve"> twice refers not merely to “income,” but to “foreign base company </w:t>
      </w:r>
      <w:r>
        <w:rPr>
          <w:rFonts w:ascii="Times New Roman" w:hAnsi="Times New Roman"/>
          <w:i/>
          <w:color w:val="000000"/>
          <w:sz w:val="20"/>
        </w:rPr>
        <w:t>sales</w:t>
      </w:r>
      <w:r>
        <w:rPr>
          <w:rFonts w:ascii="Times New Roman" w:hAnsi="Times New Roman"/>
          <w:color w:val="000000"/>
          <w:sz w:val="20"/>
        </w:rPr>
        <w:t xml:space="preserve"> income”—which mak</w:t>
      </w:r>
      <w:r>
        <w:rPr>
          <w:rFonts w:ascii="Times New Roman" w:hAnsi="Times New Roman"/>
          <w:color w:val="000000"/>
          <w:sz w:val="20"/>
        </w:rPr>
        <w:t>es clear enough the provision is confined to income from sales. We therefore agree with the Tax Court that, under the text of the statute alone, “[Lux's] sales income is FBCSI that must be included in petitioners' income under subpart F.” Op. at ––––.</w:t>
      </w:r>
    </w:p>
    <w:p w14:paraId="2F370C61" w14:textId="77777777" w:rsidR="00BE0373" w:rsidRDefault="003564BE">
      <w:pPr>
        <w:spacing w:line="275" w:lineRule="atLeast"/>
        <w:jc w:val="both"/>
      </w:pPr>
      <w:r>
        <w:rPr>
          <w:rFonts w:ascii="Times New Roman" w:hAnsi="Times New Roman"/>
          <w:color w:val="000000"/>
          <w:sz w:val="20"/>
        </w:rPr>
        <w:t> </w:t>
      </w:r>
    </w:p>
    <w:p w14:paraId="6DE2AEAA" w14:textId="77777777" w:rsidR="00BE0373" w:rsidRDefault="003564BE">
      <w:pPr>
        <w:spacing w:before="400" w:line="275" w:lineRule="atLeast"/>
        <w:jc w:val="center"/>
      </w:pPr>
      <w:bookmarkStart w:id="22" w:name="co_anchor_I54974be1aec311ec9f1af6ade371"/>
      <w:r>
        <w:rPr>
          <w:rFonts w:ascii="Times New Roman" w:hAnsi="Times New Roman"/>
          <w:color w:val="000000"/>
          <w:sz w:val="20"/>
        </w:rPr>
        <w:t>2.</w:t>
      </w:r>
    </w:p>
    <w:bookmarkEnd w:id="22"/>
    <w:p w14:paraId="2C53B043" w14:textId="77777777" w:rsidR="00BE0373" w:rsidRDefault="003564BE">
      <w:pPr>
        <w:spacing w:before="200" w:line="275" w:lineRule="atLeast"/>
        <w:jc w:val="both"/>
      </w:pPr>
      <w:r>
        <w:rPr>
          <w:rFonts w:ascii="Times New Roman" w:hAnsi="Times New Roman"/>
          <w:color w:val="000000"/>
          <w:sz w:val="20"/>
        </w:rPr>
        <w:t xml:space="preserve">Whirlpool's remaining arguments in opposition to that conclusion are insubstantial. First, Whirlpool argues that </w:t>
      </w:r>
      <w:hyperlink r:id="rId34" w:anchor="co_pp_4be3000003be5">
        <w:r>
          <w:rPr>
            <w:rFonts w:ascii="Times New Roman" w:hAnsi="Times New Roman"/>
            <w:color w:val="000000"/>
            <w:sz w:val="20"/>
          </w:rPr>
          <w:t>§ 954(d)(2)</w:t>
        </w:r>
      </w:hyperlink>
      <w:r>
        <w:rPr>
          <w:rFonts w:ascii="Times New Roman" w:hAnsi="Times New Roman"/>
          <w:color w:val="000000"/>
          <w:sz w:val="20"/>
        </w:rPr>
        <w:t xml:space="preserve"> allows only “income of the branch”—as opposed to income held, as here, by the CFC—to be treated </w:t>
      </w:r>
      <w:r>
        <w:rPr>
          <w:rFonts w:ascii="Times New Roman" w:hAnsi="Times New Roman"/>
          <w:color w:val="000000"/>
          <w:sz w:val="20"/>
        </w:rPr>
        <w:t xml:space="preserve">as FBCSI of the CFC. </w:t>
      </w:r>
      <w:proofErr w:type="spellStart"/>
      <w:r>
        <w:rPr>
          <w:rFonts w:ascii="Times New Roman" w:hAnsi="Times New Roman"/>
          <w:color w:val="000000"/>
          <w:sz w:val="20"/>
        </w:rPr>
        <w:t>Whrlpl</w:t>
      </w:r>
      <w:proofErr w:type="spellEnd"/>
      <w:r>
        <w:rPr>
          <w:rFonts w:ascii="Times New Roman" w:hAnsi="Times New Roman"/>
          <w:color w:val="000000"/>
          <w:sz w:val="20"/>
        </w:rPr>
        <w:t xml:space="preserve">. Br. 30. But that argument glosses over the words of the provision itself. </w:t>
      </w:r>
      <w:hyperlink r:id="rId35" w:anchor="co_pp_4be3000003be5">
        <w:r>
          <w:rPr>
            <w:rFonts w:ascii="Times New Roman" w:hAnsi="Times New Roman"/>
            <w:color w:val="000000"/>
            <w:sz w:val="20"/>
          </w:rPr>
          <w:t>Section 954(d)(2)</w:t>
        </w:r>
      </w:hyperlink>
      <w:r>
        <w:rPr>
          <w:rFonts w:ascii="Times New Roman" w:hAnsi="Times New Roman"/>
          <w:color w:val="000000"/>
          <w:sz w:val="20"/>
        </w:rPr>
        <w:t xml:space="preserve"> says that, if the provision's two conditions are met, “the income </w:t>
      </w:r>
      <w:r>
        <w:rPr>
          <w:rFonts w:ascii="Times New Roman" w:hAnsi="Times New Roman"/>
          <w:i/>
          <w:color w:val="000000"/>
          <w:sz w:val="20"/>
        </w:rPr>
        <w:t>attributable to</w:t>
      </w:r>
      <w:r>
        <w:rPr>
          <w:rFonts w:ascii="Times New Roman" w:hAnsi="Times New Roman"/>
          <w:color w:val="000000"/>
          <w:sz w:val="20"/>
        </w:rPr>
        <w:t>” the branch's activ</w:t>
      </w:r>
      <w:r>
        <w:rPr>
          <w:rFonts w:ascii="Times New Roman" w:hAnsi="Times New Roman"/>
          <w:color w:val="000000"/>
          <w:sz w:val="20"/>
        </w:rPr>
        <w:t xml:space="preserve">ities “shall be treated as income derived by a wholly owned subsidiary and shall constitute foreign base company sales income of the [CFC].” (Emphasis added.) “Attributable” means “resulting from[.]” </w:t>
      </w:r>
      <w:r>
        <w:rPr>
          <w:rFonts w:ascii="Times New Roman" w:hAnsi="Times New Roman"/>
          <w:i/>
          <w:color w:val="000000"/>
          <w:sz w:val="20"/>
        </w:rPr>
        <w:t>The Random House Dictionary of the English Language</w:t>
      </w:r>
      <w:r>
        <w:rPr>
          <w:rFonts w:ascii="Times New Roman" w:hAnsi="Times New Roman"/>
          <w:color w:val="000000"/>
          <w:sz w:val="20"/>
        </w:rPr>
        <w:t xml:space="preserve"> 96 (</w:t>
      </w:r>
      <w:r>
        <w:rPr>
          <w:rFonts w:ascii="Times New Roman" w:hAnsi="Times New Roman"/>
          <w:color w:val="000000"/>
          <w:sz w:val="20"/>
        </w:rPr>
        <w:t xml:space="preserve">1966); </w:t>
      </w:r>
      <w:r>
        <w:rPr>
          <w:rFonts w:ascii="Times New Roman" w:hAnsi="Times New Roman"/>
          <w:i/>
          <w:color w:val="000000"/>
          <w:sz w:val="20"/>
        </w:rPr>
        <w:t>see also, e.g.</w:t>
      </w:r>
      <w:r>
        <w:rPr>
          <w:rFonts w:ascii="Times New Roman" w:hAnsi="Times New Roman"/>
          <w:color w:val="000000"/>
          <w:sz w:val="20"/>
        </w:rPr>
        <w:t xml:space="preserve">, </w:t>
      </w:r>
      <w:r>
        <w:rPr>
          <w:rFonts w:ascii="Times New Roman" w:hAnsi="Times New Roman"/>
          <w:i/>
          <w:color w:val="000000"/>
          <w:sz w:val="20"/>
        </w:rPr>
        <w:t>The Am. Heritage Dictionary</w:t>
      </w:r>
      <w:r>
        <w:rPr>
          <w:rFonts w:ascii="Times New Roman" w:hAnsi="Times New Roman"/>
          <w:color w:val="000000"/>
          <w:sz w:val="20"/>
        </w:rPr>
        <w:t xml:space="preserve"> 86 (1969) (same). Thus, for income to be “attributable to” a branch's activities, the branch itself need not hold or obtain the income; rather, the income need only result from the branch's activities. And</w:t>
      </w:r>
      <w:r>
        <w:rPr>
          <w:rFonts w:ascii="Times New Roman" w:hAnsi="Times New Roman"/>
          <w:color w:val="000000"/>
          <w:sz w:val="20"/>
        </w:rPr>
        <w:t xml:space="preserve"> here, as Whirlpool itself has conceded, Lux's sales income resulted from the activities of its Mexican branch, as opposed to the activities of Lux's </w:t>
      </w:r>
      <w:r>
        <w:rPr>
          <w:rFonts w:ascii="Times New Roman" w:hAnsi="Times New Roman"/>
          <w:color w:val="000000"/>
          <w:sz w:val="20"/>
        </w:rPr>
        <w:t>single part-time employee. That income was therefore was “attributable to” the branch's activities.</w:t>
      </w:r>
    </w:p>
    <w:p w14:paraId="219DC199" w14:textId="77777777" w:rsidR="00BE0373" w:rsidRDefault="003564BE">
      <w:pPr>
        <w:spacing w:line="275" w:lineRule="atLeast"/>
        <w:jc w:val="both"/>
      </w:pPr>
      <w:r>
        <w:rPr>
          <w:rFonts w:ascii="Times New Roman" w:hAnsi="Times New Roman"/>
          <w:color w:val="000000"/>
          <w:sz w:val="20"/>
        </w:rPr>
        <w:t> </w:t>
      </w:r>
    </w:p>
    <w:p w14:paraId="3C18DA75" w14:textId="77777777" w:rsidR="00BE0373" w:rsidRDefault="003564BE">
      <w:pPr>
        <w:spacing w:line="275" w:lineRule="atLeast"/>
        <w:jc w:val="both"/>
      </w:pPr>
      <w:bookmarkStart w:id="23" w:name="co_anchor_B52055116179_1"/>
      <w:bookmarkEnd w:id="23"/>
      <w:r>
        <w:rPr>
          <w:rFonts w:ascii="Times New Roman" w:hAnsi="Times New Roman"/>
          <w:color w:val="000000"/>
          <w:sz w:val="20"/>
        </w:rPr>
        <w:t>Whir</w:t>
      </w:r>
      <w:r>
        <w:rPr>
          <w:rFonts w:ascii="Times New Roman" w:hAnsi="Times New Roman"/>
          <w:color w:val="000000"/>
          <w:sz w:val="20"/>
        </w:rPr>
        <w:t xml:space="preserve">lpool also invokes the heading of </w:t>
      </w:r>
      <w:hyperlink r:id="rId36" w:anchor="co_pp_4be3000003be5">
        <w:r>
          <w:rPr>
            <w:rFonts w:ascii="Times New Roman" w:hAnsi="Times New Roman"/>
            <w:color w:val="000000"/>
            <w:sz w:val="20"/>
          </w:rPr>
          <w:t>§ 954(d)(2)</w:t>
        </w:r>
      </w:hyperlink>
      <w:r>
        <w:rPr>
          <w:rFonts w:ascii="Times New Roman" w:hAnsi="Times New Roman"/>
          <w:color w:val="000000"/>
          <w:sz w:val="20"/>
        </w:rPr>
        <w:t>: “Certain branch income.” But that phrase can easily be construed to comprise income attributable to a branch as well as income held by it. More to the point, the provision's t</w:t>
      </w:r>
      <w:r>
        <w:rPr>
          <w:rFonts w:ascii="Times New Roman" w:hAnsi="Times New Roman"/>
          <w:color w:val="000000"/>
          <w:sz w:val="20"/>
        </w:rPr>
        <w:t xml:space="preserve">ext says “attributable to”; and </w:t>
      </w:r>
      <w:proofErr w:type="gramStart"/>
      <w:r>
        <w:rPr>
          <w:rFonts w:ascii="Times New Roman" w:hAnsi="Times New Roman"/>
          <w:color w:val="000000"/>
          <w:sz w:val="20"/>
        </w:rPr>
        <w:t>“ ‘</w:t>
      </w:r>
      <w:proofErr w:type="gramEnd"/>
      <w:r>
        <w:rPr>
          <w:rFonts w:ascii="Times New Roman" w:hAnsi="Times New Roman"/>
          <w:color w:val="000000"/>
          <w:sz w:val="20"/>
        </w:rPr>
        <w:t xml:space="preserve">the heading of a section cannot limit the plain meaning of the text.’ ” </w:t>
      </w:r>
      <w:hyperlink r:id="rId37" w:anchor="co_pp_sp_506_629">
        <w:r>
          <w:rPr>
            <w:rFonts w:ascii="Times New Roman" w:hAnsi="Times New Roman"/>
            <w:i/>
            <w:color w:val="000000"/>
            <w:sz w:val="20"/>
          </w:rPr>
          <w:t>United States v. Michael</w:t>
        </w:r>
        <w:r>
          <w:rPr>
            <w:rFonts w:ascii="Times New Roman" w:hAnsi="Times New Roman"/>
            <w:color w:val="000000"/>
            <w:sz w:val="20"/>
          </w:rPr>
          <w:t>, 882 F.3d 624, 629 (6th Cir. 2018)</w:t>
        </w:r>
      </w:hyperlink>
      <w:r>
        <w:rPr>
          <w:rFonts w:ascii="Times New Roman" w:hAnsi="Times New Roman"/>
          <w:color w:val="000000"/>
          <w:sz w:val="20"/>
        </w:rPr>
        <w:t xml:space="preserve"> (quoting </w:t>
      </w:r>
      <w:hyperlink r:id="rId38" w:anchor="co_pp_sp_780_528">
        <w:r>
          <w:rPr>
            <w:rFonts w:ascii="Times New Roman" w:hAnsi="Times New Roman"/>
            <w:i/>
            <w:color w:val="000000"/>
            <w:sz w:val="20"/>
          </w:rPr>
          <w:t>Bhd. of R.R. Trainmen v. Baltimore &amp; O.R. Co.</w:t>
        </w:r>
        <w:r>
          <w:rPr>
            <w:rFonts w:ascii="Times New Roman" w:hAnsi="Times New Roman"/>
            <w:color w:val="000000"/>
            <w:sz w:val="20"/>
          </w:rPr>
          <w:t xml:space="preserve">, 331 U.S. 519, 528-29, 67 </w:t>
        </w:r>
        <w:proofErr w:type="spellStart"/>
        <w:r>
          <w:rPr>
            <w:rFonts w:ascii="Times New Roman" w:hAnsi="Times New Roman"/>
            <w:color w:val="000000"/>
            <w:sz w:val="20"/>
          </w:rPr>
          <w:t>S.Ct</w:t>
        </w:r>
        <w:proofErr w:type="spellEnd"/>
        <w:r>
          <w:rPr>
            <w:rFonts w:ascii="Times New Roman" w:hAnsi="Times New Roman"/>
            <w:color w:val="000000"/>
            <w:sz w:val="20"/>
          </w:rPr>
          <w:t xml:space="preserve">. 1387, 91 </w:t>
        </w:r>
        <w:proofErr w:type="spellStart"/>
        <w:r>
          <w:rPr>
            <w:rFonts w:ascii="Times New Roman" w:hAnsi="Times New Roman"/>
            <w:color w:val="000000"/>
            <w:sz w:val="20"/>
          </w:rPr>
          <w:t>L.Ed</w:t>
        </w:r>
        <w:proofErr w:type="spellEnd"/>
        <w:r>
          <w:rPr>
            <w:rFonts w:ascii="Times New Roman" w:hAnsi="Times New Roman"/>
            <w:color w:val="000000"/>
            <w:sz w:val="20"/>
          </w:rPr>
          <w:t>. 1646 (1947)</w:t>
        </w:r>
      </w:hyperlink>
      <w:r>
        <w:rPr>
          <w:rFonts w:ascii="Times New Roman" w:hAnsi="Times New Roman"/>
          <w:color w:val="000000"/>
          <w:sz w:val="20"/>
        </w:rPr>
        <w:t>). Whirlpool's argument is without merit.</w:t>
      </w:r>
    </w:p>
    <w:p w14:paraId="2081861C" w14:textId="77777777" w:rsidR="00BE0373" w:rsidRDefault="003564BE">
      <w:pPr>
        <w:spacing w:line="275" w:lineRule="atLeast"/>
        <w:jc w:val="both"/>
      </w:pPr>
      <w:r>
        <w:rPr>
          <w:rFonts w:ascii="Times New Roman" w:hAnsi="Times New Roman"/>
          <w:color w:val="000000"/>
          <w:sz w:val="20"/>
        </w:rPr>
        <w:t> </w:t>
      </w:r>
    </w:p>
    <w:p w14:paraId="24029E37" w14:textId="77777777" w:rsidR="00BE0373" w:rsidRDefault="003564BE">
      <w:pPr>
        <w:spacing w:line="275" w:lineRule="atLeast"/>
        <w:jc w:val="both"/>
      </w:pPr>
      <w:r>
        <w:rPr>
          <w:rFonts w:ascii="Times New Roman" w:hAnsi="Times New Roman"/>
          <w:color w:val="000000"/>
          <w:sz w:val="20"/>
        </w:rPr>
        <w:t xml:space="preserve">Second, Whirlpool argues that </w:t>
      </w:r>
      <w:hyperlink r:id="rId39" w:anchor="co_pp_4be3000003be5">
        <w:r>
          <w:rPr>
            <w:rFonts w:ascii="Times New Roman" w:hAnsi="Times New Roman"/>
            <w:color w:val="000000"/>
            <w:sz w:val="20"/>
          </w:rPr>
          <w:t>§ 954(d)(2)</w:t>
        </w:r>
      </w:hyperlink>
      <w:r>
        <w:rPr>
          <w:rFonts w:ascii="Times New Roman" w:hAnsi="Times New Roman"/>
          <w:color w:val="000000"/>
          <w:sz w:val="20"/>
        </w:rPr>
        <w:t xml:space="preserve"> standi</w:t>
      </w:r>
      <w:r>
        <w:rPr>
          <w:rFonts w:ascii="Times New Roman" w:hAnsi="Times New Roman"/>
          <w:color w:val="000000"/>
          <w:sz w:val="20"/>
        </w:rPr>
        <w:t xml:space="preserve">ng alone cannot support a determination that Lux's sales income is FBCSI. On this point Whirlpool first cites the introductory clause of </w:t>
      </w:r>
      <w:hyperlink r:id="rId40" w:anchor="co_pp_4be3000003be5">
        <w:r>
          <w:rPr>
            <w:rFonts w:ascii="Times New Roman" w:hAnsi="Times New Roman"/>
            <w:color w:val="000000"/>
            <w:sz w:val="20"/>
          </w:rPr>
          <w:t>§ 954(d)(2)</w:t>
        </w:r>
      </w:hyperlink>
      <w:r>
        <w:rPr>
          <w:rFonts w:ascii="Times New Roman" w:hAnsi="Times New Roman"/>
          <w:color w:val="000000"/>
          <w:sz w:val="20"/>
        </w:rPr>
        <w:t>, which reads: “For purposes of determining foreign base company sales inc</w:t>
      </w:r>
      <w:r>
        <w:rPr>
          <w:rFonts w:ascii="Times New Roman" w:hAnsi="Times New Roman"/>
          <w:color w:val="000000"/>
          <w:sz w:val="20"/>
        </w:rPr>
        <w:t xml:space="preserve">ome[.]” Whirlpool then points to </w:t>
      </w:r>
      <w:hyperlink r:id="rId41" w:anchor="co_pp_e07e0000a9f57">
        <w:r>
          <w:rPr>
            <w:rFonts w:ascii="Times New Roman" w:hAnsi="Times New Roman"/>
            <w:color w:val="000000"/>
            <w:sz w:val="20"/>
          </w:rPr>
          <w:t>§ 954(d)(1)</w:t>
        </w:r>
      </w:hyperlink>
      <w:r>
        <w:rPr>
          <w:rFonts w:ascii="Times New Roman" w:hAnsi="Times New Roman"/>
          <w:color w:val="000000"/>
          <w:sz w:val="20"/>
        </w:rPr>
        <w:t xml:space="preserve">, which states that “foreign base company sales income means income” from four types of transactions involving a “related person[.]” </w:t>
      </w:r>
      <w:bookmarkStart w:id="24" w:name="co_pp_sp_8173_954_1"/>
      <w:r>
        <w:rPr>
          <w:rFonts w:ascii="Times New Roman" w:hAnsi="Times New Roman"/>
          <w:b/>
          <w:color w:val="000000"/>
          <w:sz w:val="20"/>
        </w:rPr>
        <w:t>*954</w:t>
      </w:r>
      <w:bookmarkEnd w:id="24"/>
      <w:r>
        <w:rPr>
          <w:rFonts w:ascii="Times New Roman" w:hAnsi="Times New Roman"/>
          <w:color w:val="000000"/>
          <w:sz w:val="20"/>
        </w:rPr>
        <w:t xml:space="preserve"> Thus, in Whirlpool's view, if the condit</w:t>
      </w:r>
      <w:r>
        <w:rPr>
          <w:rFonts w:ascii="Times New Roman" w:hAnsi="Times New Roman"/>
          <w:color w:val="000000"/>
          <w:sz w:val="20"/>
        </w:rPr>
        <w:t xml:space="preserve">ions of </w:t>
      </w:r>
      <w:hyperlink r:id="rId42" w:anchor="co_pp_4be3000003be5">
        <w:r>
          <w:rPr>
            <w:rFonts w:ascii="Times New Roman" w:hAnsi="Times New Roman"/>
            <w:color w:val="000000"/>
            <w:sz w:val="20"/>
          </w:rPr>
          <w:t>§ 954(d)(2)</w:t>
        </w:r>
      </w:hyperlink>
      <w:r>
        <w:rPr>
          <w:rFonts w:ascii="Times New Roman" w:hAnsi="Times New Roman"/>
          <w:color w:val="000000"/>
          <w:sz w:val="20"/>
        </w:rPr>
        <w:t xml:space="preserve"> are met, the transaction at issue must still fit within one of the four types of transactions described in </w:t>
      </w:r>
      <w:hyperlink r:id="rId43" w:anchor="co_pp_e07e0000a9f57">
        <w:r>
          <w:rPr>
            <w:rFonts w:ascii="Times New Roman" w:hAnsi="Times New Roman"/>
            <w:color w:val="000000"/>
            <w:sz w:val="20"/>
          </w:rPr>
          <w:t>§ 954(d)(1)</w:t>
        </w:r>
      </w:hyperlink>
      <w:r>
        <w:rPr>
          <w:rFonts w:ascii="Times New Roman" w:hAnsi="Times New Roman"/>
          <w:color w:val="000000"/>
          <w:sz w:val="20"/>
        </w:rPr>
        <w:t xml:space="preserve">—when treating the branch as a “wholly owned subsidiary of the [CFC,]” as prescribed in the first consequence of </w:t>
      </w:r>
      <w:hyperlink r:id="rId44" w:anchor="co_pp_4be3000003be5">
        <w:r>
          <w:rPr>
            <w:rFonts w:ascii="Times New Roman" w:hAnsi="Times New Roman"/>
            <w:color w:val="000000"/>
            <w:sz w:val="20"/>
          </w:rPr>
          <w:t>§ 954(d)(2)</w:t>
        </w:r>
      </w:hyperlink>
      <w:r>
        <w:rPr>
          <w:rFonts w:ascii="Times New Roman" w:hAnsi="Times New Roman"/>
          <w:color w:val="000000"/>
          <w:sz w:val="20"/>
        </w:rPr>
        <w:t>—in order for the income from the transaction to be treated as FBCSI of the CFC.</w:t>
      </w:r>
    </w:p>
    <w:p w14:paraId="137C66BF" w14:textId="77777777" w:rsidR="00BE0373" w:rsidRDefault="003564BE">
      <w:pPr>
        <w:spacing w:line="275" w:lineRule="atLeast"/>
        <w:jc w:val="both"/>
      </w:pPr>
      <w:r>
        <w:rPr>
          <w:rFonts w:ascii="Times New Roman" w:hAnsi="Times New Roman"/>
          <w:color w:val="000000"/>
          <w:sz w:val="20"/>
        </w:rPr>
        <w:t> </w:t>
      </w:r>
    </w:p>
    <w:p w14:paraId="267E5ACC" w14:textId="77777777" w:rsidR="00BE0373" w:rsidRDefault="003564BE">
      <w:pPr>
        <w:spacing w:line="275" w:lineRule="atLeast"/>
        <w:jc w:val="both"/>
      </w:pPr>
      <w:r>
        <w:rPr>
          <w:rFonts w:ascii="Times New Roman" w:hAnsi="Times New Roman"/>
          <w:color w:val="000000"/>
          <w:sz w:val="20"/>
        </w:rPr>
        <w:t>But that argume</w:t>
      </w:r>
      <w:r>
        <w:rPr>
          <w:rFonts w:ascii="Times New Roman" w:hAnsi="Times New Roman"/>
          <w:color w:val="000000"/>
          <w:sz w:val="20"/>
        </w:rPr>
        <w:t xml:space="preserve">nt overlooks the structure of the two provisions and the emphatic terms of </w:t>
      </w:r>
      <w:hyperlink r:id="rId45" w:anchor="co_pp_4be3000003be5">
        <w:r>
          <w:rPr>
            <w:rFonts w:ascii="Times New Roman" w:hAnsi="Times New Roman"/>
            <w:color w:val="000000"/>
            <w:sz w:val="20"/>
          </w:rPr>
          <w:t>§ 954(d)(2)</w:t>
        </w:r>
      </w:hyperlink>
      <w:r>
        <w:rPr>
          <w:rFonts w:ascii="Times New Roman" w:hAnsi="Times New Roman"/>
          <w:color w:val="000000"/>
          <w:sz w:val="20"/>
        </w:rPr>
        <w:t xml:space="preserve"> itself. </w:t>
      </w:r>
      <w:hyperlink r:id="rId46" w:anchor="co_pp_e07e0000a9f57">
        <w:r>
          <w:rPr>
            <w:rFonts w:ascii="Times New Roman" w:hAnsi="Times New Roman"/>
            <w:color w:val="000000"/>
            <w:sz w:val="20"/>
          </w:rPr>
          <w:t>Section 954(d)(1)</w:t>
        </w:r>
      </w:hyperlink>
      <w:r>
        <w:rPr>
          <w:rFonts w:ascii="Times New Roman" w:hAnsi="Times New Roman"/>
          <w:color w:val="000000"/>
          <w:sz w:val="20"/>
        </w:rPr>
        <w:t xml:space="preserve"> sets forth a general rule: it identifies four types of transactions that te</w:t>
      </w:r>
      <w:r>
        <w:rPr>
          <w:rFonts w:ascii="Times New Roman" w:hAnsi="Times New Roman"/>
          <w:color w:val="000000"/>
          <w:sz w:val="20"/>
        </w:rPr>
        <w:t xml:space="preserve">nd to result in tax </w:t>
      </w:r>
      <w:proofErr w:type="gramStart"/>
      <w:r>
        <w:rPr>
          <w:rFonts w:ascii="Times New Roman" w:hAnsi="Times New Roman"/>
          <w:color w:val="000000"/>
          <w:sz w:val="20"/>
        </w:rPr>
        <w:t>deferral, and</w:t>
      </w:r>
      <w:proofErr w:type="gramEnd"/>
      <w:r>
        <w:rPr>
          <w:rFonts w:ascii="Times New Roman" w:hAnsi="Times New Roman"/>
          <w:color w:val="000000"/>
          <w:sz w:val="20"/>
        </w:rPr>
        <w:t xml:space="preserve"> says that income resulting from them is FBCSI. </w:t>
      </w:r>
      <w:hyperlink r:id="rId47" w:anchor="co_pp_4be3000003be5">
        <w:r>
          <w:rPr>
            <w:rFonts w:ascii="Times New Roman" w:hAnsi="Times New Roman"/>
            <w:color w:val="000000"/>
            <w:sz w:val="20"/>
          </w:rPr>
          <w:t>Section 954(d)(2)</w:t>
        </w:r>
      </w:hyperlink>
      <w:r>
        <w:rPr>
          <w:rFonts w:ascii="Times New Roman" w:hAnsi="Times New Roman"/>
          <w:color w:val="000000"/>
          <w:sz w:val="20"/>
        </w:rPr>
        <w:t>, in contrast, sets forth a special rule—one that applies (to pick up where the introductory clause leaves off) “in situatio</w:t>
      </w:r>
      <w:r>
        <w:rPr>
          <w:rFonts w:ascii="Times New Roman" w:hAnsi="Times New Roman"/>
          <w:color w:val="000000"/>
          <w:sz w:val="20"/>
        </w:rPr>
        <w:t>ns in which the carrying on of activities by a controlled foreign corporation through a branch or similar establishment outside the country of incorporation of the controlled foreign corporation has substantially the same effect as if such branch or simila</w:t>
      </w:r>
      <w:r>
        <w:rPr>
          <w:rFonts w:ascii="Times New Roman" w:hAnsi="Times New Roman"/>
          <w:color w:val="000000"/>
          <w:sz w:val="20"/>
        </w:rPr>
        <w:t>r establishment were a wholly owned subsidiary corporation deriving such income[.]” As explained above, that “situation” already includes—as the provision's second condition—the circumstance that the branch arrangement results in a deferral of tax on sales</w:t>
      </w:r>
      <w:r>
        <w:rPr>
          <w:rFonts w:ascii="Times New Roman" w:hAnsi="Times New Roman"/>
          <w:color w:val="000000"/>
          <w:sz w:val="20"/>
        </w:rPr>
        <w:t xml:space="preserve"> income. Thus, whereas </w:t>
      </w:r>
      <w:hyperlink r:id="rId48" w:anchor="co_pp_e07e0000a9f57">
        <w:r>
          <w:rPr>
            <w:rFonts w:ascii="Times New Roman" w:hAnsi="Times New Roman"/>
            <w:color w:val="000000"/>
            <w:sz w:val="20"/>
          </w:rPr>
          <w:t>§ 954(d)(1)</w:t>
        </w:r>
      </w:hyperlink>
      <w:r>
        <w:rPr>
          <w:rFonts w:ascii="Times New Roman" w:hAnsi="Times New Roman"/>
          <w:color w:val="000000"/>
          <w:sz w:val="20"/>
        </w:rPr>
        <w:t xml:space="preserve"> </w:t>
      </w:r>
      <w:r>
        <w:rPr>
          <w:rFonts w:ascii="Times New Roman" w:hAnsi="Times New Roman"/>
          <w:color w:val="000000"/>
          <w:sz w:val="20"/>
        </w:rPr>
        <w:lastRenderedPageBreak/>
        <w:t>involves an intermediate step for determining whether a transaction results in tax deferral—namely, the determination whether the transaction at issue is of a type that tends to cause tha</w:t>
      </w:r>
      <w:r>
        <w:rPr>
          <w:rFonts w:ascii="Times New Roman" w:hAnsi="Times New Roman"/>
          <w:color w:val="000000"/>
          <w:sz w:val="20"/>
        </w:rPr>
        <w:t>t result—</w:t>
      </w:r>
      <w:hyperlink r:id="rId49" w:anchor="co_pp_4be3000003be5">
        <w:r>
          <w:rPr>
            <w:rFonts w:ascii="Times New Roman" w:hAnsi="Times New Roman"/>
            <w:color w:val="000000"/>
            <w:sz w:val="20"/>
          </w:rPr>
          <w:t>§ 954(d)(2)</w:t>
        </w:r>
      </w:hyperlink>
      <w:r>
        <w:rPr>
          <w:rFonts w:ascii="Times New Roman" w:hAnsi="Times New Roman"/>
          <w:color w:val="000000"/>
          <w:sz w:val="20"/>
        </w:rPr>
        <w:t xml:space="preserve"> cuts to the bottom line of deferral itself. And having cut to that bottom line, </w:t>
      </w:r>
      <w:hyperlink r:id="rId50" w:anchor="co_pp_4be3000003be5">
        <w:r>
          <w:rPr>
            <w:rFonts w:ascii="Times New Roman" w:hAnsi="Times New Roman"/>
            <w:color w:val="000000"/>
            <w:sz w:val="20"/>
          </w:rPr>
          <w:t>§ 954(d)(2)</w:t>
        </w:r>
      </w:hyperlink>
      <w:r>
        <w:rPr>
          <w:rFonts w:ascii="Times New Roman" w:hAnsi="Times New Roman"/>
          <w:color w:val="000000"/>
          <w:sz w:val="20"/>
        </w:rPr>
        <w:t>'s terms are peremptory: if the provision's two conditions are met, the inco</w:t>
      </w:r>
      <w:r>
        <w:rPr>
          <w:rFonts w:ascii="Times New Roman" w:hAnsi="Times New Roman"/>
          <w:color w:val="000000"/>
          <w:sz w:val="20"/>
        </w:rPr>
        <w:t>me at issue “</w:t>
      </w:r>
      <w:r>
        <w:rPr>
          <w:rFonts w:ascii="Times New Roman" w:hAnsi="Times New Roman"/>
          <w:i/>
          <w:color w:val="000000"/>
          <w:sz w:val="20"/>
        </w:rPr>
        <w:t>shall constitute foreign base company sales income of the [CFC]</w:t>
      </w:r>
      <w:r>
        <w:rPr>
          <w:rFonts w:ascii="Times New Roman" w:hAnsi="Times New Roman"/>
          <w:color w:val="000000"/>
          <w:sz w:val="20"/>
        </w:rPr>
        <w:t xml:space="preserve">.” (Emphasis added.) We have no license or reason to read into </w:t>
      </w:r>
      <w:hyperlink r:id="rId51" w:anchor="co_pp_4be3000003be5">
        <w:r>
          <w:rPr>
            <w:rFonts w:ascii="Times New Roman" w:hAnsi="Times New Roman"/>
            <w:color w:val="000000"/>
            <w:sz w:val="20"/>
          </w:rPr>
          <w:t>§ 954(d)(2)</w:t>
        </w:r>
      </w:hyperlink>
      <w:r>
        <w:rPr>
          <w:rFonts w:ascii="Times New Roman" w:hAnsi="Times New Roman"/>
          <w:color w:val="000000"/>
          <w:sz w:val="20"/>
        </w:rPr>
        <w:t>'s introductory clause a putative implication that renders meaningless t</w:t>
      </w:r>
      <w:r>
        <w:rPr>
          <w:rFonts w:ascii="Times New Roman" w:hAnsi="Times New Roman"/>
          <w:color w:val="000000"/>
          <w:sz w:val="20"/>
        </w:rPr>
        <w:t xml:space="preserve">hat statutory command. Here, </w:t>
      </w:r>
      <w:hyperlink r:id="rId52" w:anchor="co_pp_4be3000003be5">
        <w:r>
          <w:rPr>
            <w:rFonts w:ascii="Times New Roman" w:hAnsi="Times New Roman"/>
            <w:color w:val="000000"/>
            <w:sz w:val="20"/>
          </w:rPr>
          <w:t>§ 954(d)(2)</w:t>
        </w:r>
      </w:hyperlink>
      <w:r>
        <w:rPr>
          <w:rFonts w:ascii="Times New Roman" w:hAnsi="Times New Roman"/>
          <w:color w:val="000000"/>
          <w:sz w:val="20"/>
        </w:rPr>
        <w:t>'s conditions are met; the consequences that follow are clear from the statute itself.</w:t>
      </w:r>
    </w:p>
    <w:p w14:paraId="586DFA6E" w14:textId="77777777" w:rsidR="00BE0373" w:rsidRDefault="003564BE">
      <w:pPr>
        <w:spacing w:line="275" w:lineRule="atLeast"/>
        <w:jc w:val="both"/>
      </w:pPr>
      <w:r>
        <w:rPr>
          <w:rFonts w:ascii="Times New Roman" w:hAnsi="Times New Roman"/>
          <w:color w:val="000000"/>
          <w:sz w:val="20"/>
        </w:rPr>
        <w:t> </w:t>
      </w:r>
    </w:p>
    <w:p w14:paraId="0E2D4241" w14:textId="77777777" w:rsidR="00BE0373" w:rsidRDefault="003564BE">
      <w:pPr>
        <w:spacing w:line="275" w:lineRule="atLeast"/>
        <w:jc w:val="center"/>
      </w:pPr>
      <w:r>
        <w:rPr>
          <w:rFonts w:ascii="Times New Roman" w:hAnsi="Times New Roman"/>
          <w:color w:val="000000"/>
          <w:sz w:val="20"/>
        </w:rPr>
        <w:t>* * *</w:t>
      </w:r>
    </w:p>
    <w:p w14:paraId="7953677D" w14:textId="77777777" w:rsidR="00BE0373" w:rsidRDefault="003564BE">
      <w:pPr>
        <w:spacing w:line="275" w:lineRule="atLeast"/>
        <w:jc w:val="both"/>
      </w:pPr>
      <w:r>
        <w:rPr>
          <w:rFonts w:ascii="Times New Roman" w:hAnsi="Times New Roman"/>
          <w:color w:val="000000"/>
          <w:sz w:val="20"/>
        </w:rPr>
        <w:t> </w:t>
      </w:r>
    </w:p>
    <w:p w14:paraId="0FB6293D" w14:textId="77777777" w:rsidR="00BE0373" w:rsidRDefault="003564BE">
      <w:pPr>
        <w:spacing w:line="275" w:lineRule="atLeast"/>
        <w:jc w:val="both"/>
      </w:pPr>
      <w:r>
        <w:rPr>
          <w:rFonts w:ascii="Times New Roman" w:hAnsi="Times New Roman"/>
          <w:color w:val="000000"/>
          <w:sz w:val="20"/>
        </w:rPr>
        <w:t>The Tax Court's judgment is affirmed.</w:t>
      </w:r>
    </w:p>
    <w:p w14:paraId="5A58C254" w14:textId="77777777" w:rsidR="00BE0373" w:rsidRDefault="003564BE">
      <w:pPr>
        <w:spacing w:line="275" w:lineRule="atLeast"/>
        <w:jc w:val="both"/>
      </w:pPr>
      <w:r>
        <w:rPr>
          <w:rFonts w:ascii="Times New Roman" w:hAnsi="Times New Roman"/>
          <w:color w:val="000000"/>
          <w:sz w:val="20"/>
        </w:rPr>
        <w:t> </w:t>
      </w:r>
    </w:p>
    <w:p w14:paraId="1A240110" w14:textId="77777777" w:rsidR="00BE0373" w:rsidRDefault="003564BE">
      <w:pPr>
        <w:spacing w:before="1000" w:line="275" w:lineRule="atLeast"/>
        <w:jc w:val="center"/>
      </w:pPr>
      <w:bookmarkStart w:id="25" w:name="co_anchor_I549bdfc1aec311ec9f1af6ade2"/>
      <w:bookmarkStart w:id="26" w:name="co_anchor_I549bdfc1aec311ec9f1af6ade371"/>
      <w:bookmarkStart w:id="27" w:name="co_dissent_opinion_1"/>
      <w:r>
        <w:rPr>
          <w:rFonts w:ascii="Times New Roman" w:hAnsi="Times New Roman"/>
          <w:b/>
          <w:color w:val="000000"/>
          <w:sz w:val="20"/>
        </w:rPr>
        <w:t>DISSENT</w:t>
      </w:r>
    </w:p>
    <w:bookmarkStart w:id="28" w:name="co_anchor_I549bdfc1aec311ec9f1af6ade3"/>
    <w:bookmarkEnd w:id="25"/>
    <w:bookmarkEnd w:id="26"/>
    <w:bookmarkEnd w:id="27"/>
    <w:p w14:paraId="72496F8B" w14:textId="77777777" w:rsidR="00BE0373" w:rsidRDefault="003564BE">
      <w:pPr>
        <w:spacing w:before="600" w:line="275" w:lineRule="atLeast"/>
      </w:pPr>
      <w:r>
        <w:fldChar w:fldCharType="begin"/>
      </w:r>
      <w:r>
        <w:instrText xml:space="preserve"> HYPERLINK "http://www.westlaw.com/Link/Document/FullText?findType=h&amp;pubNum=176284&amp;cite=0509508501&amp;originatingDoc=Id40d0ac056fa11ec80e88bfd15733b68&amp;refType=RQ&amp;originationContext=document&amp;vr=3.0&amp;rs=cblt1.0&amp;transitionType=DocumentItem&amp;contextData=(sc.Search)</w:instrText>
      </w:r>
      <w:r>
        <w:instrText xml:space="preserve">" \h </w:instrText>
      </w:r>
      <w:r>
        <w:fldChar w:fldCharType="separate"/>
      </w:r>
      <w:r>
        <w:rPr>
          <w:rFonts w:ascii="Times New Roman" w:hAnsi="Times New Roman"/>
          <w:color w:val="000000"/>
          <w:sz w:val="20"/>
        </w:rPr>
        <w:t>NALBANDIAN</w:t>
      </w:r>
      <w:r>
        <w:rPr>
          <w:rFonts w:ascii="Times New Roman" w:hAnsi="Times New Roman"/>
          <w:color w:val="000000"/>
          <w:sz w:val="20"/>
        </w:rPr>
        <w:fldChar w:fldCharType="end"/>
      </w:r>
      <w:r>
        <w:rPr>
          <w:rFonts w:ascii="Times New Roman" w:hAnsi="Times New Roman"/>
          <w:color w:val="000000"/>
          <w:sz w:val="20"/>
        </w:rPr>
        <w:t>, Circuit Judge, dissenting.</w:t>
      </w:r>
    </w:p>
    <w:bookmarkEnd w:id="28"/>
    <w:p w14:paraId="06491233" w14:textId="77777777" w:rsidR="00BE0373" w:rsidRDefault="003564BE">
      <w:pPr>
        <w:spacing w:before="200" w:line="275" w:lineRule="atLeast"/>
        <w:jc w:val="both"/>
      </w:pPr>
      <w:r>
        <w:rPr>
          <w:rFonts w:ascii="Times New Roman" w:hAnsi="Times New Roman"/>
          <w:color w:val="000000"/>
          <w:sz w:val="20"/>
        </w:rPr>
        <w:t>This is a hard case. It involves a complicated statute and an even more complicated set of regulations. The majority thoughtfully engages with both and comes to a reasoned conclusion. But I see this case differe</w:t>
      </w:r>
      <w:r>
        <w:rPr>
          <w:rFonts w:ascii="Times New Roman" w:hAnsi="Times New Roman"/>
          <w:color w:val="000000"/>
          <w:sz w:val="20"/>
        </w:rPr>
        <w:t xml:space="preserve">ntly. In my view, LUX didn't generate taxable foreign base company sales income because it “manufactured” the property it bought and sold. </w:t>
      </w:r>
      <w:r>
        <w:rPr>
          <w:rFonts w:ascii="Times New Roman" w:hAnsi="Times New Roman"/>
          <w:i/>
          <w:color w:val="000000"/>
          <w:sz w:val="20"/>
        </w:rPr>
        <w:t>See</w:t>
      </w:r>
      <w:r>
        <w:rPr>
          <w:rFonts w:ascii="Times New Roman" w:hAnsi="Times New Roman"/>
          <w:color w:val="000000"/>
          <w:sz w:val="20"/>
        </w:rPr>
        <w:t xml:space="preserve"> </w:t>
      </w:r>
      <w:hyperlink r:id="rId53" w:anchor="co_pp_abdc00009f201">
        <w:r>
          <w:rPr>
            <w:rFonts w:ascii="Times New Roman" w:hAnsi="Times New Roman"/>
            <w:color w:val="000000"/>
            <w:sz w:val="20"/>
          </w:rPr>
          <w:t>26 C.F.R. § 1.954-3(a)(4)(ii)</w:t>
        </w:r>
      </w:hyperlink>
      <w:r>
        <w:rPr>
          <w:rFonts w:ascii="Times New Roman" w:hAnsi="Times New Roman"/>
          <w:color w:val="000000"/>
          <w:sz w:val="20"/>
        </w:rPr>
        <w:t>.</w:t>
      </w:r>
      <w:bookmarkStart w:id="29" w:name="co_fnRef_B00012055116179_ID0ETNBG_1"/>
      <w:r>
        <w:fldChar w:fldCharType="begin"/>
      </w:r>
      <w:r>
        <w:instrText xml:space="preserve"> HYPERLINK \l "co_footnote_B00012055116179_1</w:instrText>
      </w:r>
      <w:r>
        <w:instrText xml:space="preserve">" \h </w:instrText>
      </w:r>
      <w:r>
        <w:fldChar w:fldCharType="separate"/>
      </w:r>
      <w:r>
        <w:rPr>
          <w:rFonts w:ascii="Times New Roman" w:hAnsi="Times New Roman"/>
          <w:b/>
          <w:color w:val="000000"/>
          <w:sz w:val="16"/>
          <w:vertAlign w:val="superscript"/>
        </w:rPr>
        <w:t>1</w:t>
      </w:r>
      <w:r>
        <w:rPr>
          <w:rFonts w:ascii="Times New Roman" w:hAnsi="Times New Roman"/>
          <w:b/>
          <w:color w:val="000000"/>
          <w:sz w:val="16"/>
          <w:vertAlign w:val="superscript"/>
        </w:rPr>
        <w:fldChar w:fldCharType="end"/>
      </w:r>
      <w:bookmarkEnd w:id="29"/>
      <w:r>
        <w:rPr>
          <w:rFonts w:ascii="Times New Roman" w:hAnsi="Times New Roman"/>
          <w:color w:val="000000"/>
          <w:sz w:val="20"/>
        </w:rPr>
        <w:t xml:space="preserve"> And that's true even if we shuffle the relevant transactions under </w:t>
      </w:r>
      <w:hyperlink r:id="rId54" w:anchor="co_pp_4be3000003be5">
        <w:r>
          <w:rPr>
            <w:rFonts w:ascii="Times New Roman" w:hAnsi="Times New Roman"/>
            <w:color w:val="000000"/>
            <w:sz w:val="20"/>
          </w:rPr>
          <w:t>26 U.S.C. § 954(d)(2)</w:t>
        </w:r>
      </w:hyperlink>
      <w:r>
        <w:rPr>
          <w:rFonts w:ascii="Times New Roman" w:hAnsi="Times New Roman"/>
          <w:color w:val="000000"/>
          <w:sz w:val="20"/>
        </w:rPr>
        <w:t>. Thus, I dissent.</w:t>
      </w:r>
    </w:p>
    <w:p w14:paraId="3C4BD4D1" w14:textId="77777777" w:rsidR="00BE0373" w:rsidRDefault="003564BE">
      <w:pPr>
        <w:spacing w:line="275" w:lineRule="atLeast"/>
        <w:jc w:val="both"/>
      </w:pPr>
      <w:r>
        <w:rPr>
          <w:rFonts w:ascii="Times New Roman" w:hAnsi="Times New Roman"/>
          <w:color w:val="000000"/>
          <w:sz w:val="20"/>
        </w:rPr>
        <w:t> </w:t>
      </w:r>
    </w:p>
    <w:p w14:paraId="443028CC" w14:textId="77777777" w:rsidR="00BE0373" w:rsidRDefault="003564BE">
      <w:pPr>
        <w:spacing w:before="600" w:line="275" w:lineRule="atLeast"/>
        <w:jc w:val="center"/>
      </w:pPr>
      <w:bookmarkStart w:id="30" w:name="co_anchor_I549d1841aec311ec9f1af6ade2"/>
      <w:bookmarkStart w:id="31" w:name="co_anchor_I549d1841aec311ec9f1af6ade371"/>
      <w:r>
        <w:rPr>
          <w:rFonts w:ascii="Times New Roman" w:hAnsi="Times New Roman"/>
          <w:color w:val="000000"/>
          <w:sz w:val="20"/>
        </w:rPr>
        <w:t>I.</w:t>
      </w:r>
    </w:p>
    <w:bookmarkEnd w:id="30"/>
    <w:bookmarkEnd w:id="31"/>
    <w:p w14:paraId="0699EFE8" w14:textId="77777777" w:rsidR="00BE0373" w:rsidRDefault="003564BE">
      <w:pPr>
        <w:spacing w:before="400" w:line="275" w:lineRule="atLeast"/>
        <w:jc w:val="both"/>
      </w:pPr>
      <w:r>
        <w:rPr>
          <w:rFonts w:ascii="Times New Roman" w:hAnsi="Times New Roman"/>
          <w:color w:val="000000"/>
          <w:sz w:val="20"/>
        </w:rPr>
        <w:t xml:space="preserve">This case is about statutory interpretation. There are two relevant statutory provisions, </w:t>
      </w:r>
      <w:hyperlink r:id="rId55" w:anchor="co_pp_e07e0000a9f57">
        <w:r>
          <w:rPr>
            <w:rFonts w:ascii="Times New Roman" w:hAnsi="Times New Roman"/>
            <w:color w:val="000000"/>
            <w:sz w:val="20"/>
          </w:rPr>
          <w:t>26 U.S.C. §§ 954(d)(1)</w:t>
        </w:r>
      </w:hyperlink>
      <w:r>
        <w:rPr>
          <w:rFonts w:ascii="Times New Roman" w:hAnsi="Times New Roman"/>
          <w:color w:val="000000"/>
          <w:sz w:val="20"/>
        </w:rPr>
        <w:t xml:space="preserve"> and </w:t>
      </w:r>
      <w:hyperlink r:id="rId56" w:anchor="co_pp_4be3000003be5">
        <w:r>
          <w:rPr>
            <w:rFonts w:ascii="Times New Roman" w:hAnsi="Times New Roman"/>
            <w:color w:val="000000"/>
            <w:sz w:val="20"/>
          </w:rPr>
          <w:t>(d)(2)</w:t>
        </w:r>
      </w:hyperlink>
      <w:r>
        <w:rPr>
          <w:rFonts w:ascii="Times New Roman" w:hAnsi="Times New Roman"/>
          <w:color w:val="000000"/>
          <w:sz w:val="20"/>
        </w:rPr>
        <w:t>. The majority relies on the latter to hold that LUX generated FB</w:t>
      </w:r>
      <w:r>
        <w:rPr>
          <w:rFonts w:ascii="Times New Roman" w:hAnsi="Times New Roman"/>
          <w:color w:val="000000"/>
          <w:sz w:val="20"/>
        </w:rPr>
        <w:t xml:space="preserve">CSI. But the key here is solving the relationship </w:t>
      </w:r>
      <w:r>
        <w:rPr>
          <w:rFonts w:ascii="Times New Roman" w:hAnsi="Times New Roman"/>
          <w:color w:val="000000"/>
          <w:sz w:val="20"/>
        </w:rPr>
        <w:t>between these two provisions. To that end, I start with some brief background.</w:t>
      </w:r>
    </w:p>
    <w:p w14:paraId="5A9549EE" w14:textId="77777777" w:rsidR="00BE0373" w:rsidRDefault="003564BE">
      <w:pPr>
        <w:spacing w:line="275" w:lineRule="atLeast"/>
        <w:jc w:val="both"/>
      </w:pPr>
      <w:r>
        <w:rPr>
          <w:rFonts w:ascii="Times New Roman" w:hAnsi="Times New Roman"/>
          <w:color w:val="000000"/>
          <w:sz w:val="20"/>
        </w:rPr>
        <w:t> </w:t>
      </w:r>
    </w:p>
    <w:p w14:paraId="2C422793" w14:textId="77777777" w:rsidR="00BE0373" w:rsidRDefault="003564BE">
      <w:pPr>
        <w:spacing w:line="275" w:lineRule="atLeast"/>
        <w:jc w:val="both"/>
      </w:pPr>
      <w:r>
        <w:rPr>
          <w:rFonts w:ascii="Times New Roman" w:hAnsi="Times New Roman"/>
          <w:color w:val="000000"/>
          <w:sz w:val="20"/>
        </w:rPr>
        <w:t xml:space="preserve">Before Congress passed the Revenue Act of 1962, income a foreign corporation </w:t>
      </w:r>
      <w:bookmarkStart w:id="32" w:name="co_pp_sp_8173_955_1"/>
      <w:r>
        <w:rPr>
          <w:rFonts w:ascii="Times New Roman" w:hAnsi="Times New Roman"/>
          <w:b/>
          <w:color w:val="000000"/>
          <w:sz w:val="20"/>
        </w:rPr>
        <w:t>*955</w:t>
      </w:r>
      <w:bookmarkEnd w:id="32"/>
      <w:r>
        <w:rPr>
          <w:rFonts w:ascii="Times New Roman" w:hAnsi="Times New Roman"/>
          <w:color w:val="000000"/>
          <w:sz w:val="20"/>
        </w:rPr>
        <w:t xml:space="preserve"> earned from sources outside the United Stat</w:t>
      </w:r>
      <w:r>
        <w:rPr>
          <w:rFonts w:ascii="Times New Roman" w:hAnsi="Times New Roman"/>
          <w:color w:val="000000"/>
          <w:sz w:val="20"/>
        </w:rPr>
        <w:t xml:space="preserve">es generally was not subject to federal tax, even if an American shareholder controlled the corporation. </w:t>
      </w:r>
      <w:r>
        <w:rPr>
          <w:rFonts w:ascii="Times New Roman" w:hAnsi="Times New Roman"/>
          <w:i/>
          <w:color w:val="000000"/>
          <w:sz w:val="20"/>
        </w:rPr>
        <w:t xml:space="preserve">See </w:t>
      </w:r>
      <w:hyperlink r:id="rId57" w:anchor="co_pp_sp_838_353">
        <w:r>
          <w:rPr>
            <w:rFonts w:ascii="Times New Roman" w:hAnsi="Times New Roman"/>
            <w:i/>
            <w:color w:val="000000"/>
            <w:sz w:val="20"/>
          </w:rPr>
          <w:t>Dave Fischbein Mfg. v. Comm'r</w:t>
        </w:r>
        <w:r>
          <w:rPr>
            <w:rFonts w:ascii="Times New Roman" w:hAnsi="Times New Roman"/>
            <w:color w:val="000000"/>
            <w:sz w:val="20"/>
          </w:rPr>
          <w:t>, 59 T.C. 338, 353 (1972)</w:t>
        </w:r>
      </w:hyperlink>
      <w:r>
        <w:rPr>
          <w:rFonts w:ascii="Times New Roman" w:hAnsi="Times New Roman"/>
          <w:color w:val="000000"/>
          <w:sz w:val="20"/>
        </w:rPr>
        <w:t>. Predictably, this led to the use of “t</w:t>
      </w:r>
      <w:r>
        <w:rPr>
          <w:rFonts w:ascii="Times New Roman" w:hAnsi="Times New Roman"/>
          <w:color w:val="000000"/>
          <w:sz w:val="20"/>
        </w:rPr>
        <w:t xml:space="preserve">ax havens”—countries “within which only minimal business operations were carried on in order to insulate income from U.S. tax.” </w:t>
      </w:r>
      <w:hyperlink r:id="rId58" w:anchor="co_pp_sp_838_585">
        <w:proofErr w:type="spellStart"/>
        <w:r>
          <w:rPr>
            <w:rFonts w:ascii="Times New Roman" w:hAnsi="Times New Roman"/>
            <w:i/>
            <w:color w:val="000000"/>
            <w:sz w:val="20"/>
          </w:rPr>
          <w:t>Vetco</w:t>
        </w:r>
        <w:proofErr w:type="spellEnd"/>
        <w:r>
          <w:rPr>
            <w:rFonts w:ascii="Times New Roman" w:hAnsi="Times New Roman"/>
            <w:i/>
            <w:color w:val="000000"/>
            <w:sz w:val="20"/>
          </w:rPr>
          <w:t xml:space="preserve"> Inc. v. Comm'r</w:t>
        </w:r>
        <w:r>
          <w:rPr>
            <w:rFonts w:ascii="Times New Roman" w:hAnsi="Times New Roman"/>
            <w:color w:val="000000"/>
            <w:sz w:val="20"/>
          </w:rPr>
          <w:t>, 95 T.C. 579, 585 (1990)</w:t>
        </w:r>
      </w:hyperlink>
      <w:r>
        <w:rPr>
          <w:rFonts w:ascii="Times New Roman" w:hAnsi="Times New Roman"/>
          <w:color w:val="000000"/>
          <w:sz w:val="20"/>
        </w:rPr>
        <w:t xml:space="preserve">. In other words, the Revenue </w:t>
      </w:r>
      <w:r>
        <w:rPr>
          <w:rFonts w:ascii="Times New Roman" w:hAnsi="Times New Roman"/>
          <w:color w:val="000000"/>
          <w:sz w:val="20"/>
        </w:rPr>
        <w:t xml:space="preserve">Code allowed multinational corporations to “realize substantial tax savings by using a subsidiary organized in a tax haven as a base for its foreign operations.” Eric T. Laity, </w:t>
      </w:r>
      <w:hyperlink r:id="rId59" w:anchor="co_pp_sp_1110_94">
        <w:r>
          <w:rPr>
            <w:rFonts w:ascii="Times New Roman" w:hAnsi="Times New Roman"/>
            <w:i/>
            <w:color w:val="000000"/>
            <w:sz w:val="20"/>
          </w:rPr>
          <w:t>The Foreign Base Company S</w:t>
        </w:r>
        <w:r>
          <w:rPr>
            <w:rFonts w:ascii="Times New Roman" w:hAnsi="Times New Roman"/>
            <w:i/>
            <w:color w:val="000000"/>
            <w:sz w:val="20"/>
          </w:rPr>
          <w:t>ales Income of Controlled Foreign Corporations</w:t>
        </w:r>
        <w:r>
          <w:rPr>
            <w:rFonts w:ascii="Times New Roman" w:hAnsi="Times New Roman"/>
            <w:color w:val="000000"/>
            <w:sz w:val="20"/>
          </w:rPr>
          <w:t>, 31 Cornell Int'l L. J. 93, 94 (1998)</w:t>
        </w:r>
      </w:hyperlink>
      <w:r>
        <w:rPr>
          <w:rFonts w:ascii="Times New Roman" w:hAnsi="Times New Roman"/>
          <w:color w:val="000000"/>
          <w:sz w:val="20"/>
        </w:rPr>
        <w:t>.</w:t>
      </w:r>
    </w:p>
    <w:p w14:paraId="00F4EC67" w14:textId="77777777" w:rsidR="00BE0373" w:rsidRDefault="003564BE">
      <w:pPr>
        <w:spacing w:line="275" w:lineRule="atLeast"/>
        <w:jc w:val="both"/>
      </w:pPr>
      <w:r>
        <w:rPr>
          <w:rFonts w:ascii="Times New Roman" w:hAnsi="Times New Roman"/>
          <w:color w:val="000000"/>
          <w:sz w:val="20"/>
        </w:rPr>
        <w:t> </w:t>
      </w:r>
    </w:p>
    <w:p w14:paraId="4F1DCF28" w14:textId="77777777" w:rsidR="00BE0373" w:rsidRDefault="003564BE">
      <w:pPr>
        <w:spacing w:line="275" w:lineRule="atLeast"/>
        <w:jc w:val="both"/>
      </w:pPr>
      <w:r>
        <w:rPr>
          <w:rFonts w:ascii="Times New Roman" w:hAnsi="Times New Roman"/>
          <w:color w:val="000000"/>
          <w:sz w:val="20"/>
        </w:rPr>
        <w:t xml:space="preserve">As the majority points out, Congress tried to rein some of this in with the Revenue Act of 1962. The Act added Subpart F income to the Internal Revenue Code. </w:t>
      </w:r>
      <w:hyperlink r:id="rId60" w:anchor="co_pp_sp_838_585">
        <w:proofErr w:type="spellStart"/>
        <w:r>
          <w:rPr>
            <w:rFonts w:ascii="Times New Roman" w:hAnsi="Times New Roman"/>
            <w:i/>
            <w:color w:val="000000"/>
            <w:sz w:val="20"/>
          </w:rPr>
          <w:t>Vetco</w:t>
        </w:r>
        <w:proofErr w:type="spellEnd"/>
        <w:r>
          <w:rPr>
            <w:rFonts w:ascii="Times New Roman" w:hAnsi="Times New Roman"/>
            <w:color w:val="000000"/>
            <w:sz w:val="20"/>
          </w:rPr>
          <w:t>, 95 T.C. at 585–86</w:t>
        </w:r>
      </w:hyperlink>
      <w:r>
        <w:rPr>
          <w:rFonts w:ascii="Times New Roman" w:hAnsi="Times New Roman"/>
          <w:color w:val="000000"/>
          <w:sz w:val="20"/>
        </w:rPr>
        <w:t xml:space="preserve">; </w:t>
      </w:r>
      <w:r>
        <w:rPr>
          <w:rFonts w:ascii="Times New Roman" w:hAnsi="Times New Roman"/>
          <w:i/>
          <w:color w:val="000000"/>
          <w:sz w:val="20"/>
        </w:rPr>
        <w:t>see generally</w:t>
      </w:r>
      <w:r>
        <w:rPr>
          <w:rFonts w:ascii="Times New Roman" w:hAnsi="Times New Roman"/>
          <w:color w:val="000000"/>
          <w:sz w:val="20"/>
        </w:rPr>
        <w:t xml:space="preserve"> </w:t>
      </w:r>
      <w:hyperlink r:id="rId61">
        <w:r>
          <w:rPr>
            <w:rFonts w:ascii="Times New Roman" w:hAnsi="Times New Roman"/>
            <w:color w:val="000000"/>
            <w:sz w:val="20"/>
          </w:rPr>
          <w:t>26 U.S.C. § 951 et seq.</w:t>
        </w:r>
      </w:hyperlink>
      <w:r>
        <w:rPr>
          <w:rFonts w:ascii="Times New Roman" w:hAnsi="Times New Roman"/>
          <w:color w:val="000000"/>
          <w:sz w:val="20"/>
        </w:rPr>
        <w:t xml:space="preserve"> As a result, U.S. shareholders of “controlled foreign corporations” (CFCs) must pay taxes on their pro rata share of the CFC's Subpart F inc</w:t>
      </w:r>
      <w:r>
        <w:rPr>
          <w:rFonts w:ascii="Times New Roman" w:hAnsi="Times New Roman"/>
          <w:color w:val="000000"/>
          <w:sz w:val="20"/>
        </w:rPr>
        <w:t>ome.</w:t>
      </w:r>
      <w:bookmarkStart w:id="33" w:name="co_fnRef_B00022055116179_ID0EEUBG_1"/>
      <w:r>
        <w:fldChar w:fldCharType="begin"/>
      </w:r>
      <w:r>
        <w:instrText xml:space="preserve"> HYPERLINK \l "co_footnote_B00022055116179_1" \h </w:instrText>
      </w:r>
      <w:r>
        <w:fldChar w:fldCharType="separate"/>
      </w:r>
      <w:r>
        <w:rPr>
          <w:rFonts w:ascii="Times New Roman" w:hAnsi="Times New Roman"/>
          <w:b/>
          <w:color w:val="000000"/>
          <w:sz w:val="16"/>
          <w:vertAlign w:val="superscript"/>
        </w:rPr>
        <w:t>2</w:t>
      </w:r>
      <w:r>
        <w:rPr>
          <w:rFonts w:ascii="Times New Roman" w:hAnsi="Times New Roman"/>
          <w:b/>
          <w:color w:val="000000"/>
          <w:sz w:val="16"/>
          <w:vertAlign w:val="superscript"/>
        </w:rPr>
        <w:fldChar w:fldCharType="end"/>
      </w:r>
      <w:bookmarkEnd w:id="33"/>
      <w:r>
        <w:rPr>
          <w:rFonts w:ascii="Times New Roman" w:hAnsi="Times New Roman"/>
          <w:color w:val="000000"/>
          <w:sz w:val="20"/>
        </w:rPr>
        <w:t xml:space="preserve"> </w:t>
      </w:r>
      <w:hyperlink r:id="rId62" w:anchor="co_pp_sp_838_585">
        <w:proofErr w:type="spellStart"/>
        <w:r>
          <w:rPr>
            <w:rFonts w:ascii="Times New Roman" w:hAnsi="Times New Roman"/>
            <w:i/>
            <w:color w:val="000000"/>
            <w:sz w:val="20"/>
          </w:rPr>
          <w:t>Vetco</w:t>
        </w:r>
        <w:proofErr w:type="spellEnd"/>
        <w:r>
          <w:rPr>
            <w:rFonts w:ascii="Times New Roman" w:hAnsi="Times New Roman"/>
            <w:color w:val="000000"/>
            <w:sz w:val="20"/>
          </w:rPr>
          <w:t>, 95 T.C. at 585–86</w:t>
        </w:r>
      </w:hyperlink>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hyperlink r:id="rId63" w:anchor="co_pp_a5e1000094854">
        <w:r>
          <w:rPr>
            <w:rFonts w:ascii="Times New Roman" w:hAnsi="Times New Roman"/>
            <w:color w:val="000000"/>
            <w:sz w:val="20"/>
          </w:rPr>
          <w:t>26 U.S.C. § 951(a)(1)(A)</w:t>
        </w:r>
      </w:hyperlink>
      <w:r>
        <w:rPr>
          <w:rFonts w:ascii="Times New Roman" w:hAnsi="Times New Roman"/>
          <w:color w:val="000000"/>
          <w:sz w:val="20"/>
        </w:rPr>
        <w:t>.</w:t>
      </w:r>
    </w:p>
    <w:p w14:paraId="45A12406" w14:textId="77777777" w:rsidR="00BE0373" w:rsidRDefault="003564BE">
      <w:pPr>
        <w:spacing w:line="275" w:lineRule="atLeast"/>
        <w:jc w:val="both"/>
      </w:pPr>
      <w:r>
        <w:rPr>
          <w:rFonts w:ascii="Times New Roman" w:hAnsi="Times New Roman"/>
          <w:color w:val="000000"/>
          <w:sz w:val="20"/>
        </w:rPr>
        <w:t> </w:t>
      </w:r>
    </w:p>
    <w:p w14:paraId="51EFCE19" w14:textId="77777777" w:rsidR="00BE0373" w:rsidRDefault="003564BE">
      <w:pPr>
        <w:spacing w:line="275" w:lineRule="atLeast"/>
        <w:jc w:val="both"/>
      </w:pPr>
      <w:r>
        <w:rPr>
          <w:rFonts w:ascii="Times New Roman" w:hAnsi="Times New Roman"/>
          <w:color w:val="000000"/>
          <w:sz w:val="20"/>
        </w:rPr>
        <w:t xml:space="preserve">What is Subpart F income? It comes in several forms. </w:t>
      </w:r>
      <w:r>
        <w:rPr>
          <w:rFonts w:ascii="Times New Roman" w:hAnsi="Times New Roman"/>
          <w:color w:val="000000"/>
          <w:sz w:val="20"/>
        </w:rPr>
        <w:t xml:space="preserve">Relevant here, Subpart F income includes “foreign base company income.” </w:t>
      </w:r>
      <w:r>
        <w:rPr>
          <w:rFonts w:ascii="Times New Roman" w:hAnsi="Times New Roman"/>
          <w:i/>
          <w:color w:val="000000"/>
          <w:sz w:val="20"/>
        </w:rPr>
        <w:t>See</w:t>
      </w:r>
      <w:r>
        <w:rPr>
          <w:rFonts w:ascii="Times New Roman" w:hAnsi="Times New Roman"/>
          <w:color w:val="000000"/>
          <w:sz w:val="20"/>
        </w:rPr>
        <w:t xml:space="preserve"> </w:t>
      </w:r>
      <w:hyperlink r:id="rId64" w:anchor="co_pp_d86d0000be040">
        <w:r>
          <w:rPr>
            <w:rFonts w:ascii="Times New Roman" w:hAnsi="Times New Roman"/>
            <w:color w:val="000000"/>
            <w:sz w:val="20"/>
          </w:rPr>
          <w:t>26 U.S.C. § 952(a)(2)</w:t>
        </w:r>
      </w:hyperlink>
      <w:r>
        <w:rPr>
          <w:rFonts w:ascii="Times New Roman" w:hAnsi="Times New Roman"/>
          <w:color w:val="000000"/>
          <w:sz w:val="20"/>
        </w:rPr>
        <w:t xml:space="preserve">. And foreign base company income includes “foreign base company </w:t>
      </w:r>
      <w:r>
        <w:rPr>
          <w:rFonts w:ascii="Times New Roman" w:hAnsi="Times New Roman"/>
          <w:i/>
          <w:color w:val="000000"/>
          <w:sz w:val="20"/>
        </w:rPr>
        <w:t>sales</w:t>
      </w:r>
      <w:r>
        <w:rPr>
          <w:rFonts w:ascii="Times New Roman" w:hAnsi="Times New Roman"/>
          <w:color w:val="000000"/>
          <w:sz w:val="20"/>
        </w:rPr>
        <w:t xml:space="preserve"> income,” which we call FBCSI. </w:t>
      </w:r>
      <w:r>
        <w:rPr>
          <w:rFonts w:ascii="Times New Roman" w:hAnsi="Times New Roman"/>
          <w:i/>
          <w:color w:val="000000"/>
          <w:sz w:val="20"/>
        </w:rPr>
        <w:t>Id.</w:t>
      </w:r>
      <w:r>
        <w:rPr>
          <w:rFonts w:ascii="Times New Roman" w:hAnsi="Times New Roman"/>
          <w:color w:val="000000"/>
          <w:sz w:val="20"/>
        </w:rPr>
        <w:t xml:space="preserve"> § 954(a)(2) (emphasis added). Thus, U.S. shareholders of a CFC must pay their pro rata share of taxes on the CFC's FBCSI. </w:t>
      </w:r>
      <w:r>
        <w:rPr>
          <w:rFonts w:ascii="Times New Roman" w:hAnsi="Times New Roman"/>
          <w:i/>
          <w:color w:val="000000"/>
          <w:sz w:val="20"/>
        </w:rPr>
        <w:t>See id.</w:t>
      </w:r>
      <w:r>
        <w:rPr>
          <w:rFonts w:ascii="Times New Roman" w:hAnsi="Times New Roman"/>
          <w:color w:val="000000"/>
          <w:sz w:val="20"/>
        </w:rPr>
        <w:t xml:space="preserve"> §§ 951(a)(1)(A), 952(a)(2), 954(a)(2). Translated into more familiar terms, Whirlpool must </w:t>
      </w:r>
      <w:r>
        <w:rPr>
          <w:rFonts w:ascii="Times New Roman" w:hAnsi="Times New Roman"/>
          <w:color w:val="000000"/>
          <w:sz w:val="20"/>
        </w:rPr>
        <w:t xml:space="preserve">pay its pro rata share of LUX's foreign base company sales income. </w:t>
      </w:r>
      <w:proofErr w:type="gramStart"/>
      <w:r>
        <w:rPr>
          <w:rFonts w:ascii="Times New Roman" w:hAnsi="Times New Roman"/>
          <w:color w:val="000000"/>
          <w:sz w:val="20"/>
        </w:rPr>
        <w:t>So</w:t>
      </w:r>
      <w:proofErr w:type="gramEnd"/>
      <w:r>
        <w:rPr>
          <w:rFonts w:ascii="Times New Roman" w:hAnsi="Times New Roman"/>
          <w:color w:val="000000"/>
          <w:sz w:val="20"/>
        </w:rPr>
        <w:t xml:space="preserve"> whether Whirlpool owes taxes on LUX's income depends on whether that income qualifies as FBCSI.</w:t>
      </w:r>
    </w:p>
    <w:p w14:paraId="77C27FB4" w14:textId="77777777" w:rsidR="00BE0373" w:rsidRDefault="003564BE">
      <w:pPr>
        <w:spacing w:line="275" w:lineRule="atLeast"/>
        <w:jc w:val="both"/>
      </w:pPr>
      <w:r>
        <w:rPr>
          <w:rFonts w:ascii="Times New Roman" w:hAnsi="Times New Roman"/>
          <w:color w:val="000000"/>
          <w:sz w:val="20"/>
        </w:rPr>
        <w:t> </w:t>
      </w:r>
    </w:p>
    <w:p w14:paraId="7BAA086F" w14:textId="77777777" w:rsidR="00BE0373" w:rsidRDefault="003564BE">
      <w:pPr>
        <w:spacing w:before="600" w:line="275" w:lineRule="atLeast"/>
        <w:jc w:val="center"/>
      </w:pPr>
      <w:bookmarkStart w:id="34" w:name="co_anchor_I54a44431aec311ec9f1af6ade2"/>
      <w:bookmarkStart w:id="35" w:name="co_anchor_I54a44431aec311ec9f1af6ade371"/>
      <w:r>
        <w:rPr>
          <w:rFonts w:ascii="Times New Roman" w:hAnsi="Times New Roman"/>
          <w:color w:val="000000"/>
          <w:sz w:val="20"/>
        </w:rPr>
        <w:t>A.</w:t>
      </w:r>
    </w:p>
    <w:bookmarkEnd w:id="34"/>
    <w:bookmarkEnd w:id="35"/>
    <w:p w14:paraId="451287D4" w14:textId="77777777" w:rsidR="00BE0373" w:rsidRDefault="003564BE">
      <w:pPr>
        <w:spacing w:before="400" w:line="275" w:lineRule="atLeast"/>
        <w:jc w:val="both"/>
      </w:pPr>
      <w:r>
        <w:rPr>
          <w:rFonts w:ascii="Times New Roman" w:hAnsi="Times New Roman"/>
          <w:color w:val="000000"/>
          <w:sz w:val="20"/>
        </w:rPr>
        <w:t>I don't believe LUX generated FBCSI here. FBCSI comes in two forms. The first is inco</w:t>
      </w:r>
      <w:r>
        <w:rPr>
          <w:rFonts w:ascii="Times New Roman" w:hAnsi="Times New Roman"/>
          <w:color w:val="000000"/>
          <w:sz w:val="20"/>
        </w:rPr>
        <w:t xml:space="preserve">me from a Related-Person </w:t>
      </w:r>
      <w:r>
        <w:rPr>
          <w:rFonts w:ascii="Times New Roman" w:hAnsi="Times New Roman"/>
          <w:color w:val="000000"/>
          <w:sz w:val="20"/>
        </w:rPr>
        <w:lastRenderedPageBreak/>
        <w:t>Transaction.</w:t>
      </w:r>
      <w:bookmarkStart w:id="36" w:name="co_fnRef_B00032055116179_ID0EQZBG_1"/>
      <w:r>
        <w:fldChar w:fldCharType="begin"/>
      </w:r>
      <w:r>
        <w:instrText xml:space="preserve"> HYPERLINK \l "co_footnote_B00032055116179_1" \h </w:instrText>
      </w:r>
      <w:r>
        <w:fldChar w:fldCharType="separate"/>
      </w:r>
      <w:r>
        <w:rPr>
          <w:rFonts w:ascii="Times New Roman" w:hAnsi="Times New Roman"/>
          <w:b/>
          <w:color w:val="000000"/>
          <w:sz w:val="16"/>
          <w:vertAlign w:val="superscript"/>
        </w:rPr>
        <w:t>3</w:t>
      </w:r>
      <w:r>
        <w:rPr>
          <w:rFonts w:ascii="Times New Roman" w:hAnsi="Times New Roman"/>
          <w:b/>
          <w:color w:val="000000"/>
          <w:sz w:val="16"/>
          <w:vertAlign w:val="superscript"/>
        </w:rPr>
        <w:fldChar w:fldCharType="end"/>
      </w:r>
      <w:bookmarkEnd w:id="36"/>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hyperlink r:id="rId65" w:anchor="co_pp_e07e0000a9f57">
        <w:r>
          <w:rPr>
            <w:rFonts w:ascii="Times New Roman" w:hAnsi="Times New Roman"/>
            <w:color w:val="000000"/>
            <w:sz w:val="20"/>
          </w:rPr>
          <w:t>26 U.S.C. § 954(d)(1)</w:t>
        </w:r>
      </w:hyperlink>
      <w:r>
        <w:rPr>
          <w:rFonts w:ascii="Times New Roman" w:hAnsi="Times New Roman"/>
          <w:color w:val="000000"/>
          <w:sz w:val="20"/>
        </w:rPr>
        <w:t xml:space="preserve">. Under </w:t>
      </w:r>
      <w:hyperlink r:id="rId66" w:anchor="co_pp_e07e0000a9f57">
        <w:r>
          <w:rPr>
            <w:rFonts w:ascii="Times New Roman" w:hAnsi="Times New Roman"/>
            <w:color w:val="000000"/>
            <w:sz w:val="20"/>
          </w:rPr>
          <w:t>§ 954(d)(1)</w:t>
        </w:r>
      </w:hyperlink>
      <w:r>
        <w:rPr>
          <w:rFonts w:ascii="Times New Roman" w:hAnsi="Times New Roman"/>
          <w:color w:val="000000"/>
          <w:sz w:val="20"/>
        </w:rPr>
        <w:t>, FBCSI is “income derived in connection with” four t</w:t>
      </w:r>
      <w:r>
        <w:rPr>
          <w:rFonts w:ascii="Times New Roman" w:hAnsi="Times New Roman"/>
          <w:color w:val="000000"/>
          <w:sz w:val="20"/>
        </w:rPr>
        <w:t>ypes of related-person sales transactions:</w:t>
      </w:r>
    </w:p>
    <w:p w14:paraId="72F1B371" w14:textId="77777777" w:rsidR="00BE0373" w:rsidRDefault="003564BE">
      <w:pPr>
        <w:spacing w:before="200" w:line="275" w:lineRule="atLeast"/>
        <w:ind w:left="400" w:hanging="200"/>
        <w:jc w:val="both"/>
      </w:pPr>
      <w:r>
        <w:rPr>
          <w:rFonts w:ascii="Times New Roman" w:hAnsi="Times New Roman"/>
          <w:color w:val="000000"/>
          <w:sz w:val="20"/>
        </w:rPr>
        <w:t xml:space="preserve">1. The purchase of personal property from a related person and its sale to </w:t>
      </w:r>
      <w:proofErr w:type="gramStart"/>
      <w:r>
        <w:rPr>
          <w:rFonts w:ascii="Times New Roman" w:hAnsi="Times New Roman"/>
          <w:color w:val="000000"/>
          <w:sz w:val="20"/>
        </w:rPr>
        <w:t>anyone;</w:t>
      </w:r>
      <w:proofErr w:type="gramEnd"/>
    </w:p>
    <w:p w14:paraId="3D7DF7AD" w14:textId="77777777" w:rsidR="00BE0373" w:rsidRDefault="003564BE">
      <w:pPr>
        <w:spacing w:before="200" w:line="275" w:lineRule="atLeast"/>
        <w:ind w:left="400" w:hanging="200"/>
        <w:jc w:val="both"/>
      </w:pPr>
      <w:r>
        <w:rPr>
          <w:rFonts w:ascii="Times New Roman" w:hAnsi="Times New Roman"/>
          <w:color w:val="000000"/>
          <w:sz w:val="20"/>
        </w:rPr>
        <w:t xml:space="preserve">2. The purchase of personal property from anyone and its sale to a related </w:t>
      </w:r>
      <w:proofErr w:type="gramStart"/>
      <w:r>
        <w:rPr>
          <w:rFonts w:ascii="Times New Roman" w:hAnsi="Times New Roman"/>
          <w:color w:val="000000"/>
          <w:sz w:val="20"/>
        </w:rPr>
        <w:t>person;</w:t>
      </w:r>
      <w:proofErr w:type="gramEnd"/>
    </w:p>
    <w:p w14:paraId="24938AFB" w14:textId="77777777" w:rsidR="00BE0373" w:rsidRDefault="003564BE">
      <w:pPr>
        <w:spacing w:before="200" w:line="275" w:lineRule="atLeast"/>
        <w:ind w:left="400" w:hanging="200"/>
        <w:jc w:val="both"/>
      </w:pPr>
      <w:r>
        <w:rPr>
          <w:rFonts w:ascii="Times New Roman" w:hAnsi="Times New Roman"/>
          <w:color w:val="000000"/>
          <w:sz w:val="20"/>
        </w:rPr>
        <w:t>3. The sale of personal property to anyone on b</w:t>
      </w:r>
      <w:r>
        <w:rPr>
          <w:rFonts w:ascii="Times New Roman" w:hAnsi="Times New Roman"/>
          <w:color w:val="000000"/>
          <w:sz w:val="20"/>
        </w:rPr>
        <w:t>ehalf of a related person; or</w:t>
      </w:r>
    </w:p>
    <w:p w14:paraId="4B477E93" w14:textId="77777777" w:rsidR="00BE0373" w:rsidRDefault="003564BE">
      <w:pPr>
        <w:spacing w:before="200" w:line="275" w:lineRule="atLeast"/>
        <w:ind w:left="400" w:hanging="200"/>
        <w:jc w:val="both"/>
      </w:pPr>
      <w:r>
        <w:rPr>
          <w:rFonts w:ascii="Times New Roman" w:hAnsi="Times New Roman"/>
          <w:color w:val="000000"/>
          <w:sz w:val="20"/>
        </w:rPr>
        <w:t>4. The purchase of personal property from anyone on behalf of a related person.</w:t>
      </w:r>
    </w:p>
    <w:p w14:paraId="10CF9A82" w14:textId="77777777" w:rsidR="00BE0373" w:rsidRDefault="003564BE">
      <w:pPr>
        <w:spacing w:line="275" w:lineRule="atLeast"/>
        <w:jc w:val="both"/>
      </w:pPr>
      <w:r>
        <w:rPr>
          <w:rFonts w:ascii="Times New Roman" w:hAnsi="Times New Roman"/>
          <w:color w:val="000000"/>
          <w:sz w:val="20"/>
        </w:rPr>
        <w:t> </w:t>
      </w:r>
    </w:p>
    <w:p w14:paraId="07671D2F" w14:textId="77777777" w:rsidR="00BE0373" w:rsidRDefault="003564BE">
      <w:pPr>
        <w:spacing w:line="275" w:lineRule="atLeast"/>
        <w:jc w:val="both"/>
      </w:pPr>
      <w:r>
        <w:rPr>
          <w:rFonts w:ascii="Times New Roman" w:hAnsi="Times New Roman"/>
          <w:color w:val="000000"/>
          <w:sz w:val="20"/>
        </w:rPr>
        <w:t>“</w:t>
      </w:r>
      <w:hyperlink r:id="rId67" w:anchor="co_pp_e07e0000a9f57">
        <w:r>
          <w:rPr>
            <w:rFonts w:ascii="Times New Roman" w:hAnsi="Times New Roman"/>
            <w:color w:val="000000"/>
            <w:sz w:val="20"/>
          </w:rPr>
          <w:t>Section 954(d)(1)</w:t>
        </w:r>
      </w:hyperlink>
      <w:r>
        <w:rPr>
          <w:rFonts w:ascii="Times New Roman" w:hAnsi="Times New Roman"/>
          <w:color w:val="000000"/>
          <w:sz w:val="20"/>
        </w:rPr>
        <w:t xml:space="preserve"> sets forth the general rule defining FBCSI” by laying out these four triggering transactions. </w:t>
      </w:r>
      <w:hyperlink r:id="rId68" w:anchor="co_pp_sp_838_590">
        <w:proofErr w:type="spellStart"/>
        <w:r>
          <w:rPr>
            <w:rFonts w:ascii="Times New Roman" w:hAnsi="Times New Roman"/>
            <w:i/>
            <w:color w:val="000000"/>
            <w:sz w:val="20"/>
          </w:rPr>
          <w:t>Vetco</w:t>
        </w:r>
        <w:proofErr w:type="spellEnd"/>
        <w:r>
          <w:rPr>
            <w:rFonts w:ascii="Times New Roman" w:hAnsi="Times New Roman"/>
            <w:color w:val="000000"/>
            <w:sz w:val="20"/>
          </w:rPr>
          <w:t>, 95 T.C. at 590</w:t>
        </w:r>
      </w:hyperlink>
      <w:r>
        <w:rPr>
          <w:rFonts w:ascii="Times New Roman" w:hAnsi="Times New Roman"/>
          <w:color w:val="000000"/>
          <w:sz w:val="20"/>
        </w:rPr>
        <w:t>. But perhaps aware that “Americans ha</w:t>
      </w:r>
      <w:r>
        <w:rPr>
          <w:rFonts w:ascii="Times New Roman" w:hAnsi="Times New Roman"/>
          <w:color w:val="000000"/>
          <w:sz w:val="20"/>
        </w:rPr>
        <w:t xml:space="preserve">ve never had much enthusiasm for paying taxes,” </w:t>
      </w:r>
      <w:hyperlink r:id="rId69" w:anchor="co_pp_sp_708_1586">
        <w:r>
          <w:rPr>
            <w:rFonts w:ascii="Times New Roman" w:hAnsi="Times New Roman"/>
            <w:i/>
            <w:color w:val="000000"/>
            <w:sz w:val="20"/>
          </w:rPr>
          <w:t>CIC Servs., LLC v. I.R.S.</w:t>
        </w:r>
        <w:r>
          <w:rPr>
            <w:rFonts w:ascii="Times New Roman" w:hAnsi="Times New Roman"/>
            <w:color w:val="000000"/>
            <w:sz w:val="20"/>
          </w:rPr>
          <w:t>, ––– U.S. ––––, 141 S. Ct. 1582, 1586, 209 L.Ed.2d 615 (2021)</w:t>
        </w:r>
      </w:hyperlink>
      <w:r>
        <w:rPr>
          <w:rFonts w:ascii="Times New Roman" w:hAnsi="Times New Roman"/>
          <w:color w:val="000000"/>
          <w:sz w:val="20"/>
        </w:rPr>
        <w:t xml:space="preserve">, Congress also enacted </w:t>
      </w:r>
      <w:hyperlink r:id="rId70" w:anchor="co_pp_4be3000003be5">
        <w:r>
          <w:rPr>
            <w:rFonts w:ascii="Times New Roman" w:hAnsi="Times New Roman"/>
            <w:color w:val="000000"/>
            <w:sz w:val="20"/>
          </w:rPr>
          <w:t>26 U.S.C</w:t>
        </w:r>
        <w:r>
          <w:rPr>
            <w:rFonts w:ascii="Times New Roman" w:hAnsi="Times New Roman"/>
            <w:color w:val="000000"/>
            <w:sz w:val="20"/>
          </w:rPr>
          <w:t>. § 954(d)(2)</w:t>
        </w:r>
      </w:hyperlink>
      <w:r>
        <w:rPr>
          <w:rFonts w:ascii="Times New Roman" w:hAnsi="Times New Roman"/>
          <w:color w:val="000000"/>
          <w:sz w:val="20"/>
        </w:rPr>
        <w:t xml:space="preserve">, the Branch Rule. That Rule is designed to prevent CFCs from skirting </w:t>
      </w:r>
      <w:hyperlink r:id="rId71" w:anchor="co_pp_e07e0000a9f57">
        <w:r>
          <w:rPr>
            <w:rFonts w:ascii="Times New Roman" w:hAnsi="Times New Roman"/>
            <w:color w:val="000000"/>
            <w:sz w:val="20"/>
          </w:rPr>
          <w:t>§ 954(d)(1)</w:t>
        </w:r>
      </w:hyperlink>
      <w:r>
        <w:rPr>
          <w:rFonts w:ascii="Times New Roman" w:hAnsi="Times New Roman"/>
          <w:color w:val="000000"/>
          <w:sz w:val="20"/>
        </w:rPr>
        <w:t xml:space="preserve"> by transacting with a </w:t>
      </w:r>
      <w:r>
        <w:rPr>
          <w:rFonts w:ascii="Times New Roman" w:hAnsi="Times New Roman"/>
          <w:i/>
          <w:color w:val="000000"/>
          <w:sz w:val="20"/>
        </w:rPr>
        <w:t>branch</w:t>
      </w:r>
      <w:r>
        <w:rPr>
          <w:rFonts w:ascii="Times New Roman" w:hAnsi="Times New Roman"/>
          <w:color w:val="000000"/>
          <w:sz w:val="20"/>
        </w:rPr>
        <w:t xml:space="preserve"> instead of a wholly owned subsidiary. </w:t>
      </w:r>
      <w:r>
        <w:rPr>
          <w:rFonts w:ascii="Times New Roman" w:hAnsi="Times New Roman"/>
          <w:i/>
          <w:color w:val="000000"/>
          <w:sz w:val="20"/>
        </w:rPr>
        <w:t xml:space="preserve">See </w:t>
      </w:r>
      <w:hyperlink r:id="rId72" w:anchor="co_pp_sp_838_593">
        <w:proofErr w:type="spellStart"/>
        <w:r>
          <w:rPr>
            <w:rFonts w:ascii="Times New Roman" w:hAnsi="Times New Roman"/>
            <w:i/>
            <w:color w:val="000000"/>
            <w:sz w:val="20"/>
          </w:rPr>
          <w:t>Ve</w:t>
        </w:r>
        <w:r>
          <w:rPr>
            <w:rFonts w:ascii="Times New Roman" w:hAnsi="Times New Roman"/>
            <w:i/>
            <w:color w:val="000000"/>
            <w:sz w:val="20"/>
          </w:rPr>
          <w:t>tco</w:t>
        </w:r>
        <w:proofErr w:type="spellEnd"/>
        <w:r>
          <w:rPr>
            <w:rFonts w:ascii="Times New Roman" w:hAnsi="Times New Roman"/>
            <w:color w:val="000000"/>
            <w:sz w:val="20"/>
          </w:rPr>
          <w:t>, 95 T.C. at 593</w:t>
        </w:r>
      </w:hyperlink>
      <w:r>
        <w:rPr>
          <w:rFonts w:ascii="Times New Roman" w:hAnsi="Times New Roman"/>
          <w:color w:val="000000"/>
          <w:sz w:val="20"/>
        </w:rPr>
        <w:t xml:space="preserve">. That's because a branch isn't a “related person” under </w:t>
      </w:r>
      <w:hyperlink r:id="rId73" w:anchor="co_pp_17df000040924">
        <w:r>
          <w:rPr>
            <w:rFonts w:ascii="Times New Roman" w:hAnsi="Times New Roman"/>
            <w:color w:val="000000"/>
            <w:sz w:val="20"/>
          </w:rPr>
          <w:t>§ 954(d)(3)</w:t>
        </w:r>
      </w:hyperlink>
      <w:r>
        <w:rPr>
          <w:rFonts w:ascii="Times New Roman" w:hAnsi="Times New Roman"/>
          <w:color w:val="000000"/>
          <w:sz w:val="20"/>
        </w:rPr>
        <w:t xml:space="preserve">, </w:t>
      </w:r>
      <w:r>
        <w:rPr>
          <w:rFonts w:ascii="Times New Roman" w:hAnsi="Times New Roman"/>
          <w:i/>
          <w:color w:val="000000"/>
          <w:sz w:val="20"/>
        </w:rPr>
        <w:t xml:space="preserve">see </w:t>
      </w:r>
      <w:r>
        <w:rPr>
          <w:rFonts w:ascii="Times New Roman" w:hAnsi="Times New Roman"/>
          <w:color w:val="000000"/>
          <w:sz w:val="20"/>
        </w:rPr>
        <w:t xml:space="preserve"> </w:t>
      </w:r>
      <w:bookmarkStart w:id="37" w:name="co_pp_sp_8173_956_1"/>
      <w:r>
        <w:rPr>
          <w:rFonts w:ascii="Times New Roman" w:hAnsi="Times New Roman"/>
          <w:b/>
          <w:color w:val="000000"/>
          <w:sz w:val="20"/>
        </w:rPr>
        <w:t>*956</w:t>
      </w:r>
      <w:bookmarkEnd w:id="37"/>
      <w:r>
        <w:rPr>
          <w:rFonts w:ascii="Times New Roman" w:hAnsi="Times New Roman"/>
          <w:color w:val="000000"/>
          <w:sz w:val="20"/>
        </w:rPr>
        <w:t xml:space="preserve"> </w:t>
      </w:r>
      <w:hyperlink r:id="rId74" w:anchor="co_pp_sp_838_591">
        <w:r>
          <w:rPr>
            <w:rFonts w:ascii="Times New Roman" w:hAnsi="Times New Roman"/>
            <w:i/>
            <w:color w:val="000000"/>
            <w:sz w:val="20"/>
          </w:rPr>
          <w:t>id.</w:t>
        </w:r>
        <w:r>
          <w:rPr>
            <w:rFonts w:ascii="Times New Roman" w:hAnsi="Times New Roman"/>
            <w:color w:val="000000"/>
            <w:sz w:val="20"/>
          </w:rPr>
          <w:t xml:space="preserve"> at 591–92</w:t>
        </w:r>
      </w:hyperlink>
      <w:r>
        <w:rPr>
          <w:rFonts w:ascii="Times New Roman" w:hAnsi="Times New Roman"/>
          <w:color w:val="000000"/>
          <w:sz w:val="20"/>
        </w:rPr>
        <w:t xml:space="preserve">, meaning a CFC's transaction with a branch wouldn't trigger (d)(1) because (d)(1) requires a transaction with a related person. </w:t>
      </w:r>
      <w:r>
        <w:rPr>
          <w:rFonts w:ascii="Times New Roman" w:hAnsi="Times New Roman"/>
          <w:i/>
          <w:color w:val="000000"/>
          <w:sz w:val="20"/>
        </w:rPr>
        <w:t>See</w:t>
      </w:r>
      <w:r>
        <w:rPr>
          <w:rFonts w:ascii="Times New Roman" w:hAnsi="Times New Roman"/>
          <w:color w:val="000000"/>
          <w:sz w:val="20"/>
        </w:rPr>
        <w:t xml:space="preserve"> </w:t>
      </w:r>
      <w:hyperlink r:id="rId75" w:anchor="co_pp_e07e0000a9f57">
        <w:r>
          <w:rPr>
            <w:rFonts w:ascii="Times New Roman" w:hAnsi="Times New Roman"/>
            <w:color w:val="000000"/>
            <w:sz w:val="20"/>
          </w:rPr>
          <w:t>26 U.S.C. § 954(d)(1)</w:t>
        </w:r>
      </w:hyperlink>
      <w:r>
        <w:rPr>
          <w:rFonts w:ascii="Times New Roman" w:hAnsi="Times New Roman"/>
          <w:color w:val="000000"/>
          <w:sz w:val="20"/>
        </w:rPr>
        <w:t>.</w:t>
      </w:r>
    </w:p>
    <w:p w14:paraId="19D75125" w14:textId="77777777" w:rsidR="00BE0373" w:rsidRDefault="003564BE">
      <w:pPr>
        <w:spacing w:line="275" w:lineRule="atLeast"/>
        <w:jc w:val="both"/>
      </w:pPr>
      <w:r>
        <w:rPr>
          <w:rFonts w:ascii="Times New Roman" w:hAnsi="Times New Roman"/>
          <w:color w:val="000000"/>
          <w:sz w:val="20"/>
        </w:rPr>
        <w:t> </w:t>
      </w:r>
    </w:p>
    <w:p w14:paraId="7450AD57" w14:textId="77777777" w:rsidR="00BE0373" w:rsidRDefault="003564BE">
      <w:pPr>
        <w:spacing w:line="275" w:lineRule="atLeast"/>
        <w:jc w:val="both"/>
      </w:pPr>
      <w:r>
        <w:rPr>
          <w:rFonts w:ascii="Times New Roman" w:hAnsi="Times New Roman"/>
          <w:color w:val="000000"/>
          <w:sz w:val="20"/>
        </w:rPr>
        <w:t xml:space="preserve">The majority reads (d)(1) and (d)(2) as independent of each other. In other words, both (d)(1) and (d)(2), of their own force, define FBCSI. But I disagree. Instead, I read </w:t>
      </w:r>
      <w:hyperlink r:id="rId76" w:anchor="co_pp_4be3000003be5">
        <w:r>
          <w:rPr>
            <w:rFonts w:ascii="Times New Roman" w:hAnsi="Times New Roman"/>
            <w:color w:val="000000"/>
            <w:sz w:val="20"/>
          </w:rPr>
          <w:t>§ 954(d)(2)</w:t>
        </w:r>
      </w:hyperlink>
      <w:r>
        <w:rPr>
          <w:rFonts w:ascii="Times New Roman" w:hAnsi="Times New Roman"/>
          <w:color w:val="000000"/>
          <w:sz w:val="20"/>
        </w:rPr>
        <w:t xml:space="preserve">'s text and structure as directing us </w:t>
      </w:r>
      <w:r>
        <w:rPr>
          <w:rFonts w:ascii="Times New Roman" w:hAnsi="Times New Roman"/>
          <w:color w:val="000000"/>
          <w:sz w:val="20"/>
        </w:rPr>
        <w:t xml:space="preserve">back into the (d)(1) framework. And that framework features an exception to FBCSI (the Manufacturing Exception) that I believe LUX satisfies here. At the very least, there's a disputed question of material fact whether the Exception applies. And </w:t>
      </w:r>
      <w:proofErr w:type="gramStart"/>
      <w:r>
        <w:rPr>
          <w:rFonts w:ascii="Times New Roman" w:hAnsi="Times New Roman"/>
          <w:color w:val="000000"/>
          <w:sz w:val="20"/>
        </w:rPr>
        <w:t>so</w:t>
      </w:r>
      <w:proofErr w:type="gramEnd"/>
      <w:r>
        <w:rPr>
          <w:rFonts w:ascii="Times New Roman" w:hAnsi="Times New Roman"/>
          <w:color w:val="000000"/>
          <w:sz w:val="20"/>
        </w:rPr>
        <w:t xml:space="preserve"> I think</w:t>
      </w:r>
      <w:r>
        <w:rPr>
          <w:rFonts w:ascii="Times New Roman" w:hAnsi="Times New Roman"/>
          <w:color w:val="000000"/>
          <w:sz w:val="20"/>
        </w:rPr>
        <w:t xml:space="preserve"> summary judgment for the Commissioner is inappropriate.</w:t>
      </w:r>
    </w:p>
    <w:p w14:paraId="5616C596" w14:textId="77777777" w:rsidR="00BE0373" w:rsidRDefault="003564BE">
      <w:pPr>
        <w:spacing w:line="275" w:lineRule="atLeast"/>
        <w:jc w:val="both"/>
      </w:pPr>
      <w:r>
        <w:rPr>
          <w:rFonts w:ascii="Times New Roman" w:hAnsi="Times New Roman"/>
          <w:color w:val="000000"/>
          <w:sz w:val="20"/>
        </w:rPr>
        <w:t> </w:t>
      </w:r>
    </w:p>
    <w:p w14:paraId="42A6E362" w14:textId="77777777" w:rsidR="00BE0373" w:rsidRDefault="003564BE">
      <w:pPr>
        <w:spacing w:before="600" w:line="275" w:lineRule="atLeast"/>
        <w:jc w:val="center"/>
      </w:pPr>
      <w:bookmarkStart w:id="38" w:name="co_anchor_I54a77881aec311ec9f1af6ade2"/>
      <w:bookmarkStart w:id="39" w:name="co_anchor_I54a77881aec311ec9f1af6ade371"/>
      <w:r>
        <w:rPr>
          <w:rFonts w:ascii="Times New Roman" w:hAnsi="Times New Roman"/>
          <w:color w:val="000000"/>
          <w:sz w:val="20"/>
        </w:rPr>
        <w:t>B.</w:t>
      </w:r>
    </w:p>
    <w:bookmarkEnd w:id="38"/>
    <w:bookmarkEnd w:id="39"/>
    <w:p w14:paraId="176E02EB" w14:textId="77777777" w:rsidR="00BE0373" w:rsidRDefault="003564BE">
      <w:pPr>
        <w:spacing w:before="400" w:line="275" w:lineRule="atLeast"/>
        <w:jc w:val="both"/>
      </w:pPr>
      <w:r>
        <w:rPr>
          <w:rFonts w:ascii="Times New Roman" w:hAnsi="Times New Roman"/>
          <w:color w:val="000000"/>
          <w:sz w:val="20"/>
        </w:rPr>
        <w:t>The majority says LUX generated FBCSI through the Branch Rule. So let's look at the Rule's complicated text.</w:t>
      </w:r>
      <w:bookmarkStart w:id="40" w:name="co_fnRef_B00042055116179_ID0EJDAI_1"/>
      <w:r>
        <w:fldChar w:fldCharType="begin"/>
      </w:r>
      <w:r>
        <w:instrText xml:space="preserve"> HYPERLINK \l "co_footnote_B00042055116179_1" \h </w:instrText>
      </w:r>
      <w:r>
        <w:fldChar w:fldCharType="separate"/>
      </w:r>
      <w:r>
        <w:rPr>
          <w:rFonts w:ascii="Times New Roman" w:hAnsi="Times New Roman"/>
          <w:b/>
          <w:color w:val="000000"/>
          <w:sz w:val="16"/>
          <w:vertAlign w:val="superscript"/>
        </w:rPr>
        <w:t>4</w:t>
      </w:r>
      <w:r>
        <w:rPr>
          <w:rFonts w:ascii="Times New Roman" w:hAnsi="Times New Roman"/>
          <w:b/>
          <w:color w:val="000000"/>
          <w:sz w:val="16"/>
          <w:vertAlign w:val="superscript"/>
        </w:rPr>
        <w:fldChar w:fldCharType="end"/>
      </w:r>
      <w:bookmarkEnd w:id="40"/>
      <w:r>
        <w:rPr>
          <w:rFonts w:ascii="Times New Roman" w:hAnsi="Times New Roman"/>
          <w:color w:val="000000"/>
          <w:sz w:val="20"/>
        </w:rPr>
        <w:t xml:space="preserve"> It </w:t>
      </w:r>
      <w:r>
        <w:rPr>
          <w:rFonts w:ascii="Times New Roman" w:hAnsi="Times New Roman"/>
          <w:color w:val="000000"/>
          <w:sz w:val="20"/>
        </w:rPr>
        <w:t>kicks in when a CFC's “carryi</w:t>
      </w:r>
      <w:r>
        <w:rPr>
          <w:rFonts w:ascii="Times New Roman" w:hAnsi="Times New Roman"/>
          <w:color w:val="000000"/>
          <w:sz w:val="20"/>
        </w:rPr>
        <w:t xml:space="preserve">ng on of activities ... through a branch or similar establishment outside the [CFC's] country of incorporation ... has substantially the same effect as if such branch or similar establishment were a wholly owned subsidiary corporation.” </w:t>
      </w:r>
      <w:hyperlink r:id="rId77" w:anchor="co_pp_4be3000003be5">
        <w:r>
          <w:rPr>
            <w:rFonts w:ascii="Times New Roman" w:hAnsi="Times New Roman"/>
            <w:color w:val="000000"/>
            <w:sz w:val="20"/>
          </w:rPr>
          <w:t>26 U.S.C. § 954(d)(2)</w:t>
        </w:r>
      </w:hyperlink>
      <w:r>
        <w:rPr>
          <w:rFonts w:ascii="Times New Roman" w:hAnsi="Times New Roman"/>
          <w:color w:val="000000"/>
          <w:sz w:val="20"/>
        </w:rPr>
        <w:t>. When the Rule is triggered, “under regulations prescribed by the Secretary [of the Treasury] the income attributable to the carrying on” of the branch's activities is “treated as income derived by a wholly owned subsid</w:t>
      </w:r>
      <w:r>
        <w:rPr>
          <w:rFonts w:ascii="Times New Roman" w:hAnsi="Times New Roman"/>
          <w:color w:val="000000"/>
          <w:sz w:val="20"/>
        </w:rPr>
        <w:t xml:space="preserve">iary of the” CFC and “shall constitute” FBCSI of the CFC. </w:t>
      </w:r>
      <w:r>
        <w:rPr>
          <w:rFonts w:ascii="Times New Roman" w:hAnsi="Times New Roman"/>
          <w:i/>
          <w:color w:val="000000"/>
          <w:sz w:val="20"/>
        </w:rPr>
        <w:t>Id.</w:t>
      </w:r>
    </w:p>
    <w:p w14:paraId="72729C74" w14:textId="77777777" w:rsidR="00BE0373" w:rsidRDefault="003564BE">
      <w:pPr>
        <w:spacing w:line="275" w:lineRule="atLeast"/>
        <w:jc w:val="both"/>
      </w:pPr>
      <w:r>
        <w:rPr>
          <w:rFonts w:ascii="Times New Roman" w:hAnsi="Times New Roman"/>
          <w:color w:val="000000"/>
          <w:sz w:val="20"/>
        </w:rPr>
        <w:t> </w:t>
      </w:r>
    </w:p>
    <w:p w14:paraId="31E8F8FD" w14:textId="77777777" w:rsidR="00BE0373" w:rsidRDefault="003564BE">
      <w:pPr>
        <w:spacing w:line="275" w:lineRule="atLeast"/>
        <w:jc w:val="both"/>
      </w:pPr>
      <w:r>
        <w:rPr>
          <w:rFonts w:ascii="Times New Roman" w:hAnsi="Times New Roman"/>
          <w:color w:val="000000"/>
          <w:sz w:val="20"/>
        </w:rPr>
        <w:t xml:space="preserve">The majority reads this as a simple set of conditions and consequences—the most important consequence being that certain income “shall constitute” taxable FBCSI. </w:t>
      </w:r>
      <w:proofErr w:type="gramStart"/>
      <w:r>
        <w:rPr>
          <w:rFonts w:ascii="Times New Roman" w:hAnsi="Times New Roman"/>
          <w:color w:val="000000"/>
          <w:sz w:val="20"/>
        </w:rPr>
        <w:t>So</w:t>
      </w:r>
      <w:proofErr w:type="gramEnd"/>
      <w:r>
        <w:rPr>
          <w:rFonts w:ascii="Times New Roman" w:hAnsi="Times New Roman"/>
          <w:color w:val="000000"/>
          <w:sz w:val="20"/>
        </w:rPr>
        <w:t xml:space="preserve"> if a CFC's use of a branch </w:t>
      </w:r>
      <w:r>
        <w:rPr>
          <w:rFonts w:ascii="Times New Roman" w:hAnsi="Times New Roman"/>
          <w:color w:val="000000"/>
          <w:sz w:val="20"/>
        </w:rPr>
        <w:t>satisfies the statutory conditions, (d)(2)'s mandate is clear: The income earned “shall constitute” FBCSI.</w:t>
      </w:r>
    </w:p>
    <w:p w14:paraId="51A4DCA6" w14:textId="77777777" w:rsidR="00BE0373" w:rsidRDefault="003564BE">
      <w:pPr>
        <w:spacing w:line="275" w:lineRule="atLeast"/>
        <w:jc w:val="both"/>
      </w:pPr>
      <w:r>
        <w:rPr>
          <w:rFonts w:ascii="Times New Roman" w:hAnsi="Times New Roman"/>
          <w:color w:val="000000"/>
          <w:sz w:val="20"/>
        </w:rPr>
        <w:t> </w:t>
      </w:r>
    </w:p>
    <w:p w14:paraId="3CB1A4DF" w14:textId="77777777" w:rsidR="00BE0373" w:rsidRDefault="003564BE">
      <w:pPr>
        <w:spacing w:line="275" w:lineRule="atLeast"/>
        <w:jc w:val="both"/>
      </w:pPr>
      <w:r>
        <w:rPr>
          <w:rFonts w:ascii="Times New Roman" w:hAnsi="Times New Roman"/>
          <w:color w:val="000000"/>
          <w:sz w:val="20"/>
        </w:rPr>
        <w:t>But I'm not so sure that's the right reading. Instead, the statutory structure only makes sense if (d)(2) transactions filter back through (d)(1)'s</w:t>
      </w:r>
      <w:r>
        <w:rPr>
          <w:rFonts w:ascii="Times New Roman" w:hAnsi="Times New Roman"/>
          <w:color w:val="000000"/>
          <w:sz w:val="20"/>
        </w:rPr>
        <w:t xml:space="preserve"> framework, including its Manufacturing Exception. Moreover, </w:t>
      </w:r>
      <w:hyperlink r:id="rId78" w:anchor="co_pp_4be3000003be5">
        <w:r>
          <w:rPr>
            <w:rFonts w:ascii="Times New Roman" w:hAnsi="Times New Roman"/>
            <w:color w:val="000000"/>
            <w:sz w:val="20"/>
          </w:rPr>
          <w:t>§ 954(d)(2)</w:t>
        </w:r>
      </w:hyperlink>
      <w:r>
        <w:rPr>
          <w:rFonts w:ascii="Times New Roman" w:hAnsi="Times New Roman"/>
          <w:color w:val="000000"/>
          <w:sz w:val="20"/>
        </w:rPr>
        <w:t xml:space="preserve"> </w:t>
      </w:r>
      <w:r>
        <w:rPr>
          <w:rFonts w:ascii="Times New Roman" w:hAnsi="Times New Roman"/>
          <w:i/>
          <w:color w:val="000000"/>
          <w:sz w:val="20"/>
        </w:rPr>
        <w:t>explicitly</w:t>
      </w:r>
      <w:r>
        <w:rPr>
          <w:rFonts w:ascii="Times New Roman" w:hAnsi="Times New Roman"/>
          <w:color w:val="000000"/>
          <w:sz w:val="20"/>
        </w:rPr>
        <w:t xml:space="preserve"> tells us that income a CFC earns through a branch “shall constitute” FBCSI “</w:t>
      </w:r>
      <w:r>
        <w:rPr>
          <w:rFonts w:ascii="Times New Roman" w:hAnsi="Times New Roman"/>
          <w:i/>
          <w:color w:val="000000"/>
          <w:sz w:val="20"/>
        </w:rPr>
        <w:t>under regulations prescribed by the</w:t>
      </w:r>
      <w:r>
        <w:rPr>
          <w:rFonts w:ascii="Times New Roman" w:hAnsi="Times New Roman"/>
          <w:color w:val="000000"/>
          <w:sz w:val="20"/>
        </w:rPr>
        <w:t xml:space="preserve"> Secretary [of the Treasury</w:t>
      </w:r>
      <w:r>
        <w:rPr>
          <w:rFonts w:ascii="Times New Roman" w:hAnsi="Times New Roman"/>
          <w:color w:val="000000"/>
          <w:sz w:val="20"/>
        </w:rPr>
        <w:t xml:space="preserve">].” </w:t>
      </w:r>
      <w:hyperlink r:id="rId79" w:anchor="co_pp_4be3000003be5">
        <w:r>
          <w:rPr>
            <w:rFonts w:ascii="Times New Roman" w:hAnsi="Times New Roman"/>
            <w:color w:val="000000"/>
            <w:sz w:val="20"/>
          </w:rPr>
          <w:t>26 U.S.C. § 954(d)(2)</w:t>
        </w:r>
      </w:hyperlink>
      <w:r>
        <w:rPr>
          <w:rFonts w:ascii="Times New Roman" w:hAnsi="Times New Roman"/>
          <w:color w:val="000000"/>
          <w:sz w:val="20"/>
        </w:rPr>
        <w:t xml:space="preserve"> (emphasis added). And </w:t>
      </w:r>
      <w:hyperlink r:id="rId80" w:anchor="co_pp_4be3000003be5">
        <w:r>
          <w:rPr>
            <w:rFonts w:ascii="Times New Roman" w:hAnsi="Times New Roman"/>
            <w:color w:val="000000"/>
            <w:sz w:val="20"/>
          </w:rPr>
          <w:t>§ 954(d)(2)</w:t>
        </w:r>
      </w:hyperlink>
      <w:r>
        <w:rPr>
          <w:rFonts w:ascii="Times New Roman" w:hAnsi="Times New Roman"/>
          <w:color w:val="000000"/>
          <w:sz w:val="20"/>
        </w:rPr>
        <w:t xml:space="preserve">'s regulations instruct us to subject a (d)(2) transaction to (d)(1)'s framework and exceptions. </w:t>
      </w:r>
      <w:r>
        <w:rPr>
          <w:rFonts w:ascii="Times New Roman" w:hAnsi="Times New Roman"/>
          <w:i/>
          <w:color w:val="000000"/>
          <w:sz w:val="20"/>
        </w:rPr>
        <w:t>See</w:t>
      </w:r>
      <w:r>
        <w:rPr>
          <w:rFonts w:ascii="Times New Roman" w:hAnsi="Times New Roman"/>
          <w:color w:val="000000"/>
          <w:sz w:val="20"/>
        </w:rPr>
        <w:t xml:space="preserve"> </w:t>
      </w:r>
      <w:hyperlink r:id="rId81" w:anchor="co_pp_18ea000061623">
        <w:r>
          <w:rPr>
            <w:rFonts w:ascii="Times New Roman" w:hAnsi="Times New Roman"/>
            <w:color w:val="000000"/>
            <w:sz w:val="20"/>
          </w:rPr>
          <w:t>26 C.F.R. § 1.954-3(b)(2)(ii)(e)</w:t>
        </w:r>
      </w:hyperlink>
      <w:r>
        <w:rPr>
          <w:rFonts w:ascii="Times New Roman" w:hAnsi="Times New Roman"/>
          <w:color w:val="000000"/>
          <w:sz w:val="20"/>
        </w:rPr>
        <w:t>.</w:t>
      </w:r>
    </w:p>
    <w:p w14:paraId="060ECD51" w14:textId="77777777" w:rsidR="00BE0373" w:rsidRDefault="003564BE">
      <w:pPr>
        <w:spacing w:line="275" w:lineRule="atLeast"/>
        <w:jc w:val="both"/>
      </w:pPr>
      <w:r>
        <w:rPr>
          <w:rFonts w:ascii="Times New Roman" w:hAnsi="Times New Roman"/>
          <w:color w:val="000000"/>
          <w:sz w:val="20"/>
        </w:rPr>
        <w:t> </w:t>
      </w:r>
    </w:p>
    <w:p w14:paraId="00E748CA" w14:textId="77777777" w:rsidR="00BE0373" w:rsidRDefault="003564BE">
      <w:pPr>
        <w:spacing w:line="275" w:lineRule="atLeast"/>
        <w:jc w:val="both"/>
      </w:pPr>
      <w:r>
        <w:rPr>
          <w:rFonts w:ascii="Times New Roman" w:hAnsi="Times New Roman"/>
          <w:color w:val="000000"/>
          <w:sz w:val="20"/>
        </w:rPr>
        <w:t xml:space="preserve">Let me explain. At its core, </w:t>
      </w:r>
      <w:hyperlink r:id="rId82" w:anchor="co_pp_4be3000003be5">
        <w:r>
          <w:rPr>
            <w:rFonts w:ascii="Times New Roman" w:hAnsi="Times New Roman"/>
            <w:color w:val="000000"/>
            <w:sz w:val="20"/>
          </w:rPr>
          <w:t>§ 954(d)(2)</w:t>
        </w:r>
      </w:hyperlink>
      <w:r>
        <w:rPr>
          <w:rFonts w:ascii="Times New Roman" w:hAnsi="Times New Roman"/>
          <w:color w:val="000000"/>
          <w:sz w:val="20"/>
        </w:rPr>
        <w:t xml:space="preserve"> creates a fiction. It takes certain </w:t>
      </w:r>
      <w:r>
        <w:rPr>
          <w:rFonts w:ascii="Times New Roman" w:hAnsi="Times New Roman"/>
          <w:i/>
          <w:color w:val="000000"/>
          <w:sz w:val="20"/>
        </w:rPr>
        <w:t>branches</w:t>
      </w:r>
      <w:r>
        <w:rPr>
          <w:rFonts w:ascii="Times New Roman" w:hAnsi="Times New Roman"/>
          <w:color w:val="000000"/>
          <w:sz w:val="20"/>
        </w:rPr>
        <w:t xml:space="preserve"> of a CFC and treats them as </w:t>
      </w:r>
      <w:r>
        <w:rPr>
          <w:rFonts w:ascii="Times New Roman" w:hAnsi="Times New Roman"/>
          <w:i/>
          <w:color w:val="000000"/>
          <w:sz w:val="20"/>
        </w:rPr>
        <w:t>wholly owned subsidiaries</w:t>
      </w:r>
      <w:r>
        <w:rPr>
          <w:rFonts w:ascii="Times New Roman" w:hAnsi="Times New Roman"/>
          <w:color w:val="000000"/>
          <w:sz w:val="20"/>
        </w:rPr>
        <w:t>. That's because, as I already mention</w:t>
      </w:r>
      <w:r>
        <w:rPr>
          <w:rFonts w:ascii="Times New Roman" w:hAnsi="Times New Roman"/>
          <w:color w:val="000000"/>
          <w:sz w:val="20"/>
        </w:rPr>
        <w:t xml:space="preserve">ed, a branch isn't a “related person” within (d)(1). </w:t>
      </w:r>
      <w:r>
        <w:rPr>
          <w:rFonts w:ascii="Times New Roman" w:hAnsi="Times New Roman"/>
          <w:i/>
          <w:color w:val="000000"/>
          <w:sz w:val="20"/>
        </w:rPr>
        <w:t xml:space="preserve">See </w:t>
      </w:r>
      <w:hyperlink r:id="rId83" w:anchor="co_pp_sp_838_591">
        <w:proofErr w:type="spellStart"/>
        <w:r>
          <w:rPr>
            <w:rFonts w:ascii="Times New Roman" w:hAnsi="Times New Roman"/>
            <w:i/>
            <w:color w:val="000000"/>
            <w:sz w:val="20"/>
          </w:rPr>
          <w:t>Vetco</w:t>
        </w:r>
        <w:proofErr w:type="spellEnd"/>
        <w:r>
          <w:rPr>
            <w:rFonts w:ascii="Times New Roman" w:hAnsi="Times New Roman"/>
            <w:color w:val="000000"/>
            <w:sz w:val="20"/>
          </w:rPr>
          <w:t>, 95 T.C. at 591–92</w:t>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hyperlink r:id="rId84" w:anchor="co_pp_17df000040924">
        <w:r>
          <w:rPr>
            <w:rFonts w:ascii="Times New Roman" w:hAnsi="Times New Roman"/>
            <w:color w:val="000000"/>
            <w:sz w:val="20"/>
          </w:rPr>
          <w:t>26 U.S.C. § 954(d)(3)</w:t>
        </w:r>
      </w:hyperlink>
      <w:r>
        <w:rPr>
          <w:rFonts w:ascii="Times New Roman" w:hAnsi="Times New Roman"/>
          <w:color w:val="000000"/>
          <w:sz w:val="20"/>
        </w:rPr>
        <w:t xml:space="preserve">. And so Congress included the Branch Rule in </w:t>
      </w:r>
      <w:hyperlink r:id="rId85" w:anchor="co_pp_5ba1000067d06">
        <w:r>
          <w:rPr>
            <w:rFonts w:ascii="Times New Roman" w:hAnsi="Times New Roman"/>
            <w:color w:val="000000"/>
            <w:sz w:val="20"/>
          </w:rPr>
          <w:t>§ 954(d)</w:t>
        </w:r>
      </w:hyperlink>
      <w:r>
        <w:rPr>
          <w:rFonts w:ascii="Times New Roman" w:hAnsi="Times New Roman"/>
          <w:color w:val="000000"/>
          <w:sz w:val="20"/>
        </w:rPr>
        <w:t xml:space="preserve"> “to prevent CFCs from avoiding </w:t>
      </w:r>
      <w:hyperlink r:id="rId86" w:anchor="co_pp_e07e0000a9f57">
        <w:r>
          <w:rPr>
            <w:rFonts w:ascii="Times New Roman" w:hAnsi="Times New Roman"/>
            <w:color w:val="000000"/>
            <w:sz w:val="20"/>
          </w:rPr>
          <w:t>section 954(d)(1)</w:t>
        </w:r>
      </w:hyperlink>
      <w:r>
        <w:rPr>
          <w:rFonts w:ascii="Times New Roman" w:hAnsi="Times New Roman"/>
          <w:color w:val="000000"/>
          <w:sz w:val="20"/>
        </w:rPr>
        <w:t xml:space="preserve"> because there would be no trans</w:t>
      </w:r>
      <w:r>
        <w:rPr>
          <w:rFonts w:ascii="Times New Roman" w:hAnsi="Times New Roman"/>
          <w:color w:val="000000"/>
          <w:sz w:val="20"/>
        </w:rPr>
        <w:t xml:space="preserve">action with a related person within the meaning of </w:t>
      </w:r>
      <w:hyperlink r:id="rId87" w:anchor="co_pp_17df000040924">
        <w:r>
          <w:rPr>
            <w:rFonts w:ascii="Times New Roman" w:hAnsi="Times New Roman"/>
            <w:color w:val="000000"/>
            <w:sz w:val="20"/>
          </w:rPr>
          <w:t>section 954(d)(3)</w:t>
        </w:r>
      </w:hyperlink>
      <w:r>
        <w:rPr>
          <w:rFonts w:ascii="Times New Roman" w:hAnsi="Times New Roman"/>
          <w:color w:val="000000"/>
          <w:sz w:val="20"/>
        </w:rPr>
        <w:t xml:space="preserve">.” </w:t>
      </w:r>
      <w:hyperlink r:id="rId88" w:anchor="co_pp_sp_838_593">
        <w:proofErr w:type="spellStart"/>
        <w:r>
          <w:rPr>
            <w:rFonts w:ascii="Times New Roman" w:hAnsi="Times New Roman"/>
            <w:i/>
            <w:color w:val="000000"/>
            <w:sz w:val="20"/>
          </w:rPr>
          <w:t>Vetco</w:t>
        </w:r>
        <w:proofErr w:type="spellEnd"/>
        <w:r>
          <w:rPr>
            <w:rFonts w:ascii="Times New Roman" w:hAnsi="Times New Roman"/>
            <w:color w:val="000000"/>
            <w:sz w:val="20"/>
          </w:rPr>
          <w:t>, 95 T.C. at 593</w:t>
        </w:r>
      </w:hyperlink>
      <w:r>
        <w:rPr>
          <w:rFonts w:ascii="Times New Roman" w:hAnsi="Times New Roman"/>
          <w:color w:val="000000"/>
          <w:sz w:val="20"/>
        </w:rPr>
        <w:t xml:space="preserve">. Put differently, </w:t>
      </w:r>
      <w:hyperlink r:id="rId89" w:anchor="co_pp_4be3000003be5">
        <w:r>
          <w:rPr>
            <w:rFonts w:ascii="Times New Roman" w:hAnsi="Times New Roman"/>
            <w:color w:val="000000"/>
            <w:sz w:val="20"/>
          </w:rPr>
          <w:t>§ 954(d)(2)</w:t>
        </w:r>
      </w:hyperlink>
      <w:r>
        <w:rPr>
          <w:rFonts w:ascii="Times New Roman" w:hAnsi="Times New Roman"/>
          <w:color w:val="000000"/>
          <w:sz w:val="20"/>
        </w:rPr>
        <w:t xml:space="preserve"> “</w:t>
      </w:r>
      <w:r>
        <w:rPr>
          <w:rFonts w:ascii="Times New Roman" w:hAnsi="Times New Roman"/>
          <w:i/>
          <w:color w:val="000000"/>
          <w:sz w:val="20"/>
        </w:rPr>
        <w:t>simply supp</w:t>
      </w:r>
      <w:r>
        <w:rPr>
          <w:rFonts w:ascii="Times New Roman" w:hAnsi="Times New Roman"/>
          <w:i/>
          <w:color w:val="000000"/>
          <w:sz w:val="20"/>
        </w:rPr>
        <w:t>lies the relationship</w:t>
      </w:r>
      <w:r>
        <w:rPr>
          <w:rFonts w:ascii="Times New Roman" w:hAnsi="Times New Roman"/>
          <w:color w:val="000000"/>
          <w:sz w:val="20"/>
        </w:rPr>
        <w:t xml:space="preserve"> required to bring an otherwise unrelated party </w:t>
      </w:r>
      <w:bookmarkStart w:id="41" w:name="co_pp_sp_8173_957_1"/>
      <w:r>
        <w:rPr>
          <w:rFonts w:ascii="Times New Roman" w:hAnsi="Times New Roman"/>
          <w:b/>
          <w:color w:val="000000"/>
          <w:sz w:val="20"/>
        </w:rPr>
        <w:t>*957</w:t>
      </w:r>
      <w:bookmarkEnd w:id="41"/>
      <w:r>
        <w:rPr>
          <w:rFonts w:ascii="Times New Roman" w:hAnsi="Times New Roman"/>
          <w:color w:val="000000"/>
          <w:sz w:val="20"/>
        </w:rPr>
        <w:t xml:space="preserve"> within the spectrum of </w:t>
      </w:r>
      <w:hyperlink r:id="rId90" w:anchor="co_pp_e07e0000a9f57">
        <w:r>
          <w:rPr>
            <w:rFonts w:ascii="Times New Roman" w:hAnsi="Times New Roman"/>
            <w:color w:val="000000"/>
            <w:sz w:val="20"/>
          </w:rPr>
          <w:t>section 954(d)(1)</w:t>
        </w:r>
      </w:hyperlink>
      <w:r>
        <w:rPr>
          <w:rFonts w:ascii="Times New Roman" w:hAnsi="Times New Roman"/>
          <w:color w:val="000000"/>
          <w:sz w:val="20"/>
        </w:rPr>
        <w:t xml:space="preserve">.” </w:t>
      </w:r>
      <w:hyperlink r:id="rId91" w:anchor="co_pp_sp_838_591">
        <w:r>
          <w:rPr>
            <w:rFonts w:ascii="Times New Roman" w:hAnsi="Times New Roman"/>
            <w:i/>
            <w:color w:val="000000"/>
            <w:sz w:val="20"/>
          </w:rPr>
          <w:t>Id.</w:t>
        </w:r>
        <w:r>
          <w:rPr>
            <w:rFonts w:ascii="Times New Roman" w:hAnsi="Times New Roman"/>
            <w:color w:val="000000"/>
            <w:sz w:val="20"/>
          </w:rPr>
          <w:t xml:space="preserve"> at 591–92</w:t>
        </w:r>
      </w:hyperlink>
      <w:r>
        <w:rPr>
          <w:rFonts w:ascii="Times New Roman" w:hAnsi="Times New Roman"/>
          <w:color w:val="000000"/>
          <w:sz w:val="20"/>
        </w:rPr>
        <w:t xml:space="preserve"> (emphasis added). That's why </w:t>
      </w:r>
      <w:hyperlink r:id="rId92" w:anchor="co_pp_4be3000003be5">
        <w:r>
          <w:rPr>
            <w:rFonts w:ascii="Times New Roman" w:hAnsi="Times New Roman"/>
            <w:color w:val="000000"/>
            <w:sz w:val="20"/>
          </w:rPr>
          <w:t>§ 954(d)(2)</w:t>
        </w:r>
      </w:hyperlink>
      <w:r>
        <w:rPr>
          <w:rFonts w:ascii="Times New Roman" w:hAnsi="Times New Roman"/>
          <w:color w:val="000000"/>
          <w:sz w:val="20"/>
        </w:rPr>
        <w:t xml:space="preserve">'s fiction treats branches as wholly owned subsidiaries—the latter is a “related person” subject to </w:t>
      </w:r>
      <w:hyperlink r:id="rId93" w:anchor="co_pp_e07e0000a9f57">
        <w:r>
          <w:rPr>
            <w:rFonts w:ascii="Times New Roman" w:hAnsi="Times New Roman"/>
            <w:color w:val="000000"/>
            <w:sz w:val="20"/>
          </w:rPr>
          <w:t>§ 954(d)(1)</w:t>
        </w:r>
      </w:hyperlink>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hyperlink r:id="rId94">
        <w:r>
          <w:rPr>
            <w:rFonts w:ascii="Times New Roman" w:hAnsi="Times New Roman"/>
            <w:i/>
            <w:color w:val="000000"/>
            <w:sz w:val="20"/>
          </w:rPr>
          <w:t>id.</w:t>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hyperlink r:id="rId95" w:anchor="co_pp_17df000040924">
        <w:r>
          <w:rPr>
            <w:rFonts w:ascii="Times New Roman" w:hAnsi="Times New Roman"/>
            <w:color w:val="000000"/>
            <w:sz w:val="20"/>
          </w:rPr>
          <w:t>§ 954(d)(3</w:t>
        </w:r>
        <w:r>
          <w:rPr>
            <w:rFonts w:ascii="Times New Roman" w:hAnsi="Times New Roman"/>
            <w:color w:val="000000"/>
            <w:sz w:val="20"/>
          </w:rPr>
          <w:t>)</w:t>
        </w:r>
      </w:hyperlink>
      <w:r>
        <w:rPr>
          <w:rFonts w:ascii="Times New Roman" w:hAnsi="Times New Roman"/>
          <w:color w:val="000000"/>
          <w:sz w:val="20"/>
        </w:rPr>
        <w:t xml:space="preserve">. Thus, I think that if we have a (d)(2) transaction—i.e., a qualifying branch-remainder transaction—we still need to make sure there is a </w:t>
      </w:r>
      <w:r>
        <w:rPr>
          <w:rFonts w:ascii="Times New Roman" w:hAnsi="Times New Roman"/>
          <w:color w:val="000000"/>
          <w:sz w:val="20"/>
        </w:rPr>
        <w:lastRenderedPageBreak/>
        <w:t>(d)(1) transaction. And we also need to check and see if any of (d)(1)'s regulatory exceptions apply.</w:t>
      </w:r>
    </w:p>
    <w:p w14:paraId="43E00EE0" w14:textId="77777777" w:rsidR="00BE0373" w:rsidRDefault="003564BE">
      <w:pPr>
        <w:spacing w:line="275" w:lineRule="atLeast"/>
        <w:jc w:val="both"/>
      </w:pPr>
      <w:r>
        <w:rPr>
          <w:rFonts w:ascii="Times New Roman" w:hAnsi="Times New Roman"/>
          <w:color w:val="000000"/>
          <w:sz w:val="20"/>
        </w:rPr>
        <w:t> </w:t>
      </w:r>
    </w:p>
    <w:p w14:paraId="05A788A3" w14:textId="77777777" w:rsidR="00BE0373" w:rsidRDefault="003564BE">
      <w:pPr>
        <w:spacing w:line="275" w:lineRule="atLeast"/>
        <w:jc w:val="both"/>
      </w:pPr>
      <w:r>
        <w:rPr>
          <w:rFonts w:ascii="Times New Roman" w:hAnsi="Times New Roman"/>
          <w:color w:val="000000"/>
          <w:sz w:val="20"/>
        </w:rPr>
        <w:t xml:space="preserve">To explain, </w:t>
      </w:r>
      <w:r>
        <w:rPr>
          <w:rFonts w:ascii="Times New Roman" w:hAnsi="Times New Roman"/>
          <w:color w:val="000000"/>
          <w:sz w:val="20"/>
        </w:rPr>
        <w:t xml:space="preserve">let's look again at the text of (d)(2). It starts by noting why it exists: “For purposes of determining [FBCSI]”—which (d)(1) defines by reference to four types of Related-Person Transactions. </w:t>
      </w:r>
      <w:hyperlink r:id="rId96" w:anchor="co_pp_4be3000003be5">
        <w:r>
          <w:rPr>
            <w:rFonts w:ascii="Times New Roman" w:hAnsi="Times New Roman"/>
            <w:color w:val="000000"/>
            <w:sz w:val="20"/>
          </w:rPr>
          <w:t>26 U.S.C. § 954(d)(2)</w:t>
        </w:r>
      </w:hyperlink>
      <w:r>
        <w:rPr>
          <w:rFonts w:ascii="Times New Roman" w:hAnsi="Times New Roman"/>
          <w:color w:val="000000"/>
          <w:sz w:val="20"/>
        </w:rPr>
        <w:t xml:space="preserve">; </w:t>
      </w:r>
      <w:r>
        <w:rPr>
          <w:rFonts w:ascii="Times New Roman" w:hAnsi="Times New Roman"/>
          <w:i/>
          <w:color w:val="000000"/>
          <w:sz w:val="20"/>
        </w:rPr>
        <w:t xml:space="preserve">see </w:t>
      </w:r>
      <w:hyperlink r:id="rId97" w:anchor="co_pp_e07e0000a9f57">
        <w:r>
          <w:rPr>
            <w:rFonts w:ascii="Times New Roman" w:hAnsi="Times New Roman"/>
            <w:i/>
            <w:color w:val="000000"/>
            <w:sz w:val="20"/>
          </w:rPr>
          <w:t>id.</w:t>
        </w:r>
        <w:r>
          <w:rPr>
            <w:rFonts w:ascii="Times New Roman" w:hAnsi="Times New Roman"/>
            <w:color w:val="000000"/>
            <w:sz w:val="20"/>
          </w:rPr>
          <w:t xml:space="preserve"> § 954(d)(1)</w:t>
        </w:r>
      </w:hyperlink>
      <w:r>
        <w:rPr>
          <w:rFonts w:ascii="Times New Roman" w:hAnsi="Times New Roman"/>
          <w:color w:val="000000"/>
          <w:sz w:val="20"/>
        </w:rPr>
        <w:t>. Then it creates the wholly-owned-subsidiary fiction—treating a branch as a wholly owned subsidiary—before saying that “the income attributable” to the branch's activities “shall constitute” FBCSI of the CFC.</w:t>
      </w:r>
    </w:p>
    <w:p w14:paraId="07318B51" w14:textId="77777777" w:rsidR="00BE0373" w:rsidRDefault="003564BE">
      <w:pPr>
        <w:spacing w:line="275" w:lineRule="atLeast"/>
        <w:jc w:val="both"/>
      </w:pPr>
      <w:r>
        <w:rPr>
          <w:rFonts w:ascii="Times New Roman" w:hAnsi="Times New Roman"/>
          <w:color w:val="000000"/>
          <w:sz w:val="20"/>
        </w:rPr>
        <w:t> </w:t>
      </w:r>
    </w:p>
    <w:p w14:paraId="12BA5B73" w14:textId="77777777" w:rsidR="00BE0373" w:rsidRDefault="003564BE">
      <w:pPr>
        <w:spacing w:line="275" w:lineRule="atLeast"/>
        <w:jc w:val="both"/>
      </w:pPr>
      <w:r>
        <w:rPr>
          <w:rFonts w:ascii="Times New Roman" w:hAnsi="Times New Roman"/>
          <w:color w:val="000000"/>
          <w:sz w:val="20"/>
        </w:rPr>
        <w:t>At first glance, then, it looks like (d)(2) might suffice on its own to create FBCSI, which is the majority's view. After all, the last clause in the provision says income attributable to a branch's activities “shall constitute” FBCSI. So, as the majori</w:t>
      </w:r>
      <w:r>
        <w:rPr>
          <w:rFonts w:ascii="Times New Roman" w:hAnsi="Times New Roman"/>
          <w:color w:val="000000"/>
          <w:sz w:val="20"/>
        </w:rPr>
        <w:t>ty notes, “the statutory command ... could hardly be clearer.” But this reading of “shall constitute” is problematic for a few reasons.</w:t>
      </w:r>
    </w:p>
    <w:p w14:paraId="12530706" w14:textId="77777777" w:rsidR="00BE0373" w:rsidRDefault="003564BE">
      <w:pPr>
        <w:spacing w:line="275" w:lineRule="atLeast"/>
        <w:jc w:val="both"/>
      </w:pPr>
      <w:r>
        <w:rPr>
          <w:rFonts w:ascii="Times New Roman" w:hAnsi="Times New Roman"/>
          <w:color w:val="000000"/>
          <w:sz w:val="20"/>
        </w:rPr>
        <w:t> </w:t>
      </w:r>
    </w:p>
    <w:p w14:paraId="16412628" w14:textId="77777777" w:rsidR="00BE0373" w:rsidRDefault="003564BE">
      <w:pPr>
        <w:spacing w:line="275" w:lineRule="atLeast"/>
        <w:jc w:val="both"/>
      </w:pPr>
      <w:r>
        <w:rPr>
          <w:rFonts w:ascii="Times New Roman" w:hAnsi="Times New Roman"/>
          <w:color w:val="000000"/>
          <w:sz w:val="20"/>
        </w:rPr>
        <w:t xml:space="preserve">For starters, </w:t>
      </w:r>
      <w:hyperlink r:id="rId98" w:anchor="co_pp_4be3000003be5">
        <w:r>
          <w:rPr>
            <w:rFonts w:ascii="Times New Roman" w:hAnsi="Times New Roman"/>
            <w:color w:val="000000"/>
            <w:sz w:val="20"/>
          </w:rPr>
          <w:t>§ 954(d)(2)</w:t>
        </w:r>
      </w:hyperlink>
      <w:r>
        <w:rPr>
          <w:rFonts w:ascii="Times New Roman" w:hAnsi="Times New Roman"/>
          <w:color w:val="000000"/>
          <w:sz w:val="20"/>
        </w:rPr>
        <w:t xml:space="preserve"> modifies “shall constitute” with “under regulations prescribed by the Secretary.” </w:t>
      </w:r>
      <w:r>
        <w:rPr>
          <w:rFonts w:ascii="Times New Roman" w:hAnsi="Times New Roman"/>
          <w:i/>
          <w:color w:val="000000"/>
          <w:sz w:val="20"/>
        </w:rPr>
        <w:t>See</w:t>
      </w:r>
      <w:r>
        <w:rPr>
          <w:rFonts w:ascii="Times New Roman" w:hAnsi="Times New Roman"/>
          <w:color w:val="000000"/>
          <w:sz w:val="20"/>
        </w:rPr>
        <w:t xml:space="preserve"> </w:t>
      </w:r>
      <w:hyperlink r:id="rId99" w:anchor="co_pp_4be3000003be5">
        <w:r>
          <w:rPr>
            <w:rFonts w:ascii="Times New Roman" w:hAnsi="Times New Roman"/>
            <w:color w:val="000000"/>
            <w:sz w:val="20"/>
          </w:rPr>
          <w:t>26 U.S.C. § 954(d)(2)</w:t>
        </w:r>
      </w:hyperlink>
      <w:r>
        <w:rPr>
          <w:rFonts w:ascii="Times New Roman" w:hAnsi="Times New Roman"/>
          <w:color w:val="000000"/>
          <w:sz w:val="20"/>
        </w:rPr>
        <w:t>. Read naturally, then, the provision says that “income attributable” t</w:t>
      </w:r>
      <w:r>
        <w:rPr>
          <w:rFonts w:ascii="Times New Roman" w:hAnsi="Times New Roman"/>
          <w:color w:val="000000"/>
          <w:sz w:val="20"/>
        </w:rPr>
        <w:t xml:space="preserve">o the branch's activities “shall constitute” FBCSI “under regulations prescribed by the Secretary.” This means that Congress gave Treasury a role in defining when branch transactions generate FBCSI. </w:t>
      </w:r>
      <w:proofErr w:type="gramStart"/>
      <w:r>
        <w:rPr>
          <w:rFonts w:ascii="Times New Roman" w:hAnsi="Times New Roman"/>
          <w:color w:val="000000"/>
          <w:sz w:val="20"/>
        </w:rPr>
        <w:t>So</w:t>
      </w:r>
      <w:proofErr w:type="gramEnd"/>
      <w:r>
        <w:rPr>
          <w:rFonts w:ascii="Times New Roman" w:hAnsi="Times New Roman"/>
          <w:color w:val="000000"/>
          <w:sz w:val="20"/>
        </w:rPr>
        <w:t xml:space="preserve"> the “statutory command” isn't quite what the majority </w:t>
      </w:r>
      <w:r>
        <w:rPr>
          <w:rFonts w:ascii="Times New Roman" w:hAnsi="Times New Roman"/>
          <w:color w:val="000000"/>
          <w:sz w:val="20"/>
        </w:rPr>
        <w:t>makes it out to be. And as I explain below, the regulations applicable here tie (d)(2) back into (d)(1) and instruct us to apply the Manufacturing Exception to the (d)(2) transaction.</w:t>
      </w:r>
    </w:p>
    <w:p w14:paraId="5C61901D" w14:textId="77777777" w:rsidR="00BE0373" w:rsidRDefault="003564BE">
      <w:pPr>
        <w:spacing w:line="275" w:lineRule="atLeast"/>
        <w:jc w:val="both"/>
      </w:pPr>
      <w:r>
        <w:rPr>
          <w:rFonts w:ascii="Times New Roman" w:hAnsi="Times New Roman"/>
          <w:color w:val="000000"/>
          <w:sz w:val="20"/>
        </w:rPr>
        <w:t> </w:t>
      </w:r>
    </w:p>
    <w:p w14:paraId="25E2A298" w14:textId="77777777" w:rsidR="00BE0373" w:rsidRDefault="003564BE">
      <w:pPr>
        <w:spacing w:line="275" w:lineRule="atLeast"/>
        <w:jc w:val="both"/>
      </w:pPr>
      <w:r>
        <w:rPr>
          <w:rFonts w:ascii="Times New Roman" w:hAnsi="Times New Roman"/>
          <w:color w:val="000000"/>
          <w:sz w:val="20"/>
        </w:rPr>
        <w:t>But before turning to those regulations, let's stay in the text. If “s</w:t>
      </w:r>
      <w:r>
        <w:rPr>
          <w:rFonts w:ascii="Times New Roman" w:hAnsi="Times New Roman"/>
          <w:color w:val="000000"/>
          <w:sz w:val="20"/>
        </w:rPr>
        <w:t xml:space="preserve">hall constitute” is enough by itself to label income FBCSI, then all sorts of income would be open to designation as FBCSI, </w:t>
      </w:r>
      <w:r>
        <w:rPr>
          <w:rFonts w:ascii="Times New Roman" w:hAnsi="Times New Roman"/>
          <w:i/>
          <w:color w:val="000000"/>
          <w:sz w:val="20"/>
        </w:rPr>
        <w:t>even if no sales transaction occurred</w:t>
      </w:r>
      <w:r>
        <w:rPr>
          <w:rFonts w:ascii="Times New Roman" w:hAnsi="Times New Roman"/>
          <w:color w:val="000000"/>
          <w:sz w:val="20"/>
        </w:rPr>
        <w:t xml:space="preserve">. (An odd result, given that </w:t>
      </w:r>
      <w:hyperlink r:id="rId100" w:anchor="co_pp_5ba1000067d06">
        <w:r>
          <w:rPr>
            <w:rFonts w:ascii="Times New Roman" w:hAnsi="Times New Roman"/>
            <w:color w:val="000000"/>
            <w:sz w:val="20"/>
          </w:rPr>
          <w:t>§ 954(d)</w:t>
        </w:r>
      </w:hyperlink>
      <w:r>
        <w:rPr>
          <w:rFonts w:ascii="Times New Roman" w:hAnsi="Times New Roman"/>
          <w:color w:val="000000"/>
          <w:sz w:val="20"/>
        </w:rPr>
        <w:t xml:space="preserve"> is all about </w:t>
      </w:r>
      <w:r>
        <w:rPr>
          <w:rFonts w:ascii="Times New Roman" w:hAnsi="Times New Roman"/>
          <w:i/>
          <w:color w:val="000000"/>
          <w:sz w:val="20"/>
        </w:rPr>
        <w:t>sales</w:t>
      </w:r>
      <w:r>
        <w:rPr>
          <w:rFonts w:ascii="Times New Roman" w:hAnsi="Times New Roman"/>
          <w:color w:val="000000"/>
          <w:sz w:val="20"/>
        </w:rPr>
        <w:t xml:space="preserve"> inco</w:t>
      </w:r>
      <w:r>
        <w:rPr>
          <w:rFonts w:ascii="Times New Roman" w:hAnsi="Times New Roman"/>
          <w:color w:val="000000"/>
          <w:sz w:val="20"/>
        </w:rPr>
        <w:t>me.) That's because nothing in (d)(2) cabins the type of income Treasury could target. All it says is “income attributable” to the branch's activities could be FBCSI. This causes both a conceptual and a practical problem. Conceptually, (d)(1) defines FBCSI</w:t>
      </w:r>
      <w:r>
        <w:rPr>
          <w:rFonts w:ascii="Times New Roman" w:hAnsi="Times New Roman"/>
          <w:color w:val="000000"/>
          <w:sz w:val="20"/>
        </w:rPr>
        <w:t xml:space="preserve"> by reference to certain Related-Person Transactions. And (d)(2) starts off by noting that it's there “[f]or purposes of determining foreign base company sales income” when a CFC uses a branch. </w:t>
      </w:r>
      <w:hyperlink r:id="rId101" w:anchor="co_pp_4be3000003be5">
        <w:r>
          <w:rPr>
            <w:rFonts w:ascii="Times New Roman" w:hAnsi="Times New Roman"/>
            <w:color w:val="000000"/>
            <w:sz w:val="20"/>
          </w:rPr>
          <w:t>26 U.S.C. § 954(d)(2)</w:t>
        </w:r>
      </w:hyperlink>
      <w:r>
        <w:rPr>
          <w:rFonts w:ascii="Times New Roman" w:hAnsi="Times New Roman"/>
          <w:color w:val="000000"/>
          <w:sz w:val="20"/>
        </w:rPr>
        <w:t>. But i</w:t>
      </w:r>
      <w:r>
        <w:rPr>
          <w:rFonts w:ascii="Times New Roman" w:hAnsi="Times New Roman"/>
          <w:color w:val="000000"/>
          <w:sz w:val="20"/>
        </w:rPr>
        <w:t xml:space="preserve">f Treasury could designate income as FBCSI even with no Related-Person Transactions occurring, the internal logic </w:t>
      </w:r>
      <w:r>
        <w:rPr>
          <w:rFonts w:ascii="Times New Roman" w:hAnsi="Times New Roman"/>
          <w:color w:val="000000"/>
          <w:sz w:val="20"/>
        </w:rPr>
        <w:t xml:space="preserve">of the statute would collapse. Income arising </w:t>
      </w:r>
      <w:r>
        <w:rPr>
          <w:rFonts w:ascii="Times New Roman" w:hAnsi="Times New Roman"/>
          <w:i/>
          <w:color w:val="000000"/>
          <w:sz w:val="20"/>
        </w:rPr>
        <w:t>apart from</w:t>
      </w:r>
      <w:r>
        <w:rPr>
          <w:rFonts w:ascii="Times New Roman" w:hAnsi="Times New Roman"/>
          <w:color w:val="000000"/>
          <w:sz w:val="20"/>
        </w:rPr>
        <w:t xml:space="preserve"> a Related-Person Transaction is FBCSI, even though FBCSI is defined directly by refer</w:t>
      </w:r>
      <w:r>
        <w:rPr>
          <w:rFonts w:ascii="Times New Roman" w:hAnsi="Times New Roman"/>
          <w:color w:val="000000"/>
          <w:sz w:val="20"/>
        </w:rPr>
        <w:t>ence to Related-Person Transactions.</w:t>
      </w:r>
    </w:p>
    <w:p w14:paraId="028476F1" w14:textId="77777777" w:rsidR="00BE0373" w:rsidRDefault="003564BE">
      <w:pPr>
        <w:spacing w:line="275" w:lineRule="atLeast"/>
        <w:jc w:val="both"/>
      </w:pPr>
      <w:r>
        <w:rPr>
          <w:rFonts w:ascii="Times New Roman" w:hAnsi="Times New Roman"/>
          <w:color w:val="000000"/>
          <w:sz w:val="20"/>
        </w:rPr>
        <w:t> </w:t>
      </w:r>
    </w:p>
    <w:p w14:paraId="2ED3A73C" w14:textId="77777777" w:rsidR="00BE0373" w:rsidRDefault="003564BE">
      <w:pPr>
        <w:spacing w:line="275" w:lineRule="atLeast"/>
        <w:jc w:val="both"/>
      </w:pPr>
      <w:r>
        <w:rPr>
          <w:rFonts w:ascii="Times New Roman" w:hAnsi="Times New Roman"/>
          <w:color w:val="000000"/>
          <w:sz w:val="20"/>
        </w:rPr>
        <w:t xml:space="preserve">Maybe (d)(1) isn't the only provision that's allowed to define FBCSI. So (d)(2), just like (d)(1), can designate something FBCSI. But that still causes a practical problem. Reading “shall constitute” without applying </w:t>
      </w:r>
      <w:r>
        <w:rPr>
          <w:rFonts w:ascii="Times New Roman" w:hAnsi="Times New Roman"/>
          <w:color w:val="000000"/>
          <w:sz w:val="20"/>
        </w:rPr>
        <w:t xml:space="preserve">the (d)(1) framework gives no insight into </w:t>
      </w:r>
      <w:r>
        <w:rPr>
          <w:rFonts w:ascii="Times New Roman" w:hAnsi="Times New Roman"/>
          <w:i/>
          <w:color w:val="000000"/>
          <w:sz w:val="20"/>
        </w:rPr>
        <w:t>which</w:t>
      </w:r>
      <w:r>
        <w:rPr>
          <w:rFonts w:ascii="Times New Roman" w:hAnsi="Times New Roman"/>
          <w:color w:val="000000"/>
          <w:sz w:val="20"/>
        </w:rPr>
        <w:t xml:space="preserve"> branch transactions generate FBCSI. Besides “income attributable to a branch's activities,” there is no relevant referent from which to calculate a CFC's tax liability. What activities generate FBCSI, and ho</w:t>
      </w:r>
      <w:r>
        <w:rPr>
          <w:rFonts w:ascii="Times New Roman" w:hAnsi="Times New Roman"/>
          <w:color w:val="000000"/>
          <w:sz w:val="20"/>
        </w:rPr>
        <w:t xml:space="preserve">w much of the income from those activities is taxable? Under a literal reading of “shall constitute,” </w:t>
      </w:r>
      <w:r>
        <w:rPr>
          <w:rFonts w:ascii="Times New Roman" w:hAnsi="Times New Roman"/>
          <w:i/>
          <w:color w:val="000000"/>
          <w:sz w:val="20"/>
        </w:rPr>
        <w:t>any</w:t>
      </w:r>
      <w:r>
        <w:rPr>
          <w:rFonts w:ascii="Times New Roman" w:hAnsi="Times New Roman"/>
          <w:color w:val="000000"/>
          <w:sz w:val="20"/>
        </w:rPr>
        <w:t xml:space="preserve"> activity could generate FBCSI, no matter if it involves a Related-Person sales transaction, so long as it's “attributable” to the </w:t>
      </w:r>
      <w:bookmarkStart w:id="42" w:name="co_pp_sp_8173_958_1"/>
      <w:r>
        <w:rPr>
          <w:rFonts w:ascii="Times New Roman" w:hAnsi="Times New Roman"/>
          <w:b/>
          <w:color w:val="000000"/>
          <w:sz w:val="20"/>
        </w:rPr>
        <w:t>*958</w:t>
      </w:r>
      <w:bookmarkEnd w:id="42"/>
      <w:r>
        <w:rPr>
          <w:rFonts w:ascii="Times New Roman" w:hAnsi="Times New Roman"/>
          <w:color w:val="000000"/>
          <w:sz w:val="20"/>
        </w:rPr>
        <w:t xml:space="preserve"> branch's activi</w:t>
      </w:r>
      <w:r>
        <w:rPr>
          <w:rFonts w:ascii="Times New Roman" w:hAnsi="Times New Roman"/>
          <w:color w:val="000000"/>
          <w:sz w:val="20"/>
        </w:rPr>
        <w:t xml:space="preserve">ties. Again, that's an odd result when we're trying to determine if a transaction generated foreign base company </w:t>
      </w:r>
      <w:r>
        <w:rPr>
          <w:rFonts w:ascii="Times New Roman" w:hAnsi="Times New Roman"/>
          <w:i/>
          <w:color w:val="000000"/>
          <w:sz w:val="20"/>
        </w:rPr>
        <w:t>sales</w:t>
      </w:r>
      <w:r>
        <w:rPr>
          <w:rFonts w:ascii="Times New Roman" w:hAnsi="Times New Roman"/>
          <w:color w:val="000000"/>
          <w:sz w:val="20"/>
        </w:rPr>
        <w:t xml:space="preserve"> income.</w:t>
      </w:r>
    </w:p>
    <w:p w14:paraId="08C37EAC" w14:textId="77777777" w:rsidR="00BE0373" w:rsidRDefault="003564BE">
      <w:pPr>
        <w:spacing w:line="275" w:lineRule="atLeast"/>
        <w:jc w:val="both"/>
      </w:pPr>
      <w:r>
        <w:rPr>
          <w:rFonts w:ascii="Times New Roman" w:hAnsi="Times New Roman"/>
          <w:color w:val="000000"/>
          <w:sz w:val="20"/>
        </w:rPr>
        <w:t> </w:t>
      </w:r>
    </w:p>
    <w:p w14:paraId="4EDF36BE" w14:textId="77777777" w:rsidR="00BE0373" w:rsidRDefault="003564BE">
      <w:pPr>
        <w:spacing w:line="275" w:lineRule="atLeast"/>
        <w:jc w:val="both"/>
      </w:pPr>
      <w:r>
        <w:rPr>
          <w:rFonts w:ascii="Times New Roman" w:hAnsi="Times New Roman"/>
          <w:color w:val="000000"/>
          <w:sz w:val="20"/>
        </w:rPr>
        <w:t>Perhaps this abuse is unlikely. After all, what income but sales income would even arise in this context? But this case is a go</w:t>
      </w:r>
      <w:r>
        <w:rPr>
          <w:rFonts w:ascii="Times New Roman" w:hAnsi="Times New Roman"/>
          <w:color w:val="000000"/>
          <w:sz w:val="20"/>
        </w:rPr>
        <w:t xml:space="preserve">od example of why abuse is at least </w:t>
      </w:r>
      <w:r>
        <w:rPr>
          <w:rFonts w:ascii="Times New Roman" w:hAnsi="Times New Roman"/>
          <w:i/>
          <w:color w:val="000000"/>
          <w:sz w:val="20"/>
        </w:rPr>
        <w:t>possible</w:t>
      </w:r>
      <w:r>
        <w:rPr>
          <w:rFonts w:ascii="Times New Roman" w:hAnsi="Times New Roman"/>
          <w:color w:val="000000"/>
          <w:sz w:val="20"/>
        </w:rPr>
        <w:t>. One of LUX's functions is financing other Whirlpool subsidiaries. And it generates considerable interest income from its inter-company loans. Could interest income LUX earns from a loan to WIN constitute FBCSI?</w:t>
      </w:r>
      <w:r>
        <w:rPr>
          <w:rFonts w:ascii="Times New Roman" w:hAnsi="Times New Roman"/>
          <w:color w:val="000000"/>
          <w:sz w:val="20"/>
        </w:rPr>
        <w:t xml:space="preserve"> If it is “income attributable to the carrying on” of WIN's activities, then it would be FBCSI under a literal reading of (d)(2)'s last clause. And if WIN's manufacturing income enables it to pay LUX interest on its financing, and WIN was created by inter-</w:t>
      </w:r>
      <w:r>
        <w:rPr>
          <w:rFonts w:ascii="Times New Roman" w:hAnsi="Times New Roman"/>
          <w:color w:val="000000"/>
          <w:sz w:val="20"/>
        </w:rPr>
        <w:t>company financing, perhaps LUX's interest income would be “income attributable to” WIN's activities and thus FBCSI.</w:t>
      </w:r>
    </w:p>
    <w:p w14:paraId="644401F2" w14:textId="77777777" w:rsidR="00BE0373" w:rsidRDefault="003564BE">
      <w:pPr>
        <w:spacing w:line="275" w:lineRule="atLeast"/>
        <w:jc w:val="both"/>
      </w:pPr>
      <w:r>
        <w:rPr>
          <w:rFonts w:ascii="Times New Roman" w:hAnsi="Times New Roman"/>
          <w:color w:val="000000"/>
          <w:sz w:val="20"/>
        </w:rPr>
        <w:t> </w:t>
      </w:r>
    </w:p>
    <w:p w14:paraId="200B8279" w14:textId="77777777" w:rsidR="00BE0373" w:rsidRDefault="003564BE">
      <w:pPr>
        <w:spacing w:line="275" w:lineRule="atLeast"/>
        <w:jc w:val="both"/>
      </w:pPr>
      <w:proofErr w:type="gramStart"/>
      <w:r>
        <w:rPr>
          <w:rFonts w:ascii="Times New Roman" w:hAnsi="Times New Roman"/>
          <w:color w:val="000000"/>
          <w:sz w:val="20"/>
        </w:rPr>
        <w:t>So</w:t>
      </w:r>
      <w:proofErr w:type="gramEnd"/>
      <w:r>
        <w:rPr>
          <w:rFonts w:ascii="Times New Roman" w:hAnsi="Times New Roman"/>
          <w:color w:val="000000"/>
          <w:sz w:val="20"/>
        </w:rPr>
        <w:t xml:space="preserve"> reading “shall constitute” to mean (d)(2) transactions generate FBCSI without reference to a (d)(1) transaction raises fundamental prob</w:t>
      </w:r>
      <w:r>
        <w:rPr>
          <w:rFonts w:ascii="Times New Roman" w:hAnsi="Times New Roman"/>
          <w:color w:val="000000"/>
          <w:sz w:val="20"/>
        </w:rPr>
        <w:t xml:space="preserve">lems. And it renders part of </w:t>
      </w:r>
      <w:hyperlink r:id="rId102" w:anchor="co_pp_4be3000003be5">
        <w:r>
          <w:rPr>
            <w:rFonts w:ascii="Times New Roman" w:hAnsi="Times New Roman"/>
            <w:color w:val="000000"/>
            <w:sz w:val="20"/>
          </w:rPr>
          <w:t>§ 954(d)(2)</w:t>
        </w:r>
      </w:hyperlink>
      <w:r>
        <w:rPr>
          <w:rFonts w:ascii="Times New Roman" w:hAnsi="Times New Roman"/>
          <w:color w:val="000000"/>
          <w:sz w:val="20"/>
        </w:rPr>
        <w:t xml:space="preserve"> superfluous. </w:t>
      </w:r>
      <w:r>
        <w:rPr>
          <w:rFonts w:ascii="Times New Roman" w:hAnsi="Times New Roman"/>
          <w:i/>
          <w:color w:val="000000"/>
          <w:sz w:val="20"/>
        </w:rPr>
        <w:t>See</w:t>
      </w:r>
      <w:r>
        <w:rPr>
          <w:rFonts w:ascii="Times New Roman" w:hAnsi="Times New Roman"/>
          <w:color w:val="000000"/>
          <w:sz w:val="20"/>
        </w:rPr>
        <w:t xml:space="preserve"> Antonin Scalia &amp; Bryan A. Garner, Reading Law: The Interpretation of Legal Texts 174 (2012). Indeed, if “shall constitute” can independently create FBCSI, then what</w:t>
      </w:r>
      <w:r>
        <w:rPr>
          <w:rFonts w:ascii="Times New Roman" w:hAnsi="Times New Roman"/>
          <w:color w:val="000000"/>
          <w:sz w:val="20"/>
        </w:rPr>
        <w:t xml:space="preserve"> purpose does the “wholly owned subsidiary” fiction from </w:t>
      </w:r>
      <w:hyperlink r:id="rId103" w:anchor="co_pp_4be3000003be5">
        <w:r>
          <w:rPr>
            <w:rFonts w:ascii="Times New Roman" w:hAnsi="Times New Roman"/>
            <w:color w:val="000000"/>
            <w:sz w:val="20"/>
          </w:rPr>
          <w:t>§ 954(d)(2)</w:t>
        </w:r>
      </w:hyperlink>
      <w:r>
        <w:rPr>
          <w:rFonts w:ascii="Times New Roman" w:hAnsi="Times New Roman"/>
          <w:color w:val="000000"/>
          <w:sz w:val="20"/>
        </w:rPr>
        <w:t xml:space="preserve"> serve? Remember, that fiction “supplies the relationship required to bring an otherwise unrelated party within the spectrum of </w:t>
      </w:r>
      <w:hyperlink r:id="rId104" w:anchor="co_pp_e07e0000a9f57">
        <w:r>
          <w:rPr>
            <w:rFonts w:ascii="Times New Roman" w:hAnsi="Times New Roman"/>
            <w:color w:val="000000"/>
            <w:sz w:val="20"/>
          </w:rPr>
          <w:t>section 954(d)(1)</w:t>
        </w:r>
      </w:hyperlink>
      <w:r>
        <w:rPr>
          <w:rFonts w:ascii="Times New Roman" w:hAnsi="Times New Roman"/>
          <w:color w:val="000000"/>
          <w:sz w:val="20"/>
        </w:rPr>
        <w:t xml:space="preserve">.” </w:t>
      </w:r>
      <w:hyperlink r:id="rId105" w:anchor="co_pp_sp_838_591">
        <w:proofErr w:type="spellStart"/>
        <w:r>
          <w:rPr>
            <w:rFonts w:ascii="Times New Roman" w:hAnsi="Times New Roman"/>
            <w:i/>
            <w:color w:val="000000"/>
            <w:sz w:val="20"/>
          </w:rPr>
          <w:t>Vetco</w:t>
        </w:r>
        <w:proofErr w:type="spellEnd"/>
        <w:r>
          <w:rPr>
            <w:rFonts w:ascii="Times New Roman" w:hAnsi="Times New Roman"/>
            <w:color w:val="000000"/>
            <w:sz w:val="20"/>
          </w:rPr>
          <w:t>, 95 T.C. at 591–92</w:t>
        </w:r>
      </w:hyperlink>
      <w:r>
        <w:rPr>
          <w:rFonts w:ascii="Times New Roman" w:hAnsi="Times New Roman"/>
          <w:color w:val="000000"/>
          <w:sz w:val="20"/>
        </w:rPr>
        <w:t>. But if “income attributable” to the branch's activities “shall constitute” FBCSI even without applying (d)(1), the wholly-owned-</w:t>
      </w:r>
      <w:r>
        <w:rPr>
          <w:rFonts w:ascii="Times New Roman" w:hAnsi="Times New Roman"/>
          <w:color w:val="000000"/>
          <w:sz w:val="20"/>
        </w:rPr>
        <w:lastRenderedPageBreak/>
        <w:t>subsidiary fiction be</w:t>
      </w:r>
      <w:r>
        <w:rPr>
          <w:rFonts w:ascii="Times New Roman" w:hAnsi="Times New Roman"/>
          <w:color w:val="000000"/>
          <w:sz w:val="20"/>
        </w:rPr>
        <w:t>comes useless. Perhaps this is why even the government here agrees with this reading of (d)(2). (</w:t>
      </w:r>
      <w:r>
        <w:rPr>
          <w:rFonts w:ascii="Times New Roman" w:hAnsi="Times New Roman"/>
          <w:i/>
          <w:color w:val="000000"/>
          <w:sz w:val="20"/>
        </w:rPr>
        <w:t>See</w:t>
      </w:r>
      <w:r>
        <w:rPr>
          <w:rFonts w:ascii="Times New Roman" w:hAnsi="Times New Roman"/>
          <w:color w:val="000000"/>
          <w:sz w:val="20"/>
        </w:rPr>
        <w:t xml:space="preserve"> Appellee Br. at 34–35 &amp; n.14.) On the other hand, if we read (d)(2) as the Tax Court did in </w:t>
      </w:r>
      <w:hyperlink r:id="rId106">
        <w:proofErr w:type="spellStart"/>
        <w:r>
          <w:rPr>
            <w:rFonts w:ascii="Times New Roman" w:hAnsi="Times New Roman"/>
            <w:i/>
            <w:color w:val="000000"/>
            <w:sz w:val="20"/>
          </w:rPr>
          <w:t>Vetco</w:t>
        </w:r>
        <w:proofErr w:type="spellEnd"/>
      </w:hyperlink>
      <w:r>
        <w:rPr>
          <w:rFonts w:ascii="Times New Roman" w:hAnsi="Times New Roman"/>
          <w:color w:val="000000"/>
          <w:sz w:val="20"/>
        </w:rPr>
        <w:t xml:space="preserve"> to supply a missing Related-Person relationshi</w:t>
      </w:r>
      <w:r>
        <w:rPr>
          <w:rFonts w:ascii="Times New Roman" w:hAnsi="Times New Roman"/>
          <w:color w:val="000000"/>
          <w:sz w:val="20"/>
        </w:rPr>
        <w:t>p—running the branch transaction through the (d)(1) framework—that allows us to account for the fiction.</w:t>
      </w:r>
    </w:p>
    <w:p w14:paraId="74992276" w14:textId="77777777" w:rsidR="00BE0373" w:rsidRDefault="003564BE">
      <w:pPr>
        <w:spacing w:line="275" w:lineRule="atLeast"/>
        <w:jc w:val="both"/>
      </w:pPr>
      <w:r>
        <w:rPr>
          <w:rFonts w:ascii="Times New Roman" w:hAnsi="Times New Roman"/>
          <w:color w:val="000000"/>
          <w:sz w:val="20"/>
        </w:rPr>
        <w:t> </w:t>
      </w:r>
    </w:p>
    <w:p w14:paraId="31CC0626" w14:textId="77777777" w:rsidR="00BE0373" w:rsidRDefault="003564BE">
      <w:pPr>
        <w:spacing w:line="275" w:lineRule="atLeast"/>
        <w:jc w:val="both"/>
      </w:pPr>
      <w:r>
        <w:rPr>
          <w:rFonts w:ascii="Times New Roman" w:hAnsi="Times New Roman"/>
          <w:color w:val="000000"/>
          <w:sz w:val="20"/>
        </w:rPr>
        <w:t xml:space="preserve">Would my reading make “shall constitute” superfluous? No. Remember, </w:t>
      </w:r>
      <w:hyperlink r:id="rId107" w:anchor="co_pp_4be3000003be5">
        <w:r>
          <w:rPr>
            <w:rFonts w:ascii="Times New Roman" w:hAnsi="Times New Roman"/>
            <w:color w:val="000000"/>
            <w:sz w:val="20"/>
          </w:rPr>
          <w:t>§ 954(d)(2)</w:t>
        </w:r>
      </w:hyperlink>
      <w:r>
        <w:rPr>
          <w:rFonts w:ascii="Times New Roman" w:hAnsi="Times New Roman"/>
          <w:color w:val="000000"/>
          <w:sz w:val="20"/>
        </w:rPr>
        <w:t xml:space="preserve"> modifies “shall constitute” with “under regulations prescribed by the Secretary.” </w:t>
      </w:r>
      <w:r>
        <w:rPr>
          <w:rFonts w:ascii="Times New Roman" w:hAnsi="Times New Roman"/>
          <w:i/>
          <w:color w:val="000000"/>
          <w:sz w:val="20"/>
        </w:rPr>
        <w:t>See</w:t>
      </w:r>
      <w:r>
        <w:rPr>
          <w:rFonts w:ascii="Times New Roman" w:hAnsi="Times New Roman"/>
          <w:color w:val="000000"/>
          <w:sz w:val="20"/>
        </w:rPr>
        <w:t xml:space="preserve"> </w:t>
      </w:r>
      <w:hyperlink r:id="rId108" w:anchor="co_pp_4be3000003be5">
        <w:r>
          <w:rPr>
            <w:rFonts w:ascii="Times New Roman" w:hAnsi="Times New Roman"/>
            <w:color w:val="000000"/>
            <w:sz w:val="20"/>
          </w:rPr>
          <w:t>26 U.S.C. § 954(d)(2)</w:t>
        </w:r>
      </w:hyperlink>
      <w:r>
        <w:rPr>
          <w:rFonts w:ascii="Times New Roman" w:hAnsi="Times New Roman"/>
          <w:color w:val="000000"/>
          <w:sz w:val="20"/>
        </w:rPr>
        <w:t xml:space="preserve">. So “income attributable” to the branch's activities “shall constitute” FBCSI “under regulations prescribed by the Secretary.” We can easily read “shall constitute” in context as giving Treasury a role </w:t>
      </w:r>
      <w:r>
        <w:rPr>
          <w:rFonts w:ascii="Times New Roman" w:hAnsi="Times New Roman"/>
          <w:color w:val="000000"/>
          <w:sz w:val="20"/>
        </w:rPr>
        <w:t>in defining when branch transactions generate FBCSI. In fact, Treasury has already accepted that invitation. And as it happens, the regulations it issued tie (d)(2) back into (d)(1) and instruct us to apply (d)(1)'s exceptions to the (d)(2) transaction. Th</w:t>
      </w:r>
      <w:r>
        <w:rPr>
          <w:rFonts w:ascii="Times New Roman" w:hAnsi="Times New Roman"/>
          <w:color w:val="000000"/>
          <w:sz w:val="20"/>
        </w:rPr>
        <w:t>e upshot of that is this: LUX qualifies for one of these exceptions and so didn't generate FBCSI here.</w:t>
      </w:r>
    </w:p>
    <w:p w14:paraId="7B14AE40" w14:textId="77777777" w:rsidR="00BE0373" w:rsidRDefault="003564BE">
      <w:pPr>
        <w:spacing w:line="275" w:lineRule="atLeast"/>
        <w:jc w:val="both"/>
      </w:pPr>
      <w:r>
        <w:rPr>
          <w:rFonts w:ascii="Times New Roman" w:hAnsi="Times New Roman"/>
          <w:color w:val="000000"/>
          <w:sz w:val="20"/>
        </w:rPr>
        <w:t> </w:t>
      </w:r>
    </w:p>
    <w:p w14:paraId="636DD445" w14:textId="77777777" w:rsidR="00BE0373" w:rsidRDefault="003564BE">
      <w:pPr>
        <w:spacing w:before="600" w:line="275" w:lineRule="atLeast"/>
        <w:jc w:val="center"/>
      </w:pPr>
      <w:bookmarkStart w:id="43" w:name="co_anchor_I54b0c751aec311ec9f1af6ade2"/>
      <w:bookmarkStart w:id="44" w:name="co_anchor_I54b0c751aec311ec9f1af6ade371"/>
      <w:r>
        <w:rPr>
          <w:rFonts w:ascii="Times New Roman" w:hAnsi="Times New Roman"/>
          <w:color w:val="000000"/>
          <w:sz w:val="20"/>
        </w:rPr>
        <w:t>C.</w:t>
      </w:r>
    </w:p>
    <w:bookmarkEnd w:id="43"/>
    <w:bookmarkEnd w:id="44"/>
    <w:p w14:paraId="07754133" w14:textId="77777777" w:rsidR="00BE0373" w:rsidRDefault="003564BE">
      <w:pPr>
        <w:spacing w:before="400" w:line="275" w:lineRule="atLeast"/>
        <w:jc w:val="both"/>
      </w:pPr>
      <w:r>
        <w:rPr>
          <w:rFonts w:ascii="Times New Roman" w:hAnsi="Times New Roman"/>
          <w:color w:val="000000"/>
          <w:sz w:val="20"/>
        </w:rPr>
        <w:t>Let's turn to the regulations. The relevant (d)(2) manufacturing branch regulations have two main parts. The first tells us how to determine whether</w:t>
      </w:r>
      <w:r>
        <w:rPr>
          <w:rFonts w:ascii="Times New Roman" w:hAnsi="Times New Roman"/>
          <w:color w:val="000000"/>
          <w:sz w:val="20"/>
        </w:rPr>
        <w:t xml:space="preserve"> the use of a branch has substantially the same effect as use of a subsidiary. </w:t>
      </w:r>
      <w:hyperlink r:id="rId109" w:anchor="co_pp_a8b50000245b2">
        <w:r>
          <w:rPr>
            <w:rFonts w:ascii="Times New Roman" w:hAnsi="Times New Roman"/>
            <w:color w:val="000000"/>
            <w:sz w:val="20"/>
          </w:rPr>
          <w:t>26 C.F.R. § 1.954-3(b)(1)(ii)(b)</w:t>
        </w:r>
      </w:hyperlink>
      <w:r>
        <w:rPr>
          <w:rFonts w:ascii="Times New Roman" w:hAnsi="Times New Roman"/>
          <w:color w:val="000000"/>
          <w:sz w:val="20"/>
        </w:rPr>
        <w:t xml:space="preserve">. It does so with a “tax rate disparity” test. If, under the test, a tax rate disparity exists, then use of </w:t>
      </w:r>
      <w:r>
        <w:rPr>
          <w:rFonts w:ascii="Times New Roman" w:hAnsi="Times New Roman"/>
          <w:color w:val="000000"/>
          <w:sz w:val="20"/>
        </w:rPr>
        <w:t xml:space="preserve">a branch has “substantially the same effect” as use of a wholly owned subsidiary.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w:t>
      </w:r>
      <w:hyperlink r:id="rId110" w:anchor="co_pp_4be3000003be5">
        <w:r>
          <w:rPr>
            <w:rFonts w:ascii="Times New Roman" w:hAnsi="Times New Roman"/>
            <w:color w:val="000000"/>
            <w:sz w:val="20"/>
          </w:rPr>
          <w:t>26 U.S.C. § 954(d)(2)</w:t>
        </w:r>
      </w:hyperlink>
      <w:r>
        <w:rPr>
          <w:rFonts w:ascii="Times New Roman" w:hAnsi="Times New Roman"/>
          <w:color w:val="000000"/>
          <w:sz w:val="20"/>
        </w:rPr>
        <w:t>. Completing that Step 1 analysis is unnecessary for my argument here.</w:t>
      </w:r>
    </w:p>
    <w:p w14:paraId="3852E4BF" w14:textId="77777777" w:rsidR="00BE0373" w:rsidRDefault="003564BE">
      <w:pPr>
        <w:spacing w:line="275" w:lineRule="atLeast"/>
        <w:jc w:val="both"/>
      </w:pPr>
      <w:r>
        <w:rPr>
          <w:rFonts w:ascii="Times New Roman" w:hAnsi="Times New Roman"/>
          <w:color w:val="000000"/>
          <w:sz w:val="20"/>
        </w:rPr>
        <w:t> </w:t>
      </w:r>
    </w:p>
    <w:p w14:paraId="5F1E3519" w14:textId="77777777" w:rsidR="00BE0373" w:rsidRDefault="003564BE">
      <w:pPr>
        <w:spacing w:line="275" w:lineRule="atLeast"/>
        <w:jc w:val="both"/>
      </w:pPr>
      <w:r>
        <w:rPr>
          <w:rFonts w:ascii="Times New Roman" w:hAnsi="Times New Roman"/>
          <w:color w:val="000000"/>
          <w:sz w:val="20"/>
        </w:rPr>
        <w:t xml:space="preserve">Assuming a tax rate disparity exists </w:t>
      </w:r>
      <w:r>
        <w:rPr>
          <w:rFonts w:ascii="Times New Roman" w:hAnsi="Times New Roman"/>
          <w:color w:val="000000"/>
          <w:sz w:val="20"/>
        </w:rPr>
        <w:t xml:space="preserve">under Step 1, Step 2 of the regulations kicks in. </w:t>
      </w:r>
      <w:hyperlink r:id="rId111" w:anchor="co_pp_cbc000006a271">
        <w:r>
          <w:rPr>
            <w:rFonts w:ascii="Times New Roman" w:hAnsi="Times New Roman"/>
            <w:i/>
            <w:color w:val="000000"/>
            <w:sz w:val="20"/>
          </w:rPr>
          <w:t>Id.</w:t>
        </w:r>
        <w:r>
          <w:rPr>
            <w:rFonts w:ascii="Times New Roman" w:hAnsi="Times New Roman"/>
            <w:color w:val="000000"/>
            <w:sz w:val="20"/>
          </w:rPr>
          <w:t xml:space="preserve"> § 1.954-3(b)(2)(ii)</w:t>
        </w:r>
      </w:hyperlink>
      <w:r>
        <w:rPr>
          <w:rFonts w:ascii="Times New Roman" w:hAnsi="Times New Roman"/>
          <w:color w:val="000000"/>
          <w:sz w:val="20"/>
        </w:rPr>
        <w:t xml:space="preserve">. Under Step 2, “the determination of whether [the branch] or the remainder of the [CFC] ... has [FBCSI] shall be made by applying” certain </w:t>
      </w:r>
      <w:bookmarkStart w:id="45" w:name="co_pp_sp_8173_959_1"/>
      <w:r>
        <w:rPr>
          <w:rFonts w:ascii="Times New Roman" w:hAnsi="Times New Roman"/>
          <w:b/>
          <w:color w:val="000000"/>
          <w:sz w:val="20"/>
        </w:rPr>
        <w:t>*959</w:t>
      </w:r>
      <w:bookmarkEnd w:id="45"/>
      <w:r>
        <w:rPr>
          <w:rFonts w:ascii="Times New Roman" w:hAnsi="Times New Roman"/>
          <w:color w:val="000000"/>
          <w:sz w:val="20"/>
        </w:rPr>
        <w:t xml:space="preserve"> r</w:t>
      </w:r>
      <w:r>
        <w:rPr>
          <w:rFonts w:ascii="Times New Roman" w:hAnsi="Times New Roman"/>
          <w:color w:val="000000"/>
          <w:sz w:val="20"/>
        </w:rPr>
        <w:t xml:space="preserve">ules. </w:t>
      </w:r>
      <w:r>
        <w:rPr>
          <w:rFonts w:ascii="Times New Roman" w:hAnsi="Times New Roman"/>
          <w:i/>
          <w:color w:val="000000"/>
          <w:sz w:val="20"/>
        </w:rPr>
        <w:t>Id.</w:t>
      </w:r>
      <w:r>
        <w:rPr>
          <w:rFonts w:ascii="Times New Roman" w:hAnsi="Times New Roman"/>
          <w:color w:val="000000"/>
          <w:sz w:val="20"/>
        </w:rPr>
        <w:t xml:space="preserve"> The regulation then lists those rules. </w:t>
      </w:r>
      <w:r>
        <w:rPr>
          <w:rFonts w:ascii="Times New Roman" w:hAnsi="Times New Roman"/>
          <w:i/>
          <w:color w:val="000000"/>
          <w:sz w:val="20"/>
        </w:rPr>
        <w:t xml:space="preserve">See </w:t>
      </w:r>
      <w:hyperlink r:id="rId112" w:anchor="co_pp_963c0000aaa15">
        <w:r>
          <w:rPr>
            <w:rFonts w:ascii="Times New Roman" w:hAnsi="Times New Roman"/>
            <w:i/>
            <w:color w:val="000000"/>
            <w:sz w:val="20"/>
          </w:rPr>
          <w:t>id.</w:t>
        </w:r>
        <w:r>
          <w:rPr>
            <w:rFonts w:ascii="Times New Roman" w:hAnsi="Times New Roman"/>
            <w:color w:val="000000"/>
            <w:sz w:val="20"/>
          </w:rPr>
          <w:t xml:space="preserve"> § 1.954-3(b)(2)(ii)(a)–(f)</w:t>
        </w:r>
      </w:hyperlink>
      <w:r>
        <w:rPr>
          <w:rFonts w:ascii="Times New Roman" w:hAnsi="Times New Roman"/>
          <w:color w:val="000000"/>
          <w:sz w:val="20"/>
        </w:rPr>
        <w:t>. For instance, just like (d)(2), the regulation tells us to treat the branch as a wholly owned subsidiary incorporated in its country o</w:t>
      </w:r>
      <w:r>
        <w:rPr>
          <w:rFonts w:ascii="Times New Roman" w:hAnsi="Times New Roman"/>
          <w:color w:val="000000"/>
          <w:sz w:val="20"/>
        </w:rPr>
        <w:t xml:space="preserve">f location. </w:t>
      </w:r>
      <w:hyperlink r:id="rId113" w:anchor="co_pp_963c0000aaa15">
        <w:r>
          <w:rPr>
            <w:rFonts w:ascii="Times New Roman" w:hAnsi="Times New Roman"/>
            <w:i/>
            <w:color w:val="000000"/>
            <w:sz w:val="20"/>
          </w:rPr>
          <w:t>Id.</w:t>
        </w:r>
        <w:r>
          <w:rPr>
            <w:rFonts w:ascii="Times New Roman" w:hAnsi="Times New Roman"/>
            <w:color w:val="000000"/>
            <w:sz w:val="20"/>
          </w:rPr>
          <w:t xml:space="preserve"> § 1.954-3(b)(2)(ii)(a)</w:t>
        </w:r>
      </w:hyperlink>
      <w:r>
        <w:rPr>
          <w:rFonts w:ascii="Times New Roman" w:hAnsi="Times New Roman"/>
          <w:color w:val="000000"/>
          <w:sz w:val="20"/>
        </w:rPr>
        <w:t xml:space="preserve">. It also tells us to treat a sale by the </w:t>
      </w:r>
      <w:r>
        <w:rPr>
          <w:rFonts w:ascii="Times New Roman" w:hAnsi="Times New Roman"/>
          <w:color w:val="000000"/>
          <w:sz w:val="20"/>
        </w:rPr>
        <w:t xml:space="preserve">remainder as a sale performed “on behalf of” the branch. </w:t>
      </w:r>
      <w:hyperlink r:id="rId114" w:anchor="co_pp_53390000fef27">
        <w:r>
          <w:rPr>
            <w:rFonts w:ascii="Times New Roman" w:hAnsi="Times New Roman"/>
            <w:i/>
            <w:color w:val="000000"/>
            <w:sz w:val="20"/>
          </w:rPr>
          <w:t>Id.</w:t>
        </w:r>
        <w:r>
          <w:rPr>
            <w:rFonts w:ascii="Times New Roman" w:hAnsi="Times New Roman"/>
            <w:color w:val="000000"/>
            <w:sz w:val="20"/>
          </w:rPr>
          <w:t xml:space="preserve"> § 1.954-3(b)(2)(ii)(c)</w:t>
        </w:r>
      </w:hyperlink>
      <w:r>
        <w:rPr>
          <w:rFonts w:ascii="Times New Roman" w:hAnsi="Times New Roman"/>
          <w:color w:val="000000"/>
          <w:sz w:val="20"/>
        </w:rPr>
        <w:t>. (Note that an on-</w:t>
      </w:r>
      <w:r>
        <w:rPr>
          <w:rFonts w:ascii="Times New Roman" w:hAnsi="Times New Roman"/>
          <w:color w:val="000000"/>
          <w:sz w:val="20"/>
        </w:rPr>
        <w:t xml:space="preserve">behalf-of sale is one of the four categories of transactions that generates FBCSI under </w:t>
      </w:r>
      <w:hyperlink r:id="rId115" w:anchor="co_pp_e07e0000a9f57">
        <w:r>
          <w:rPr>
            <w:rFonts w:ascii="Times New Roman" w:hAnsi="Times New Roman"/>
            <w:color w:val="000000"/>
            <w:sz w:val="20"/>
          </w:rPr>
          <w:t>§ 954(d)(1)</w:t>
        </w:r>
      </w:hyperlink>
      <w:r>
        <w:rPr>
          <w:rFonts w:ascii="Times New Roman" w:hAnsi="Times New Roman"/>
          <w:color w:val="000000"/>
          <w:sz w:val="20"/>
        </w:rPr>
        <w:t>.) Likewise, it tells us that if income is FBCSI under (d)(1), or is FBCSI under a different regulation, then we should not</w:t>
      </w:r>
      <w:r>
        <w:rPr>
          <w:rFonts w:ascii="Times New Roman" w:hAnsi="Times New Roman"/>
          <w:color w:val="000000"/>
          <w:sz w:val="20"/>
        </w:rPr>
        <w:t xml:space="preserve"> recount it again under (d)(2)'s manufacturing branch rule. </w:t>
      </w:r>
      <w:hyperlink r:id="rId116" w:anchor="co_pp_ac7000004ff27">
        <w:r>
          <w:rPr>
            <w:rFonts w:ascii="Times New Roman" w:hAnsi="Times New Roman"/>
            <w:i/>
            <w:color w:val="000000"/>
            <w:sz w:val="20"/>
          </w:rPr>
          <w:t>Id.</w:t>
        </w:r>
        <w:r>
          <w:rPr>
            <w:rFonts w:ascii="Times New Roman" w:hAnsi="Times New Roman"/>
            <w:color w:val="000000"/>
            <w:sz w:val="20"/>
          </w:rPr>
          <w:t xml:space="preserve"> § 1.954-3(b)(2)(ii)(d), (f)</w:t>
        </w:r>
      </w:hyperlink>
      <w:r>
        <w:rPr>
          <w:rFonts w:ascii="Times New Roman" w:hAnsi="Times New Roman"/>
          <w:color w:val="000000"/>
          <w:sz w:val="20"/>
        </w:rPr>
        <w:t>. And finally, it tells us that if income would not be FBCSI if the branch and remainder were separate corporations, then it's n</w:t>
      </w:r>
      <w:r>
        <w:rPr>
          <w:rFonts w:ascii="Times New Roman" w:hAnsi="Times New Roman"/>
          <w:color w:val="000000"/>
          <w:sz w:val="20"/>
        </w:rPr>
        <w:t xml:space="preserve">ot FBCSI under </w:t>
      </w:r>
      <w:hyperlink r:id="rId117" w:anchor="co_pp_4be3000003be5">
        <w:r>
          <w:rPr>
            <w:rFonts w:ascii="Times New Roman" w:hAnsi="Times New Roman"/>
            <w:color w:val="000000"/>
            <w:sz w:val="20"/>
          </w:rPr>
          <w:t>§ 954(d)(2)</w:t>
        </w:r>
      </w:hyperlink>
      <w:r>
        <w:rPr>
          <w:rFonts w:ascii="Times New Roman" w:hAnsi="Times New Roman"/>
          <w:color w:val="000000"/>
          <w:sz w:val="20"/>
        </w:rPr>
        <w:t xml:space="preserve">. </w:t>
      </w:r>
      <w:hyperlink r:id="rId118" w:anchor="co_pp_18ea000061623">
        <w:r>
          <w:rPr>
            <w:rFonts w:ascii="Times New Roman" w:hAnsi="Times New Roman"/>
            <w:i/>
            <w:color w:val="000000"/>
            <w:sz w:val="20"/>
          </w:rPr>
          <w:t>Id.</w:t>
        </w:r>
        <w:r>
          <w:rPr>
            <w:rFonts w:ascii="Times New Roman" w:hAnsi="Times New Roman"/>
            <w:color w:val="000000"/>
            <w:sz w:val="20"/>
          </w:rPr>
          <w:t xml:space="preserve"> § 1.954-3(b)(2)(ii)(e)</w:t>
        </w:r>
      </w:hyperlink>
      <w:r>
        <w:rPr>
          <w:rFonts w:ascii="Times New Roman" w:hAnsi="Times New Roman"/>
          <w:color w:val="000000"/>
          <w:sz w:val="20"/>
        </w:rPr>
        <w:t>.</w:t>
      </w:r>
    </w:p>
    <w:p w14:paraId="24E7E563" w14:textId="77777777" w:rsidR="00BE0373" w:rsidRDefault="003564BE">
      <w:pPr>
        <w:spacing w:line="275" w:lineRule="atLeast"/>
        <w:jc w:val="both"/>
      </w:pPr>
      <w:r>
        <w:rPr>
          <w:rFonts w:ascii="Times New Roman" w:hAnsi="Times New Roman"/>
          <w:color w:val="000000"/>
          <w:sz w:val="20"/>
        </w:rPr>
        <w:t> </w:t>
      </w:r>
    </w:p>
    <w:p w14:paraId="6F57D09E" w14:textId="77777777" w:rsidR="00BE0373" w:rsidRDefault="003564BE">
      <w:pPr>
        <w:spacing w:line="275" w:lineRule="atLeast"/>
        <w:jc w:val="both"/>
      </w:pPr>
      <w:r>
        <w:rPr>
          <w:rFonts w:ascii="Times New Roman" w:hAnsi="Times New Roman"/>
          <w:color w:val="000000"/>
          <w:sz w:val="20"/>
        </w:rPr>
        <w:t>But that's it. After applying those rules, we reach the end of the rope. But notice what's missing: Anything stating that speci</w:t>
      </w:r>
      <w:r>
        <w:rPr>
          <w:rFonts w:ascii="Times New Roman" w:hAnsi="Times New Roman"/>
          <w:color w:val="000000"/>
          <w:sz w:val="20"/>
        </w:rPr>
        <w:t xml:space="preserve">fic income is FBCSI. The (d)(2) regulations instruct us to apply certain fictions to the branch and remainder, but then they stop. </w:t>
      </w:r>
      <w:proofErr w:type="gramStart"/>
      <w:r>
        <w:rPr>
          <w:rFonts w:ascii="Times New Roman" w:hAnsi="Times New Roman"/>
          <w:color w:val="000000"/>
          <w:sz w:val="20"/>
        </w:rPr>
        <w:t>So</w:t>
      </w:r>
      <w:proofErr w:type="gramEnd"/>
      <w:r>
        <w:rPr>
          <w:rFonts w:ascii="Times New Roman" w:hAnsi="Times New Roman"/>
          <w:color w:val="000000"/>
          <w:sz w:val="20"/>
        </w:rPr>
        <w:t xml:space="preserve"> Step 2 of the (d)(2) manufacturing branch regulations—which we apply when determining “whether such branch ... or remainde</w:t>
      </w:r>
      <w:r>
        <w:rPr>
          <w:rFonts w:ascii="Times New Roman" w:hAnsi="Times New Roman"/>
          <w:color w:val="000000"/>
          <w:sz w:val="20"/>
        </w:rPr>
        <w:t xml:space="preserve">r ... has [FBCSI]”—just tells us to treat the branch and remainder as separate corporations and view the remainder's sales as performed “on behalf of” the branch. It doesn't say </w:t>
      </w:r>
      <w:r>
        <w:rPr>
          <w:rFonts w:ascii="Times New Roman" w:hAnsi="Times New Roman"/>
          <w:i/>
          <w:color w:val="000000"/>
          <w:sz w:val="20"/>
        </w:rPr>
        <w:t>which</w:t>
      </w:r>
      <w:r>
        <w:rPr>
          <w:rFonts w:ascii="Times New Roman" w:hAnsi="Times New Roman"/>
          <w:color w:val="000000"/>
          <w:sz w:val="20"/>
        </w:rPr>
        <w:t xml:space="preserve"> branch transactions to look at when determining whether a CFC has FBCSI.</w:t>
      </w:r>
      <w:r>
        <w:rPr>
          <w:rFonts w:ascii="Times New Roman" w:hAnsi="Times New Roman"/>
          <w:color w:val="000000"/>
          <w:sz w:val="20"/>
        </w:rPr>
        <w:t xml:space="preserve"> Nor does it, of its own force, label any income FBCSI.</w:t>
      </w:r>
    </w:p>
    <w:p w14:paraId="16EB2C72" w14:textId="77777777" w:rsidR="00BE0373" w:rsidRDefault="003564BE">
      <w:pPr>
        <w:spacing w:line="275" w:lineRule="atLeast"/>
        <w:jc w:val="both"/>
      </w:pPr>
      <w:r>
        <w:rPr>
          <w:rFonts w:ascii="Times New Roman" w:hAnsi="Times New Roman"/>
          <w:color w:val="000000"/>
          <w:sz w:val="20"/>
        </w:rPr>
        <w:t> </w:t>
      </w:r>
    </w:p>
    <w:p w14:paraId="5714CC62" w14:textId="77777777" w:rsidR="00BE0373" w:rsidRDefault="003564BE">
      <w:pPr>
        <w:spacing w:line="275" w:lineRule="atLeast"/>
        <w:jc w:val="both"/>
      </w:pPr>
      <w:r>
        <w:rPr>
          <w:rFonts w:ascii="Times New Roman" w:hAnsi="Times New Roman"/>
          <w:color w:val="000000"/>
          <w:sz w:val="20"/>
        </w:rPr>
        <w:t xml:space="preserve">The only logical reason for this is that the regulation expects the (d)(2) transaction to filter back through the (d)(1) framework. Indeed, the regulation gives us the exact ingredients we need to make out a (d)(1) transaction. We have related persons, </w:t>
      </w:r>
      <w:r>
        <w:rPr>
          <w:rFonts w:ascii="Times New Roman" w:hAnsi="Times New Roman"/>
          <w:i/>
          <w:color w:val="000000"/>
          <w:sz w:val="20"/>
        </w:rPr>
        <w:t>see</w:t>
      </w:r>
      <w:r>
        <w:rPr>
          <w:rFonts w:ascii="Times New Roman" w:hAnsi="Times New Roman"/>
          <w:i/>
          <w:color w:val="000000"/>
          <w:sz w:val="20"/>
        </w:rPr>
        <w:t xml:space="preserve"> id.</w:t>
      </w:r>
      <w:r>
        <w:rPr>
          <w:rFonts w:ascii="Times New Roman" w:hAnsi="Times New Roman"/>
          <w:color w:val="000000"/>
          <w:sz w:val="20"/>
        </w:rPr>
        <w:t xml:space="preserve"> § 1.954-3(b)(2)(ii)(a) (treating the branch as a wholly owned subsidiary), and we have a (d)(1) transaction, </w:t>
      </w:r>
      <w:r>
        <w:rPr>
          <w:rFonts w:ascii="Times New Roman" w:hAnsi="Times New Roman"/>
          <w:i/>
          <w:color w:val="000000"/>
          <w:sz w:val="20"/>
        </w:rPr>
        <w:t>see id.</w:t>
      </w:r>
      <w:r>
        <w:rPr>
          <w:rFonts w:ascii="Times New Roman" w:hAnsi="Times New Roman"/>
          <w:color w:val="000000"/>
          <w:sz w:val="20"/>
        </w:rPr>
        <w:t xml:space="preserve"> § 1.954-3(b)(2)(ii)(c) (treating the remainder's selling activities as done on behalf of the branch); </w:t>
      </w:r>
      <w:r>
        <w:rPr>
          <w:rFonts w:ascii="Times New Roman" w:hAnsi="Times New Roman"/>
          <w:i/>
          <w:color w:val="000000"/>
          <w:sz w:val="20"/>
        </w:rPr>
        <w:t>see also</w:t>
      </w:r>
      <w:r>
        <w:rPr>
          <w:rFonts w:ascii="Times New Roman" w:hAnsi="Times New Roman"/>
          <w:color w:val="000000"/>
          <w:sz w:val="20"/>
        </w:rPr>
        <w:t xml:space="preserve"> </w:t>
      </w:r>
      <w:hyperlink r:id="rId119" w:anchor="co_pp_e07e0000a9f57">
        <w:r>
          <w:rPr>
            <w:rFonts w:ascii="Times New Roman" w:hAnsi="Times New Roman"/>
            <w:color w:val="000000"/>
            <w:sz w:val="20"/>
          </w:rPr>
          <w:t>26 U.S.C. § 954(d)(1)</w:t>
        </w:r>
      </w:hyperlink>
      <w:r>
        <w:rPr>
          <w:rFonts w:ascii="Times New Roman" w:hAnsi="Times New Roman"/>
          <w:color w:val="000000"/>
          <w:sz w:val="20"/>
        </w:rPr>
        <w:t>. We just don't have a provision calling anything FBCSI unless we look back to (d)(1)'s framework.</w:t>
      </w:r>
    </w:p>
    <w:p w14:paraId="53F1A391" w14:textId="77777777" w:rsidR="00BE0373" w:rsidRDefault="003564BE">
      <w:pPr>
        <w:spacing w:line="275" w:lineRule="atLeast"/>
        <w:jc w:val="both"/>
      </w:pPr>
      <w:r>
        <w:rPr>
          <w:rFonts w:ascii="Times New Roman" w:hAnsi="Times New Roman"/>
          <w:color w:val="000000"/>
          <w:sz w:val="20"/>
        </w:rPr>
        <w:t> </w:t>
      </w:r>
    </w:p>
    <w:p w14:paraId="781CD4F4" w14:textId="77777777" w:rsidR="00BE0373" w:rsidRDefault="003564BE">
      <w:pPr>
        <w:spacing w:line="275" w:lineRule="atLeast"/>
        <w:jc w:val="both"/>
      </w:pPr>
      <w:r>
        <w:rPr>
          <w:rFonts w:ascii="Times New Roman" w:hAnsi="Times New Roman"/>
          <w:color w:val="000000"/>
          <w:sz w:val="20"/>
        </w:rPr>
        <w:t>Even if that weren't enough to establish that (d)(2) filters back through (d)(1), the regulation leaves little doubt. It ex</w:t>
      </w:r>
      <w:r>
        <w:rPr>
          <w:rFonts w:ascii="Times New Roman" w:hAnsi="Times New Roman"/>
          <w:color w:val="000000"/>
          <w:sz w:val="20"/>
        </w:rPr>
        <w:t xml:space="preserve">plicitly tells us to apply the (d)(1) </w:t>
      </w:r>
      <w:r>
        <w:rPr>
          <w:rFonts w:ascii="Times New Roman" w:hAnsi="Times New Roman"/>
          <w:i/>
          <w:color w:val="000000"/>
          <w:sz w:val="20"/>
        </w:rPr>
        <w:t>exceptions</w:t>
      </w:r>
      <w:r>
        <w:rPr>
          <w:rFonts w:ascii="Times New Roman" w:hAnsi="Times New Roman"/>
          <w:color w:val="000000"/>
          <w:sz w:val="20"/>
        </w:rPr>
        <w:t xml:space="preserve"> to the (d)(2) transaction. “Income derived by the branch ... or by the remainder ... shall not be considered [FBCSI] if the income </w:t>
      </w:r>
      <w:r>
        <w:rPr>
          <w:rFonts w:ascii="Times New Roman" w:hAnsi="Times New Roman"/>
          <w:i/>
          <w:color w:val="000000"/>
          <w:sz w:val="20"/>
        </w:rPr>
        <w:t>would not be so considered if it were derived by a separate controlled forei</w:t>
      </w:r>
      <w:r>
        <w:rPr>
          <w:rFonts w:ascii="Times New Roman" w:hAnsi="Times New Roman"/>
          <w:i/>
          <w:color w:val="000000"/>
          <w:sz w:val="20"/>
        </w:rPr>
        <w:t>gn corporation under like circumstances</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 1.954-3(b)(2)(ii)(e) (emphasis added). This provision implies that “the results to a CFC [can] be no worse off as a result of using a branch than of using a </w:t>
      </w:r>
      <w:proofErr w:type="gramStart"/>
      <w:r>
        <w:rPr>
          <w:rFonts w:ascii="Times New Roman" w:hAnsi="Times New Roman"/>
          <w:color w:val="000000"/>
          <w:sz w:val="20"/>
        </w:rPr>
        <w:t>wholly-owned</w:t>
      </w:r>
      <w:proofErr w:type="gramEnd"/>
      <w:r>
        <w:rPr>
          <w:rFonts w:ascii="Times New Roman" w:hAnsi="Times New Roman"/>
          <w:color w:val="000000"/>
          <w:sz w:val="20"/>
        </w:rPr>
        <w:t xml:space="preserve"> subsidiary.” Mary F. Voce, </w:t>
      </w:r>
      <w:hyperlink r:id="rId120" w:anchor="co_pp_sp_100406_349">
        <w:r>
          <w:rPr>
            <w:rFonts w:ascii="Times New Roman" w:hAnsi="Times New Roman"/>
            <w:i/>
            <w:color w:val="000000"/>
            <w:sz w:val="20"/>
          </w:rPr>
          <w:t xml:space="preserve">Foreign Base Company Sales </w:t>
        </w:r>
        <w:r>
          <w:rPr>
            <w:rFonts w:ascii="Times New Roman" w:hAnsi="Times New Roman"/>
            <w:i/>
            <w:color w:val="000000"/>
            <w:sz w:val="20"/>
          </w:rPr>
          <w:lastRenderedPageBreak/>
          <w:t>Income: A Primer and An Update</w:t>
        </w:r>
        <w:r>
          <w:rPr>
            <w:rFonts w:ascii="Times New Roman" w:hAnsi="Times New Roman"/>
            <w:color w:val="000000"/>
            <w:sz w:val="20"/>
          </w:rPr>
          <w:t>, 53 Tax Lawyer 327, 349 (2000)</w:t>
        </w:r>
      </w:hyperlink>
      <w:r>
        <w:rPr>
          <w:rFonts w:ascii="Times New Roman" w:hAnsi="Times New Roman"/>
          <w:color w:val="000000"/>
          <w:sz w:val="20"/>
        </w:rPr>
        <w:t>. Put differently, if treating the branch and remainder as separate companies (and related persons) means the transactio</w:t>
      </w:r>
      <w:r>
        <w:rPr>
          <w:rFonts w:ascii="Times New Roman" w:hAnsi="Times New Roman"/>
          <w:color w:val="000000"/>
          <w:sz w:val="20"/>
        </w:rPr>
        <w:t xml:space="preserve">n at issue would </w:t>
      </w:r>
      <w:r>
        <w:rPr>
          <w:rFonts w:ascii="Times New Roman" w:hAnsi="Times New Roman"/>
          <w:i/>
          <w:color w:val="000000"/>
          <w:sz w:val="20"/>
        </w:rPr>
        <w:t>not</w:t>
      </w:r>
      <w:r>
        <w:rPr>
          <w:rFonts w:ascii="Times New Roman" w:hAnsi="Times New Roman"/>
          <w:color w:val="000000"/>
          <w:sz w:val="20"/>
        </w:rPr>
        <w:t xml:space="preserve"> generate FBCSI under (d)(1), then neither will the transaction generate FBCSI under (d)(2).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And because (d)(1)'s exceptions, including the Manufacturing Exception, operate upon income's status as FBCSI (i.e., when an exception </w:t>
      </w:r>
      <w:r>
        <w:rPr>
          <w:rFonts w:ascii="Times New Roman" w:hAnsi="Times New Roman"/>
          <w:color w:val="000000"/>
          <w:sz w:val="20"/>
        </w:rPr>
        <w:t xml:space="preserve">is met, the income is not FBCSI), we should check for the applicability of those exceptions to a (d)(2) transaction through </w:t>
      </w:r>
      <w:hyperlink r:id="rId121" w:anchor="co_pp_18ea000061623">
        <w:r>
          <w:rPr>
            <w:rFonts w:ascii="Times New Roman" w:hAnsi="Times New Roman"/>
            <w:color w:val="000000"/>
            <w:sz w:val="20"/>
          </w:rPr>
          <w:t>§ 1.954-3(b)(2)(ii)(e)</w:t>
        </w:r>
      </w:hyperlink>
      <w:r>
        <w:rPr>
          <w:rFonts w:ascii="Times New Roman" w:hAnsi="Times New Roman"/>
          <w:color w:val="000000"/>
          <w:sz w:val="20"/>
        </w:rPr>
        <w:t>. That means, even putting the statutory structure to the side, we must c</w:t>
      </w:r>
      <w:r>
        <w:rPr>
          <w:rFonts w:ascii="Times New Roman" w:hAnsi="Times New Roman"/>
          <w:color w:val="000000"/>
          <w:sz w:val="20"/>
        </w:rPr>
        <w:t>heck if the Manufacturing Exception applies here, even though we are within the Branch Rule under (d)(2).</w:t>
      </w:r>
    </w:p>
    <w:p w14:paraId="05228855" w14:textId="77777777" w:rsidR="00BE0373" w:rsidRDefault="003564BE">
      <w:pPr>
        <w:spacing w:line="275" w:lineRule="atLeast"/>
        <w:jc w:val="both"/>
      </w:pPr>
      <w:r>
        <w:rPr>
          <w:rFonts w:ascii="Times New Roman" w:hAnsi="Times New Roman"/>
          <w:color w:val="000000"/>
          <w:sz w:val="20"/>
        </w:rPr>
        <w:t> </w:t>
      </w:r>
    </w:p>
    <w:p w14:paraId="18D4E9BE" w14:textId="77777777" w:rsidR="00BE0373" w:rsidRDefault="003564BE">
      <w:pPr>
        <w:spacing w:line="275" w:lineRule="atLeast"/>
        <w:jc w:val="both"/>
      </w:pPr>
      <w:r>
        <w:rPr>
          <w:rFonts w:ascii="Times New Roman" w:hAnsi="Times New Roman"/>
          <w:color w:val="000000"/>
          <w:sz w:val="20"/>
        </w:rPr>
        <w:t xml:space="preserve">One last regulatory argument suggests we apply the (d)(1) regulatory exceptions to the (d)(2) transaction. Recall that the first part of the (d)(2) </w:t>
      </w:r>
      <w:r>
        <w:rPr>
          <w:rFonts w:ascii="Times New Roman" w:hAnsi="Times New Roman"/>
          <w:color w:val="000000"/>
          <w:sz w:val="20"/>
        </w:rPr>
        <w:t xml:space="preserve">manufacturing </w:t>
      </w:r>
      <w:bookmarkStart w:id="46" w:name="co_pp_sp_8173_960_1"/>
      <w:r>
        <w:rPr>
          <w:rFonts w:ascii="Times New Roman" w:hAnsi="Times New Roman"/>
          <w:b/>
          <w:color w:val="000000"/>
          <w:sz w:val="20"/>
        </w:rPr>
        <w:t>*960</w:t>
      </w:r>
      <w:bookmarkEnd w:id="46"/>
      <w:r>
        <w:rPr>
          <w:rFonts w:ascii="Times New Roman" w:hAnsi="Times New Roman"/>
          <w:color w:val="000000"/>
          <w:sz w:val="20"/>
        </w:rPr>
        <w:t xml:space="preserve"> branch regulations tells us how to determine whether there is a tax rate disparity. As part of that calculation, we allocate to the remainder “income derived by the remainder” that would be FBCSI under (d)(1), but </w:t>
      </w:r>
      <w:r>
        <w:rPr>
          <w:rFonts w:ascii="Times New Roman" w:hAnsi="Times New Roman"/>
          <w:i/>
          <w:color w:val="000000"/>
          <w:sz w:val="20"/>
        </w:rPr>
        <w:t>without applying</w:t>
      </w:r>
      <w:r>
        <w:rPr>
          <w:rFonts w:ascii="Times New Roman" w:hAnsi="Times New Roman"/>
          <w:color w:val="000000"/>
          <w:sz w:val="20"/>
        </w:rPr>
        <w:t xml:space="preserve"> (d)(1)</w:t>
      </w:r>
      <w:r>
        <w:rPr>
          <w:rFonts w:ascii="Times New Roman" w:hAnsi="Times New Roman"/>
          <w:color w:val="000000"/>
          <w:sz w:val="20"/>
        </w:rPr>
        <w:t xml:space="preserve">'s exceptions. </w:t>
      </w:r>
      <w:hyperlink r:id="rId122" w:anchor="co_pp_a8b50000245b2">
        <w:r>
          <w:rPr>
            <w:rFonts w:ascii="Times New Roman" w:hAnsi="Times New Roman"/>
            <w:color w:val="000000"/>
            <w:sz w:val="20"/>
          </w:rPr>
          <w:t>26 C.F.R. § 1.954-3(b)(1)(ii)(b)</w:t>
        </w:r>
      </w:hyperlink>
      <w:r>
        <w:rPr>
          <w:rFonts w:ascii="Times New Roman" w:hAnsi="Times New Roman"/>
          <w:color w:val="000000"/>
          <w:sz w:val="20"/>
        </w:rPr>
        <w:t xml:space="preserve">; </w:t>
      </w:r>
      <w:r>
        <w:rPr>
          <w:rFonts w:ascii="Times New Roman" w:hAnsi="Times New Roman"/>
          <w:i/>
          <w:color w:val="000000"/>
          <w:sz w:val="20"/>
        </w:rPr>
        <w:t xml:space="preserve">see also </w:t>
      </w:r>
      <w:hyperlink r:id="rId123" w:anchor="co_pp_c42a000095be5">
        <w:r>
          <w:rPr>
            <w:rFonts w:ascii="Times New Roman" w:hAnsi="Times New Roman"/>
            <w:i/>
            <w:color w:val="000000"/>
            <w:sz w:val="20"/>
          </w:rPr>
          <w:t>id.</w:t>
        </w:r>
        <w:r>
          <w:rPr>
            <w:rFonts w:ascii="Times New Roman" w:hAnsi="Times New Roman"/>
            <w:color w:val="000000"/>
            <w:sz w:val="20"/>
          </w:rPr>
          <w:t xml:space="preserve"> § 1.954-3(b)(2)(</w:t>
        </w:r>
        <w:proofErr w:type="spellStart"/>
        <w:r>
          <w:rPr>
            <w:rFonts w:ascii="Times New Roman" w:hAnsi="Times New Roman"/>
            <w:color w:val="000000"/>
            <w:sz w:val="20"/>
          </w:rPr>
          <w:t>i</w:t>
        </w:r>
        <w:proofErr w:type="spellEnd"/>
        <w:r>
          <w:rPr>
            <w:rFonts w:ascii="Times New Roman" w:hAnsi="Times New Roman"/>
            <w:color w:val="000000"/>
            <w:sz w:val="20"/>
          </w:rPr>
          <w:t>)</w:t>
        </w:r>
      </w:hyperlink>
      <w:r>
        <w:rPr>
          <w:rFonts w:ascii="Times New Roman" w:hAnsi="Times New Roman"/>
          <w:color w:val="000000"/>
          <w:sz w:val="20"/>
        </w:rPr>
        <w:t xml:space="preserve">. But once we determine that the use of a branch has the same effect as a wholly owned subsidiary, we </w:t>
      </w:r>
      <w:r>
        <w:rPr>
          <w:rFonts w:ascii="Times New Roman" w:hAnsi="Times New Roman"/>
          <w:color w:val="000000"/>
          <w:sz w:val="20"/>
        </w:rPr>
        <w:t xml:space="preserve">apply a </w:t>
      </w:r>
      <w:r>
        <w:rPr>
          <w:rFonts w:ascii="Times New Roman" w:hAnsi="Times New Roman"/>
          <w:i/>
          <w:color w:val="000000"/>
          <w:sz w:val="20"/>
        </w:rPr>
        <w:t>different</w:t>
      </w:r>
      <w:r>
        <w:rPr>
          <w:rFonts w:ascii="Times New Roman" w:hAnsi="Times New Roman"/>
          <w:color w:val="000000"/>
          <w:sz w:val="20"/>
        </w:rPr>
        <w:t xml:space="preserve"> set of rules, this time from the second part of (d)(2)'s manufacturing branch regulations. </w:t>
      </w:r>
      <w:r>
        <w:rPr>
          <w:rFonts w:ascii="Times New Roman" w:hAnsi="Times New Roman"/>
          <w:i/>
          <w:color w:val="000000"/>
          <w:sz w:val="20"/>
        </w:rPr>
        <w:t xml:space="preserve">See </w:t>
      </w:r>
      <w:hyperlink r:id="rId124" w:anchor="co_pp_cbc000006a271">
        <w:r>
          <w:rPr>
            <w:rFonts w:ascii="Times New Roman" w:hAnsi="Times New Roman"/>
            <w:i/>
            <w:color w:val="000000"/>
            <w:sz w:val="20"/>
          </w:rPr>
          <w:t>id.</w:t>
        </w:r>
        <w:r>
          <w:rPr>
            <w:rFonts w:ascii="Times New Roman" w:hAnsi="Times New Roman"/>
            <w:color w:val="000000"/>
            <w:sz w:val="20"/>
          </w:rPr>
          <w:t xml:space="preserve"> § 1.954-3(b)(2)(ii)</w:t>
        </w:r>
      </w:hyperlink>
      <w:r>
        <w:rPr>
          <w:rFonts w:ascii="Times New Roman" w:hAnsi="Times New Roman"/>
          <w:color w:val="000000"/>
          <w:sz w:val="20"/>
        </w:rPr>
        <w:t>. And missing from that set of rules is any requirement that we refrain from applyi</w:t>
      </w:r>
      <w:r>
        <w:rPr>
          <w:rFonts w:ascii="Times New Roman" w:hAnsi="Times New Roman"/>
          <w:color w:val="000000"/>
          <w:sz w:val="20"/>
        </w:rPr>
        <w:t xml:space="preserve">ng (d)(1)'s exceptions. Instead, </w:t>
      </w:r>
      <w:hyperlink r:id="rId125" w:anchor="co_pp_18ea000061623">
        <w:r>
          <w:rPr>
            <w:rFonts w:ascii="Times New Roman" w:hAnsi="Times New Roman"/>
            <w:color w:val="000000"/>
            <w:sz w:val="20"/>
          </w:rPr>
          <w:t>§ 1.954-3(b)(2)(ii)(e)</w:t>
        </w:r>
      </w:hyperlink>
      <w:r>
        <w:rPr>
          <w:rFonts w:ascii="Times New Roman" w:hAnsi="Times New Roman"/>
          <w:color w:val="000000"/>
          <w:sz w:val="20"/>
        </w:rPr>
        <w:t xml:space="preserve"> says the opposite—that we </w:t>
      </w:r>
      <w:r>
        <w:rPr>
          <w:rFonts w:ascii="Times New Roman" w:hAnsi="Times New Roman"/>
          <w:i/>
          <w:color w:val="000000"/>
          <w:sz w:val="20"/>
        </w:rPr>
        <w:t>should</w:t>
      </w:r>
      <w:r>
        <w:rPr>
          <w:rFonts w:ascii="Times New Roman" w:hAnsi="Times New Roman"/>
          <w:color w:val="000000"/>
          <w:sz w:val="20"/>
        </w:rPr>
        <w:t xml:space="preserve"> apply the (d)(1) exceptions. </w:t>
      </w:r>
      <w:proofErr w:type="gramStart"/>
      <w:r>
        <w:rPr>
          <w:rFonts w:ascii="Times New Roman" w:hAnsi="Times New Roman"/>
          <w:color w:val="000000"/>
          <w:sz w:val="20"/>
        </w:rPr>
        <w:t>So</w:t>
      </w:r>
      <w:proofErr w:type="gramEnd"/>
      <w:r>
        <w:rPr>
          <w:rFonts w:ascii="Times New Roman" w:hAnsi="Times New Roman"/>
          <w:color w:val="000000"/>
          <w:sz w:val="20"/>
        </w:rPr>
        <w:t xml:space="preserve"> Treasury knew how to tell us when not to apply the (d)(1) exceptions to a (d)(2) transaction, but </w:t>
      </w:r>
      <w:r>
        <w:rPr>
          <w:rFonts w:ascii="Times New Roman" w:hAnsi="Times New Roman"/>
          <w:color w:val="000000"/>
          <w:sz w:val="20"/>
        </w:rPr>
        <w:t>it elected to do so only for determining whether a tax rate disparity exists, and not for determining whether a specific transaction generated FBCSI.</w:t>
      </w:r>
    </w:p>
    <w:p w14:paraId="3B17CEBA" w14:textId="77777777" w:rsidR="00BE0373" w:rsidRDefault="003564BE">
      <w:pPr>
        <w:spacing w:line="275" w:lineRule="atLeast"/>
        <w:jc w:val="both"/>
      </w:pPr>
      <w:r>
        <w:rPr>
          <w:rFonts w:ascii="Times New Roman" w:hAnsi="Times New Roman"/>
          <w:color w:val="000000"/>
          <w:sz w:val="20"/>
        </w:rPr>
        <w:t> </w:t>
      </w:r>
    </w:p>
    <w:p w14:paraId="1B6291F6" w14:textId="77777777" w:rsidR="00BE0373" w:rsidRDefault="003564BE">
      <w:pPr>
        <w:spacing w:line="275" w:lineRule="atLeast"/>
        <w:jc w:val="both"/>
      </w:pPr>
      <w:r>
        <w:rPr>
          <w:rFonts w:ascii="Times New Roman" w:hAnsi="Times New Roman"/>
          <w:color w:val="000000"/>
          <w:sz w:val="20"/>
        </w:rPr>
        <w:t xml:space="preserve">That we should filter (d)(2) transaction back through the (d)(1) framework makes sense when we consider </w:t>
      </w:r>
      <w:r>
        <w:rPr>
          <w:rFonts w:ascii="Times New Roman" w:hAnsi="Times New Roman"/>
          <w:color w:val="000000"/>
          <w:sz w:val="20"/>
        </w:rPr>
        <w:t xml:space="preserve">why (d)(2) exists in the first place. It's there so that CFCs can't evade (d)(1) by using a branch to avoid a Related-Person Transaction. It makes little sense, then, to treat a CFC </w:t>
      </w:r>
      <w:r>
        <w:rPr>
          <w:rFonts w:ascii="Times New Roman" w:hAnsi="Times New Roman"/>
          <w:i/>
          <w:color w:val="000000"/>
          <w:sz w:val="20"/>
        </w:rPr>
        <w:t>worse</w:t>
      </w:r>
      <w:r>
        <w:rPr>
          <w:rFonts w:ascii="Times New Roman" w:hAnsi="Times New Roman"/>
          <w:color w:val="000000"/>
          <w:sz w:val="20"/>
        </w:rPr>
        <w:t xml:space="preserve"> for using a branch than it would be treated under (d)(1). </w:t>
      </w:r>
      <w:r>
        <w:rPr>
          <w:rFonts w:ascii="Times New Roman" w:hAnsi="Times New Roman"/>
          <w:i/>
          <w:color w:val="000000"/>
          <w:sz w:val="20"/>
        </w:rPr>
        <w:t>See</w:t>
      </w:r>
      <w:r>
        <w:rPr>
          <w:rFonts w:ascii="Times New Roman" w:hAnsi="Times New Roman"/>
          <w:color w:val="000000"/>
          <w:sz w:val="20"/>
        </w:rPr>
        <w:t xml:space="preserve"> Voce, </w:t>
      </w:r>
      <w:r>
        <w:rPr>
          <w:rFonts w:ascii="Times New Roman" w:hAnsi="Times New Roman"/>
          <w:i/>
          <w:color w:val="000000"/>
          <w:sz w:val="20"/>
        </w:rPr>
        <w:t>supra</w:t>
      </w:r>
      <w:r>
        <w:rPr>
          <w:rFonts w:ascii="Times New Roman" w:hAnsi="Times New Roman"/>
          <w:color w:val="000000"/>
          <w:sz w:val="20"/>
        </w:rPr>
        <w:t xml:space="preserve"> at 349. That's why (d)(2)'s regulations say that if the CFC wouldn't have FBCSI were the branch and remainder separate companies, then it shouldn't have FBCSI under (d)(2). </w:t>
      </w:r>
      <w:r>
        <w:rPr>
          <w:rFonts w:ascii="Times New Roman" w:hAnsi="Times New Roman"/>
          <w:i/>
          <w:color w:val="000000"/>
          <w:sz w:val="20"/>
        </w:rPr>
        <w:t>See</w:t>
      </w:r>
      <w:r>
        <w:rPr>
          <w:rFonts w:ascii="Times New Roman" w:hAnsi="Times New Roman"/>
          <w:color w:val="000000"/>
          <w:sz w:val="20"/>
        </w:rPr>
        <w:t xml:space="preserve"> </w:t>
      </w:r>
      <w:hyperlink r:id="rId126" w:anchor="co_pp_18ea000061623">
        <w:r>
          <w:rPr>
            <w:rFonts w:ascii="Times New Roman" w:hAnsi="Times New Roman"/>
            <w:color w:val="000000"/>
            <w:sz w:val="20"/>
          </w:rPr>
          <w:t xml:space="preserve">26 C.F.R. § </w:t>
        </w:r>
        <w:r>
          <w:rPr>
            <w:rFonts w:ascii="Times New Roman" w:hAnsi="Times New Roman"/>
            <w:color w:val="000000"/>
            <w:sz w:val="20"/>
          </w:rPr>
          <w:t>1.954-3(b)(2)(ii)(e)</w:t>
        </w:r>
      </w:hyperlink>
      <w:r>
        <w:rPr>
          <w:rFonts w:ascii="Times New Roman" w:hAnsi="Times New Roman"/>
          <w:color w:val="000000"/>
          <w:sz w:val="20"/>
        </w:rPr>
        <w:t xml:space="preserve">. </w:t>
      </w:r>
      <w:proofErr w:type="gramStart"/>
      <w:r>
        <w:rPr>
          <w:rFonts w:ascii="Times New Roman" w:hAnsi="Times New Roman"/>
          <w:color w:val="000000"/>
          <w:sz w:val="20"/>
        </w:rPr>
        <w:t>So</w:t>
      </w:r>
      <w:proofErr w:type="gramEnd"/>
      <w:r>
        <w:rPr>
          <w:rFonts w:ascii="Times New Roman" w:hAnsi="Times New Roman"/>
          <w:color w:val="000000"/>
          <w:sz w:val="20"/>
        </w:rPr>
        <w:t xml:space="preserve"> if a </w:t>
      </w:r>
      <w:r>
        <w:rPr>
          <w:rFonts w:ascii="Times New Roman" w:hAnsi="Times New Roman"/>
          <w:color w:val="000000"/>
          <w:sz w:val="20"/>
        </w:rPr>
        <w:t xml:space="preserve">transaction wouldn't generate FBCSI under (d)(1) because of the Manufacturing Exception, then neither will it generate FBCSI just because the CFC used a branch.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p>
    <w:p w14:paraId="2F863C6C" w14:textId="77777777" w:rsidR="00BE0373" w:rsidRDefault="003564BE">
      <w:pPr>
        <w:spacing w:line="275" w:lineRule="atLeast"/>
        <w:jc w:val="both"/>
      </w:pPr>
      <w:r>
        <w:rPr>
          <w:rFonts w:ascii="Times New Roman" w:hAnsi="Times New Roman"/>
          <w:color w:val="000000"/>
          <w:sz w:val="20"/>
        </w:rPr>
        <w:t> </w:t>
      </w:r>
    </w:p>
    <w:p w14:paraId="4BC8BB99" w14:textId="77777777" w:rsidR="00BE0373" w:rsidRDefault="003564BE">
      <w:pPr>
        <w:spacing w:line="275" w:lineRule="atLeast"/>
        <w:jc w:val="both"/>
      </w:pPr>
      <w:r>
        <w:rPr>
          <w:rFonts w:ascii="Times New Roman" w:hAnsi="Times New Roman"/>
          <w:color w:val="000000"/>
          <w:sz w:val="20"/>
        </w:rPr>
        <w:t xml:space="preserve">In short, the structure of </w:t>
      </w:r>
      <w:hyperlink r:id="rId127" w:anchor="co_pp_4be3000003be5">
        <w:r>
          <w:rPr>
            <w:rFonts w:ascii="Times New Roman" w:hAnsi="Times New Roman"/>
            <w:color w:val="000000"/>
            <w:sz w:val="20"/>
          </w:rPr>
          <w:t>§ 954(d)(2)</w:t>
        </w:r>
      </w:hyperlink>
      <w:r>
        <w:rPr>
          <w:rFonts w:ascii="Times New Roman" w:hAnsi="Times New Roman"/>
          <w:color w:val="000000"/>
          <w:sz w:val="20"/>
        </w:rPr>
        <w:t xml:space="preserve"> supports running a branch transaction through the (d)(1) framework, and the regulations—which no one challenges here—tell us </w:t>
      </w:r>
      <w:r>
        <w:rPr>
          <w:rFonts w:ascii="Times New Roman" w:hAnsi="Times New Roman"/>
          <w:i/>
          <w:color w:val="000000"/>
          <w:sz w:val="20"/>
        </w:rPr>
        <w:t>explicitly</w:t>
      </w:r>
      <w:r>
        <w:rPr>
          <w:rFonts w:ascii="Times New Roman" w:hAnsi="Times New Roman"/>
          <w:color w:val="000000"/>
          <w:sz w:val="20"/>
        </w:rPr>
        <w:t xml:space="preserve"> to do so. And applying the Manufacturing Exception here means LUX didn't generate taxable FBCSI.</w:t>
      </w:r>
    </w:p>
    <w:p w14:paraId="6ED1B78B" w14:textId="77777777" w:rsidR="00BE0373" w:rsidRDefault="003564BE">
      <w:pPr>
        <w:spacing w:line="275" w:lineRule="atLeast"/>
        <w:jc w:val="both"/>
      </w:pPr>
      <w:r>
        <w:rPr>
          <w:rFonts w:ascii="Times New Roman" w:hAnsi="Times New Roman"/>
          <w:color w:val="000000"/>
          <w:sz w:val="20"/>
        </w:rPr>
        <w:t> </w:t>
      </w:r>
    </w:p>
    <w:p w14:paraId="7E7B3CF6" w14:textId="77777777" w:rsidR="00BE0373" w:rsidRDefault="003564BE">
      <w:pPr>
        <w:spacing w:before="600" w:line="275" w:lineRule="atLeast"/>
        <w:jc w:val="center"/>
      </w:pPr>
      <w:bookmarkStart w:id="47" w:name="co_anchor_I54b7a521aec311ec9f1af6ade2"/>
      <w:bookmarkStart w:id="48" w:name="co_anchor_I54b7a521aec311ec9f1af6ade371"/>
      <w:r>
        <w:rPr>
          <w:rFonts w:ascii="Times New Roman" w:hAnsi="Times New Roman"/>
          <w:color w:val="000000"/>
          <w:sz w:val="20"/>
        </w:rPr>
        <w:t>D.</w:t>
      </w:r>
    </w:p>
    <w:bookmarkEnd w:id="47"/>
    <w:bookmarkEnd w:id="48"/>
    <w:p w14:paraId="58DEB81B" w14:textId="77777777" w:rsidR="00BE0373" w:rsidRDefault="003564BE">
      <w:pPr>
        <w:spacing w:before="400" w:line="275" w:lineRule="atLeast"/>
        <w:jc w:val="both"/>
      </w:pPr>
      <w:r>
        <w:rPr>
          <w:rFonts w:ascii="Times New Roman" w:hAnsi="Times New Roman"/>
          <w:color w:val="000000"/>
          <w:sz w:val="20"/>
        </w:rPr>
        <w:t xml:space="preserve">Though the statutory and regulatory language and structure establish that (d)(2) branch transactions run back through the (d)(1) framework, I also note some other support for my position. Tax scholars, for instance, agree not only that (d)(2) transactions </w:t>
      </w:r>
      <w:r>
        <w:rPr>
          <w:rFonts w:ascii="Times New Roman" w:hAnsi="Times New Roman"/>
          <w:color w:val="000000"/>
          <w:sz w:val="20"/>
        </w:rPr>
        <w:t xml:space="preserve">filter through (d)(1), but that </w:t>
      </w:r>
      <w:hyperlink r:id="rId128" w:anchor="co_pp_18ea000061623">
        <w:r>
          <w:rPr>
            <w:rFonts w:ascii="Times New Roman" w:hAnsi="Times New Roman"/>
            <w:color w:val="000000"/>
            <w:sz w:val="20"/>
          </w:rPr>
          <w:t>§ 1.954-3(b)(2)(ii)(e)</w:t>
        </w:r>
      </w:hyperlink>
      <w:r>
        <w:rPr>
          <w:rFonts w:ascii="Times New Roman" w:hAnsi="Times New Roman"/>
          <w:color w:val="000000"/>
          <w:sz w:val="20"/>
        </w:rPr>
        <w:t xml:space="preserve"> means we apply (d)(1)'s exceptions, including its Manufacturing Exception, to a branch-remainder transaction. Voce, </w:t>
      </w:r>
      <w:r>
        <w:rPr>
          <w:rFonts w:ascii="Times New Roman" w:hAnsi="Times New Roman"/>
          <w:i/>
          <w:color w:val="000000"/>
          <w:sz w:val="20"/>
        </w:rPr>
        <w:t>supra</w:t>
      </w:r>
      <w:r>
        <w:rPr>
          <w:rFonts w:ascii="Times New Roman" w:hAnsi="Times New Roman"/>
          <w:color w:val="000000"/>
          <w:sz w:val="20"/>
        </w:rPr>
        <w:t xml:space="preserve"> at 347–48 (“[T]he Branch Rule of </w:t>
      </w:r>
      <w:hyperlink r:id="rId129" w:anchor="co_pp_4be3000003be5">
        <w:r>
          <w:rPr>
            <w:rFonts w:ascii="Times New Roman" w:hAnsi="Times New Roman"/>
            <w:color w:val="000000"/>
            <w:sz w:val="20"/>
          </w:rPr>
          <w:t>section 954(d)(2)</w:t>
        </w:r>
      </w:hyperlink>
      <w:r>
        <w:rPr>
          <w:rFonts w:ascii="Times New Roman" w:hAnsi="Times New Roman"/>
          <w:color w:val="000000"/>
          <w:sz w:val="20"/>
        </w:rPr>
        <w:t xml:space="preserve"> is only intended to subject transactions between a CFC and a branch to the same rules that are applicable to transactions between the CFC and a subsidiary under </w:t>
      </w:r>
      <w:hyperlink r:id="rId130" w:anchor="co_pp_e07e0000a9f57">
        <w:r>
          <w:rPr>
            <w:rFonts w:ascii="Times New Roman" w:hAnsi="Times New Roman"/>
            <w:color w:val="000000"/>
            <w:sz w:val="20"/>
          </w:rPr>
          <w:t>section 954(d)(1)</w:t>
        </w:r>
      </w:hyperlink>
      <w:r>
        <w:rPr>
          <w:rFonts w:ascii="Times New Roman" w:hAnsi="Times New Roman"/>
          <w:color w:val="000000"/>
          <w:sz w:val="20"/>
        </w:rPr>
        <w:t>,</w:t>
      </w:r>
      <w:r>
        <w:rPr>
          <w:rFonts w:ascii="Times New Roman" w:hAnsi="Times New Roman"/>
          <w:color w:val="000000"/>
          <w:sz w:val="20"/>
        </w:rPr>
        <w:t xml:space="preserve"> not to create a different or more stringent test for what constitutes FBCSI.”); </w:t>
      </w:r>
      <w:r>
        <w:rPr>
          <w:rFonts w:ascii="Times New Roman" w:hAnsi="Times New Roman"/>
          <w:i/>
          <w:color w:val="000000"/>
          <w:sz w:val="20"/>
        </w:rPr>
        <w:t>see also</w:t>
      </w:r>
      <w:r>
        <w:rPr>
          <w:rFonts w:ascii="Times New Roman" w:hAnsi="Times New Roman"/>
          <w:color w:val="000000"/>
          <w:sz w:val="20"/>
        </w:rPr>
        <w:t xml:space="preserve"> Laity, </w:t>
      </w:r>
      <w:r>
        <w:rPr>
          <w:rFonts w:ascii="Times New Roman" w:hAnsi="Times New Roman"/>
          <w:i/>
          <w:color w:val="000000"/>
          <w:sz w:val="20"/>
        </w:rPr>
        <w:t>supra</w:t>
      </w:r>
      <w:r>
        <w:rPr>
          <w:rFonts w:ascii="Times New Roman" w:hAnsi="Times New Roman"/>
          <w:color w:val="000000"/>
          <w:sz w:val="20"/>
        </w:rPr>
        <w:t xml:space="preserve"> at 145 (noting that “[w]hen computing this additional foreign base company sales income, the U.S. shareholders may use” the (d)(1) exceptions); Dolan, et</w:t>
      </w:r>
      <w:r>
        <w:rPr>
          <w:rFonts w:ascii="Times New Roman" w:hAnsi="Times New Roman"/>
          <w:color w:val="000000"/>
          <w:sz w:val="20"/>
        </w:rPr>
        <w:t xml:space="preserve"> al., </w:t>
      </w:r>
      <w:r>
        <w:rPr>
          <w:rFonts w:ascii="Times New Roman" w:hAnsi="Times New Roman"/>
          <w:i/>
          <w:color w:val="000000"/>
          <w:sz w:val="20"/>
        </w:rPr>
        <w:t>supra</w:t>
      </w:r>
      <w:r>
        <w:rPr>
          <w:rFonts w:ascii="Times New Roman" w:hAnsi="Times New Roman"/>
          <w:color w:val="000000"/>
          <w:sz w:val="20"/>
        </w:rPr>
        <w:t xml:space="preserve"> § 18.06 at *8.</w:t>
      </w:r>
    </w:p>
    <w:p w14:paraId="7349BEB2" w14:textId="77777777" w:rsidR="00BE0373" w:rsidRDefault="003564BE">
      <w:pPr>
        <w:spacing w:line="275" w:lineRule="atLeast"/>
        <w:jc w:val="both"/>
      </w:pPr>
      <w:r>
        <w:rPr>
          <w:rFonts w:ascii="Times New Roman" w:hAnsi="Times New Roman"/>
          <w:color w:val="000000"/>
          <w:sz w:val="20"/>
        </w:rPr>
        <w:t> </w:t>
      </w:r>
    </w:p>
    <w:p w14:paraId="6F25992A" w14:textId="77777777" w:rsidR="00BE0373" w:rsidRDefault="003564BE">
      <w:pPr>
        <w:spacing w:line="275" w:lineRule="atLeast"/>
        <w:jc w:val="both"/>
      </w:pPr>
      <w:r>
        <w:rPr>
          <w:rFonts w:ascii="Times New Roman" w:hAnsi="Times New Roman"/>
          <w:color w:val="000000"/>
          <w:sz w:val="20"/>
        </w:rPr>
        <w:t xml:space="preserve">Notably, the IRS agrees with my framework. In </w:t>
      </w:r>
      <w:hyperlink r:id="rId131">
        <w:r>
          <w:rPr>
            <w:rFonts w:ascii="Times New Roman" w:hAnsi="Times New Roman"/>
            <w:color w:val="000000"/>
            <w:sz w:val="20"/>
          </w:rPr>
          <w:t>Technical Advice Memorandum 8509004 (1984)</w:t>
        </w:r>
      </w:hyperlink>
      <w:r>
        <w:rPr>
          <w:rFonts w:ascii="Times New Roman" w:hAnsi="Times New Roman"/>
          <w:color w:val="000000"/>
          <w:sz w:val="20"/>
        </w:rPr>
        <w:t xml:space="preserve">, for instance, the IRS applied the Manufacturing Exception to a branch transaction through </w:t>
      </w:r>
      <w:hyperlink r:id="rId132" w:anchor="co_pp_18ea000061623">
        <w:r>
          <w:rPr>
            <w:rFonts w:ascii="Times New Roman" w:hAnsi="Times New Roman"/>
            <w:color w:val="000000"/>
            <w:sz w:val="20"/>
          </w:rPr>
          <w:t>§ 1.954-3(b)(2)(ii)(e)</w:t>
        </w:r>
      </w:hyperlink>
      <w:r>
        <w:rPr>
          <w:rFonts w:ascii="Times New Roman" w:hAnsi="Times New Roman"/>
          <w:color w:val="000000"/>
          <w:sz w:val="20"/>
        </w:rPr>
        <w:t>. Citing (e), the IRS noted that “income derived by the branch or the remainder ... will not be considered foreign base company sales income if such income would not be so considered if it were derived by a separate CFC under like ci</w:t>
      </w:r>
      <w:r>
        <w:rPr>
          <w:rFonts w:ascii="Times New Roman" w:hAnsi="Times New Roman"/>
          <w:color w:val="000000"/>
          <w:sz w:val="20"/>
        </w:rPr>
        <w:t xml:space="preserve">rcumstances. Under [the Manufacturing Exception], income derived by the branch ... would not constitute foreign base company sales income </w:t>
      </w:r>
      <w:r>
        <w:rPr>
          <w:rFonts w:ascii="Times New Roman" w:hAnsi="Times New Roman"/>
          <w:i/>
          <w:color w:val="000000"/>
          <w:sz w:val="20"/>
        </w:rPr>
        <w:t>since the branch manufactured and sold Product Z.</w:t>
      </w:r>
      <w:r>
        <w:rPr>
          <w:rFonts w:ascii="Times New Roman" w:hAnsi="Times New Roman"/>
          <w:color w:val="000000"/>
          <w:sz w:val="20"/>
        </w:rPr>
        <w:t xml:space="preserve">” </w:t>
      </w:r>
      <w:bookmarkStart w:id="49" w:name="co_pp_sp_8173_961_1"/>
      <w:r>
        <w:rPr>
          <w:rFonts w:ascii="Times New Roman" w:hAnsi="Times New Roman"/>
          <w:b/>
          <w:color w:val="000000"/>
          <w:sz w:val="20"/>
        </w:rPr>
        <w:t>*961</w:t>
      </w:r>
      <w:bookmarkEnd w:id="49"/>
      <w:r>
        <w:rPr>
          <w:rFonts w:ascii="Times New Roman" w:hAnsi="Times New Roman"/>
          <w:color w:val="000000"/>
          <w:sz w:val="20"/>
        </w:rPr>
        <w:t xml:space="preserve"> </w:t>
      </w:r>
      <w:hyperlink r:id="rId133">
        <w:r>
          <w:rPr>
            <w:rFonts w:ascii="Times New Roman" w:hAnsi="Times New Roman"/>
            <w:color w:val="000000"/>
            <w:sz w:val="20"/>
          </w:rPr>
          <w:t>Technical Advice Memorandum 8509004 (1984)</w:t>
        </w:r>
      </w:hyperlink>
      <w:r>
        <w:rPr>
          <w:rFonts w:ascii="Times New Roman" w:hAnsi="Times New Roman"/>
          <w:color w:val="000000"/>
          <w:sz w:val="20"/>
        </w:rPr>
        <w:t xml:space="preserve"> (emphasi</w:t>
      </w:r>
      <w:r>
        <w:rPr>
          <w:rFonts w:ascii="Times New Roman" w:hAnsi="Times New Roman"/>
          <w:color w:val="000000"/>
          <w:sz w:val="20"/>
        </w:rPr>
        <w:t xml:space="preserve">s added). It did the same in an earlier </w:t>
      </w:r>
      <w:hyperlink r:id="rId134">
        <w:r>
          <w:rPr>
            <w:rFonts w:ascii="Times New Roman" w:hAnsi="Times New Roman"/>
            <w:color w:val="000000"/>
            <w:sz w:val="20"/>
          </w:rPr>
          <w:t xml:space="preserve">Private Letter Ruling. </w:t>
        </w:r>
        <w:r>
          <w:rPr>
            <w:rFonts w:ascii="Times New Roman" w:hAnsi="Times New Roman"/>
            <w:i/>
            <w:color w:val="000000"/>
            <w:sz w:val="20"/>
          </w:rPr>
          <w:t>See</w:t>
        </w:r>
        <w:r>
          <w:rPr>
            <w:rFonts w:ascii="Times New Roman" w:hAnsi="Times New Roman"/>
            <w:color w:val="000000"/>
            <w:sz w:val="20"/>
          </w:rPr>
          <w:t xml:space="preserve"> Private Letter Ruling 7612101490A (1976)</w:t>
        </w:r>
      </w:hyperlink>
      <w:r>
        <w:rPr>
          <w:rFonts w:ascii="Times New Roman" w:hAnsi="Times New Roman"/>
          <w:color w:val="000000"/>
          <w:sz w:val="20"/>
        </w:rPr>
        <w:t xml:space="preserve"> (“The </w:t>
      </w:r>
      <w:r>
        <w:rPr>
          <w:rFonts w:ascii="Times New Roman" w:hAnsi="Times New Roman"/>
          <w:color w:val="000000"/>
          <w:sz w:val="20"/>
        </w:rPr>
        <w:lastRenderedPageBreak/>
        <w:t xml:space="preserve">income of NEWCO *** as a manufacturing branch is not subpart F income under </w:t>
      </w:r>
      <w:hyperlink r:id="rId135" w:anchor="co_pp_a7830000870a0">
        <w:r>
          <w:rPr>
            <w:rFonts w:ascii="Times New Roman" w:hAnsi="Times New Roman"/>
            <w:color w:val="000000"/>
            <w:sz w:val="20"/>
          </w:rPr>
          <w:t>section 954(d)(1)(A)</w:t>
        </w:r>
      </w:hyperlink>
      <w:r>
        <w:rPr>
          <w:rFonts w:ascii="Times New Roman" w:hAnsi="Times New Roman"/>
          <w:color w:val="000000"/>
          <w:sz w:val="20"/>
        </w:rPr>
        <w:t xml:space="preserve"> </w:t>
      </w:r>
      <w:r>
        <w:rPr>
          <w:rFonts w:ascii="Times New Roman" w:hAnsi="Times New Roman"/>
          <w:color w:val="000000"/>
          <w:sz w:val="20"/>
        </w:rPr>
        <w:t>... because its income is derived from sales of property it manufactures.”). And, importantly, it takes the same position in its briefing here. (</w:t>
      </w:r>
      <w:r>
        <w:rPr>
          <w:rFonts w:ascii="Times New Roman" w:hAnsi="Times New Roman"/>
          <w:i/>
          <w:color w:val="000000"/>
          <w:sz w:val="20"/>
        </w:rPr>
        <w:t>See</w:t>
      </w:r>
      <w:r>
        <w:rPr>
          <w:rFonts w:ascii="Times New Roman" w:hAnsi="Times New Roman"/>
          <w:color w:val="000000"/>
          <w:sz w:val="20"/>
        </w:rPr>
        <w:t xml:space="preserve"> Appellee Br. at 34–35 &amp; n.14.)</w:t>
      </w:r>
    </w:p>
    <w:p w14:paraId="1071CCAF" w14:textId="77777777" w:rsidR="00BE0373" w:rsidRDefault="003564BE">
      <w:pPr>
        <w:spacing w:line="275" w:lineRule="atLeast"/>
        <w:jc w:val="both"/>
      </w:pPr>
      <w:r>
        <w:rPr>
          <w:rFonts w:ascii="Times New Roman" w:hAnsi="Times New Roman"/>
          <w:color w:val="000000"/>
          <w:sz w:val="20"/>
        </w:rPr>
        <w:t> </w:t>
      </w:r>
    </w:p>
    <w:p w14:paraId="78C602C1" w14:textId="77777777" w:rsidR="00BE0373" w:rsidRDefault="003564BE">
      <w:pPr>
        <w:spacing w:before="600" w:line="275" w:lineRule="atLeast"/>
        <w:jc w:val="center"/>
      </w:pPr>
      <w:bookmarkStart w:id="50" w:name="co_anchor_I54b979e1aec311ec9f1af6ade2"/>
      <w:bookmarkStart w:id="51" w:name="co_anchor_I54b979e1aec311ec9f1af6ade371"/>
      <w:r>
        <w:rPr>
          <w:rFonts w:ascii="Times New Roman" w:hAnsi="Times New Roman"/>
          <w:color w:val="000000"/>
          <w:sz w:val="20"/>
        </w:rPr>
        <w:t>II.</w:t>
      </w:r>
    </w:p>
    <w:bookmarkEnd w:id="50"/>
    <w:bookmarkEnd w:id="51"/>
    <w:p w14:paraId="5F649442" w14:textId="77777777" w:rsidR="00BE0373" w:rsidRDefault="003564BE">
      <w:pPr>
        <w:spacing w:before="400" w:line="275" w:lineRule="atLeast"/>
        <w:jc w:val="both"/>
      </w:pPr>
      <w:r>
        <w:rPr>
          <w:rFonts w:ascii="Times New Roman" w:hAnsi="Times New Roman"/>
          <w:color w:val="000000"/>
          <w:sz w:val="20"/>
        </w:rPr>
        <w:t>What's the consequence of all this? Whether we place LUX's relevant sales within the (d)(1) or (d)(2) bucket, we need to check whether the Manufacturing Exception applies. To be sure, under (d)(1), LUX made sales to a related person (Whirlpool U.S. and Mex</w:t>
      </w:r>
      <w:r>
        <w:rPr>
          <w:rFonts w:ascii="Times New Roman" w:hAnsi="Times New Roman"/>
          <w:color w:val="000000"/>
          <w:sz w:val="20"/>
        </w:rPr>
        <w:t xml:space="preserve">ico) </w:t>
      </w:r>
      <w:r>
        <w:rPr>
          <w:rFonts w:ascii="Times New Roman" w:hAnsi="Times New Roman"/>
          <w:i/>
          <w:color w:val="000000"/>
          <w:sz w:val="20"/>
        </w:rPr>
        <w:t>and</w:t>
      </w:r>
      <w:r>
        <w:rPr>
          <w:rFonts w:ascii="Times New Roman" w:hAnsi="Times New Roman"/>
          <w:color w:val="000000"/>
          <w:sz w:val="20"/>
        </w:rPr>
        <w:t xml:space="preserve"> probably on behalf of a related person (WIN). </w:t>
      </w:r>
      <w:proofErr w:type="gramStart"/>
      <w:r>
        <w:rPr>
          <w:rFonts w:ascii="Times New Roman" w:hAnsi="Times New Roman"/>
          <w:color w:val="000000"/>
          <w:sz w:val="20"/>
        </w:rPr>
        <w:t>So</w:t>
      </w:r>
      <w:proofErr w:type="gramEnd"/>
      <w:r>
        <w:rPr>
          <w:rFonts w:ascii="Times New Roman" w:hAnsi="Times New Roman"/>
          <w:color w:val="000000"/>
          <w:sz w:val="20"/>
        </w:rPr>
        <w:t xml:space="preserve"> it has a (d)(1) </w:t>
      </w:r>
      <w:r>
        <w:rPr>
          <w:rFonts w:ascii="Times New Roman" w:hAnsi="Times New Roman"/>
          <w:i/>
          <w:color w:val="000000"/>
          <w:sz w:val="20"/>
        </w:rPr>
        <w:t>transaction</w:t>
      </w:r>
      <w:r>
        <w:rPr>
          <w:rFonts w:ascii="Times New Roman" w:hAnsi="Times New Roman"/>
          <w:color w:val="000000"/>
          <w:sz w:val="20"/>
        </w:rPr>
        <w:t>. Likewise, under (d)(2), LUX's use of WIN likely had “substantially the same effect” as if WIN were a wholly owned subsidiary of LUX and not a branch. Thus, however we cu</w:t>
      </w:r>
      <w:r>
        <w:rPr>
          <w:rFonts w:ascii="Times New Roman" w:hAnsi="Times New Roman"/>
          <w:color w:val="000000"/>
          <w:sz w:val="20"/>
        </w:rPr>
        <w:t>t it, LUX has a qualifying transaction.</w:t>
      </w:r>
    </w:p>
    <w:p w14:paraId="3098826B" w14:textId="77777777" w:rsidR="00BE0373" w:rsidRDefault="003564BE">
      <w:pPr>
        <w:spacing w:line="275" w:lineRule="atLeast"/>
        <w:jc w:val="both"/>
      </w:pPr>
      <w:r>
        <w:rPr>
          <w:rFonts w:ascii="Times New Roman" w:hAnsi="Times New Roman"/>
          <w:color w:val="000000"/>
          <w:sz w:val="20"/>
        </w:rPr>
        <w:t> </w:t>
      </w:r>
    </w:p>
    <w:p w14:paraId="65CFFF90" w14:textId="77777777" w:rsidR="00BE0373" w:rsidRDefault="003564BE">
      <w:pPr>
        <w:spacing w:line="275" w:lineRule="atLeast"/>
        <w:jc w:val="both"/>
      </w:pPr>
      <w:r>
        <w:rPr>
          <w:rFonts w:ascii="Times New Roman" w:hAnsi="Times New Roman"/>
          <w:color w:val="000000"/>
          <w:sz w:val="20"/>
        </w:rPr>
        <w:t xml:space="preserve">But we still need to check if any exceptions to FBCSI apply. That's the explicit command of </w:t>
      </w:r>
      <w:hyperlink r:id="rId136" w:anchor="co_pp_18ea000061623">
        <w:r>
          <w:rPr>
            <w:rFonts w:ascii="Times New Roman" w:hAnsi="Times New Roman"/>
            <w:color w:val="000000"/>
            <w:sz w:val="20"/>
          </w:rPr>
          <w:t>§ 1.954-3(b)(2)(ii)(e)</w:t>
        </w:r>
      </w:hyperlink>
      <w:r>
        <w:rPr>
          <w:rFonts w:ascii="Times New Roman" w:hAnsi="Times New Roman"/>
          <w:color w:val="000000"/>
          <w:sz w:val="20"/>
        </w:rPr>
        <w:t xml:space="preserve">, and it's the implicit route the statutory and regulatory structure say we should take. Recall that except for federal taxation, WIN is a wholly owned subsidiary of LUX. </w:t>
      </w:r>
      <w:proofErr w:type="gramStart"/>
      <w:r>
        <w:rPr>
          <w:rFonts w:ascii="Times New Roman" w:hAnsi="Times New Roman"/>
          <w:color w:val="000000"/>
          <w:sz w:val="20"/>
        </w:rPr>
        <w:t>So</w:t>
      </w:r>
      <w:proofErr w:type="gramEnd"/>
      <w:r>
        <w:rPr>
          <w:rFonts w:ascii="Times New Roman" w:hAnsi="Times New Roman"/>
          <w:color w:val="000000"/>
          <w:sz w:val="20"/>
        </w:rPr>
        <w:t xml:space="preserve"> for the 1.954-3(b)(2)(ii)</w:t>
      </w:r>
      <w:r>
        <w:rPr>
          <w:rFonts w:ascii="Times New Roman" w:hAnsi="Times New Roman"/>
          <w:color w:val="000000"/>
          <w:sz w:val="20"/>
        </w:rPr>
        <w:t xml:space="preserve">(e) inquiry, we can say WIN is a wholly owned subsidiary of LUX and thus a separate corporation. Viewing it that way brings us back under </w:t>
      </w:r>
      <w:hyperlink r:id="rId137" w:anchor="co_pp_e07e0000a9f57">
        <w:r>
          <w:rPr>
            <w:rFonts w:ascii="Times New Roman" w:hAnsi="Times New Roman"/>
            <w:color w:val="000000"/>
            <w:sz w:val="20"/>
          </w:rPr>
          <w:t>§ 954(d)(1)</w:t>
        </w:r>
      </w:hyperlink>
      <w:r>
        <w:rPr>
          <w:rFonts w:ascii="Times New Roman" w:hAnsi="Times New Roman"/>
          <w:color w:val="000000"/>
          <w:sz w:val="20"/>
        </w:rPr>
        <w:t xml:space="preserve"> since wholly owned subsidiaries are related to their owner. Under that a</w:t>
      </w:r>
      <w:r>
        <w:rPr>
          <w:rFonts w:ascii="Times New Roman" w:hAnsi="Times New Roman"/>
          <w:color w:val="000000"/>
          <w:sz w:val="20"/>
        </w:rPr>
        <w:t>rrangement, did LUX generate FBCSI? The answer is no, because of the Manufacturing Exception.</w:t>
      </w:r>
    </w:p>
    <w:p w14:paraId="778C1618" w14:textId="77777777" w:rsidR="00BE0373" w:rsidRDefault="003564BE">
      <w:pPr>
        <w:spacing w:line="275" w:lineRule="atLeast"/>
        <w:jc w:val="both"/>
      </w:pPr>
      <w:r>
        <w:rPr>
          <w:rFonts w:ascii="Times New Roman" w:hAnsi="Times New Roman"/>
          <w:color w:val="000000"/>
          <w:sz w:val="20"/>
        </w:rPr>
        <w:t> </w:t>
      </w:r>
    </w:p>
    <w:p w14:paraId="54388E4E" w14:textId="77777777" w:rsidR="00BE0373" w:rsidRDefault="003564BE">
      <w:pPr>
        <w:spacing w:line="275" w:lineRule="atLeast"/>
        <w:jc w:val="both"/>
      </w:pPr>
      <w:r>
        <w:rPr>
          <w:rFonts w:ascii="Times New Roman" w:hAnsi="Times New Roman"/>
          <w:color w:val="000000"/>
          <w:sz w:val="20"/>
        </w:rPr>
        <w:t xml:space="preserve">The Manufacturing Exception is a regulatory provision. </w:t>
      </w:r>
      <w:r>
        <w:rPr>
          <w:rFonts w:ascii="Times New Roman" w:hAnsi="Times New Roman"/>
          <w:i/>
          <w:color w:val="000000"/>
          <w:sz w:val="20"/>
        </w:rPr>
        <w:t>See</w:t>
      </w:r>
      <w:r>
        <w:rPr>
          <w:rFonts w:ascii="Times New Roman" w:hAnsi="Times New Roman"/>
          <w:color w:val="000000"/>
          <w:sz w:val="20"/>
        </w:rPr>
        <w:t xml:space="preserve"> </w:t>
      </w:r>
      <w:hyperlink r:id="rId138" w:anchor="co_pp_d40e000072291">
        <w:r>
          <w:rPr>
            <w:rFonts w:ascii="Times New Roman" w:hAnsi="Times New Roman"/>
            <w:color w:val="000000"/>
            <w:sz w:val="20"/>
          </w:rPr>
          <w:t>26 C.F.R. § 1.954-3(a)(4)</w:t>
        </w:r>
      </w:hyperlink>
      <w:r>
        <w:rPr>
          <w:rFonts w:ascii="Times New Roman" w:hAnsi="Times New Roman"/>
          <w:color w:val="000000"/>
          <w:sz w:val="20"/>
        </w:rPr>
        <w:t>. Under the regulation, “income of a [C</w:t>
      </w:r>
      <w:r>
        <w:rPr>
          <w:rFonts w:ascii="Times New Roman" w:hAnsi="Times New Roman"/>
          <w:color w:val="000000"/>
          <w:sz w:val="20"/>
        </w:rPr>
        <w:t xml:space="preserve">FC] derived in connection with the sale of personal property </w:t>
      </w:r>
      <w:r>
        <w:rPr>
          <w:rFonts w:ascii="Times New Roman" w:hAnsi="Times New Roman"/>
          <w:i/>
          <w:color w:val="000000"/>
          <w:sz w:val="20"/>
        </w:rPr>
        <w:t>manufactured</w:t>
      </w:r>
      <w:r>
        <w:rPr>
          <w:rFonts w:ascii="Times New Roman" w:hAnsi="Times New Roman"/>
          <w:color w:val="000000"/>
          <w:sz w:val="20"/>
        </w:rPr>
        <w:t xml:space="preserve">, </w:t>
      </w:r>
      <w:r>
        <w:rPr>
          <w:rFonts w:ascii="Times New Roman" w:hAnsi="Times New Roman"/>
          <w:i/>
          <w:color w:val="000000"/>
          <w:sz w:val="20"/>
        </w:rPr>
        <w:t>produced, or constructed by such corporation</w:t>
      </w:r>
      <w:r>
        <w:rPr>
          <w:rFonts w:ascii="Times New Roman" w:hAnsi="Times New Roman"/>
          <w:color w:val="000000"/>
          <w:sz w:val="20"/>
        </w:rPr>
        <w:t xml:space="preserve"> in whole or in part from personal property which [the CFC] has purchased” is not FBCSI. </w:t>
      </w:r>
      <w:hyperlink r:id="rId139" w:anchor="co_pp_ba190000c31b0">
        <w:r>
          <w:rPr>
            <w:rFonts w:ascii="Times New Roman" w:hAnsi="Times New Roman"/>
            <w:i/>
            <w:color w:val="000000"/>
            <w:sz w:val="20"/>
          </w:rPr>
          <w:t>Id.</w:t>
        </w:r>
        <w:r>
          <w:rPr>
            <w:rFonts w:ascii="Times New Roman" w:hAnsi="Times New Roman"/>
            <w:color w:val="000000"/>
            <w:sz w:val="20"/>
          </w:rPr>
          <w:t xml:space="preserve"> § 1.954</w:t>
        </w:r>
        <w:r>
          <w:rPr>
            <w:rFonts w:ascii="Times New Roman" w:hAnsi="Times New Roman"/>
            <w:color w:val="000000"/>
            <w:sz w:val="20"/>
          </w:rPr>
          <w:t>-3(a)(4)(</w:t>
        </w:r>
        <w:proofErr w:type="spellStart"/>
        <w:r>
          <w:rPr>
            <w:rFonts w:ascii="Times New Roman" w:hAnsi="Times New Roman"/>
            <w:color w:val="000000"/>
            <w:sz w:val="20"/>
          </w:rPr>
          <w:t>i</w:t>
        </w:r>
        <w:proofErr w:type="spellEnd"/>
        <w:r>
          <w:rPr>
            <w:rFonts w:ascii="Times New Roman" w:hAnsi="Times New Roman"/>
            <w:color w:val="000000"/>
            <w:sz w:val="20"/>
          </w:rPr>
          <w:t>)</w:t>
        </w:r>
      </w:hyperlink>
      <w:r>
        <w:rPr>
          <w:rFonts w:ascii="Times New Roman" w:hAnsi="Times New Roman"/>
          <w:color w:val="000000"/>
          <w:sz w:val="20"/>
        </w:rPr>
        <w:t xml:space="preserve"> (emphasis added). A CFC “[is] considered” to have manufactured the personal property it buys and then sells “if the property sold is in effect not the property which it purchased.” </w:t>
      </w:r>
      <w:r>
        <w:rPr>
          <w:rFonts w:ascii="Times New Roman" w:hAnsi="Times New Roman"/>
          <w:i/>
          <w:color w:val="000000"/>
          <w:sz w:val="20"/>
        </w:rPr>
        <w:t>Id.</w:t>
      </w:r>
      <w:r>
        <w:rPr>
          <w:rFonts w:ascii="Times New Roman" w:hAnsi="Times New Roman"/>
          <w:color w:val="000000"/>
          <w:sz w:val="20"/>
        </w:rPr>
        <w:t xml:space="preserve"> And the property sold is not the property purchased if it “</w:t>
      </w:r>
      <w:r>
        <w:rPr>
          <w:rFonts w:ascii="Times New Roman" w:hAnsi="Times New Roman"/>
          <w:color w:val="000000"/>
          <w:sz w:val="20"/>
        </w:rPr>
        <w:t xml:space="preserve">is </w:t>
      </w:r>
      <w:r>
        <w:rPr>
          <w:rFonts w:ascii="Times New Roman" w:hAnsi="Times New Roman"/>
          <w:i/>
          <w:color w:val="000000"/>
          <w:sz w:val="20"/>
        </w:rPr>
        <w:t>substantially transformed</w:t>
      </w:r>
      <w:r>
        <w:rPr>
          <w:rFonts w:ascii="Times New Roman" w:hAnsi="Times New Roman"/>
          <w:color w:val="000000"/>
          <w:sz w:val="20"/>
        </w:rPr>
        <w:t xml:space="preserve"> prior to sale.” </w:t>
      </w:r>
      <w:hyperlink r:id="rId140" w:anchor="co_pp_abdc00009f201">
        <w:r>
          <w:rPr>
            <w:rFonts w:ascii="Times New Roman" w:hAnsi="Times New Roman"/>
            <w:i/>
            <w:color w:val="000000"/>
            <w:sz w:val="20"/>
          </w:rPr>
          <w:t>Id.</w:t>
        </w:r>
        <w:r>
          <w:rPr>
            <w:rFonts w:ascii="Times New Roman" w:hAnsi="Times New Roman"/>
            <w:color w:val="000000"/>
            <w:sz w:val="20"/>
          </w:rPr>
          <w:t xml:space="preserve"> § 1.954-3(a)(4)(ii)</w:t>
        </w:r>
      </w:hyperlink>
      <w:r>
        <w:rPr>
          <w:rFonts w:ascii="Times New Roman" w:hAnsi="Times New Roman"/>
          <w:color w:val="000000"/>
          <w:sz w:val="20"/>
        </w:rPr>
        <w:t xml:space="preserve"> (emphasis added). The regulation gives a few examples of substantial transformation: wood </w:t>
      </w:r>
      <w:r>
        <w:rPr>
          <w:rFonts w:ascii="Times New Roman" w:hAnsi="Times New Roman"/>
          <w:color w:val="000000"/>
          <w:sz w:val="20"/>
        </w:rPr>
        <w:t>pulp to paper; steel rods to screws and bolts; and tuna fish</w:t>
      </w:r>
      <w:r>
        <w:rPr>
          <w:rFonts w:ascii="Times New Roman" w:hAnsi="Times New Roman"/>
          <w:color w:val="000000"/>
          <w:sz w:val="20"/>
        </w:rPr>
        <w:t xml:space="preserve"> to canned fish. </w:t>
      </w:r>
      <w:r>
        <w:rPr>
          <w:rFonts w:ascii="Times New Roman" w:hAnsi="Times New Roman"/>
          <w:i/>
          <w:color w:val="000000"/>
          <w:sz w:val="20"/>
        </w:rPr>
        <w:t>Id.</w:t>
      </w:r>
    </w:p>
    <w:p w14:paraId="18B81C48" w14:textId="77777777" w:rsidR="00BE0373" w:rsidRDefault="003564BE">
      <w:pPr>
        <w:spacing w:line="275" w:lineRule="atLeast"/>
        <w:jc w:val="both"/>
      </w:pPr>
      <w:r>
        <w:rPr>
          <w:rFonts w:ascii="Times New Roman" w:hAnsi="Times New Roman"/>
          <w:color w:val="000000"/>
          <w:sz w:val="20"/>
        </w:rPr>
        <w:t> </w:t>
      </w:r>
    </w:p>
    <w:p w14:paraId="6A21B6BE" w14:textId="77777777" w:rsidR="00BE0373" w:rsidRDefault="003564BE">
      <w:pPr>
        <w:spacing w:line="275" w:lineRule="atLeast"/>
        <w:jc w:val="both"/>
      </w:pPr>
      <w:r>
        <w:rPr>
          <w:rFonts w:ascii="Times New Roman" w:hAnsi="Times New Roman"/>
          <w:color w:val="000000"/>
          <w:sz w:val="20"/>
        </w:rPr>
        <w:t>All this means that if the property LUX bought “[</w:t>
      </w:r>
      <w:proofErr w:type="spellStart"/>
      <w:r>
        <w:rPr>
          <w:rFonts w:ascii="Times New Roman" w:hAnsi="Times New Roman"/>
          <w:color w:val="000000"/>
          <w:sz w:val="20"/>
        </w:rPr>
        <w:t>wa</w:t>
      </w:r>
      <w:proofErr w:type="spellEnd"/>
      <w:r>
        <w:rPr>
          <w:rFonts w:ascii="Times New Roman" w:hAnsi="Times New Roman"/>
          <w:color w:val="000000"/>
          <w:sz w:val="20"/>
        </w:rPr>
        <w:t>]s substantially transformed” before LUX sold it, then those sales did not generate FBCSI. And I find it hard to believe that substantial transformation didn't occur here. Transformi</w:t>
      </w:r>
      <w:r>
        <w:rPr>
          <w:rFonts w:ascii="Times New Roman" w:hAnsi="Times New Roman"/>
          <w:color w:val="000000"/>
          <w:sz w:val="20"/>
        </w:rPr>
        <w:t>ng sheets of metal into functioning household appliances is surely a more “substantial transformation” than turning steel rods into screws.</w:t>
      </w:r>
    </w:p>
    <w:p w14:paraId="2A6C86E5" w14:textId="77777777" w:rsidR="00BE0373" w:rsidRDefault="003564BE">
      <w:pPr>
        <w:spacing w:line="275" w:lineRule="atLeast"/>
        <w:jc w:val="both"/>
      </w:pPr>
      <w:r>
        <w:rPr>
          <w:rFonts w:ascii="Times New Roman" w:hAnsi="Times New Roman"/>
          <w:color w:val="000000"/>
          <w:sz w:val="20"/>
        </w:rPr>
        <w:t> </w:t>
      </w:r>
    </w:p>
    <w:p w14:paraId="207FB9F0" w14:textId="77777777" w:rsidR="00BE0373" w:rsidRDefault="003564BE">
      <w:pPr>
        <w:spacing w:line="275" w:lineRule="atLeast"/>
        <w:jc w:val="both"/>
      </w:pPr>
      <w:r>
        <w:rPr>
          <w:rFonts w:ascii="Times New Roman" w:hAnsi="Times New Roman"/>
          <w:color w:val="000000"/>
          <w:sz w:val="20"/>
        </w:rPr>
        <w:t>The Commissioner's only response to this intuitive conclusion is that LUX itself didn't do the transforming, so it</w:t>
      </w:r>
      <w:r>
        <w:rPr>
          <w:rFonts w:ascii="Times New Roman" w:hAnsi="Times New Roman"/>
          <w:color w:val="000000"/>
          <w:sz w:val="20"/>
        </w:rPr>
        <w:t xml:space="preserve"> shouldn't qualify for the exception. The Tax Court shared the Commissioner's concern. Though the court recognized that the property LUX bought underwent substantial transformation before its sale, the court waffled over how much LUX monitored or controlle</w:t>
      </w:r>
      <w:r>
        <w:rPr>
          <w:rFonts w:ascii="Times New Roman" w:hAnsi="Times New Roman"/>
          <w:color w:val="000000"/>
          <w:sz w:val="20"/>
        </w:rPr>
        <w:t>d the manufacturing employees' work, which took place in Mexico.</w:t>
      </w:r>
    </w:p>
    <w:p w14:paraId="5F0CEF3F" w14:textId="77777777" w:rsidR="00BE0373" w:rsidRDefault="003564BE">
      <w:pPr>
        <w:spacing w:line="275" w:lineRule="atLeast"/>
        <w:jc w:val="both"/>
      </w:pPr>
      <w:r>
        <w:rPr>
          <w:rFonts w:ascii="Times New Roman" w:hAnsi="Times New Roman"/>
          <w:color w:val="000000"/>
          <w:sz w:val="20"/>
        </w:rPr>
        <w:t> </w:t>
      </w:r>
    </w:p>
    <w:p w14:paraId="0E433389" w14:textId="77777777" w:rsidR="00BE0373" w:rsidRDefault="003564BE">
      <w:pPr>
        <w:spacing w:line="275" w:lineRule="atLeast"/>
        <w:jc w:val="both"/>
      </w:pPr>
      <w:r>
        <w:rPr>
          <w:rFonts w:ascii="Times New Roman" w:hAnsi="Times New Roman"/>
          <w:color w:val="000000"/>
          <w:sz w:val="20"/>
        </w:rPr>
        <w:t>But the Commissioner and Tax Court read language into the regulation that isn't there.</w:t>
      </w:r>
      <w:bookmarkStart w:id="52" w:name="co_fnRef_B00052055116179_ID0EG3BI_1"/>
      <w:r>
        <w:fldChar w:fldCharType="begin"/>
      </w:r>
      <w:r>
        <w:instrText xml:space="preserve"> HYPERLINK \l "co_footnote_B00052055116179_1" \h </w:instrText>
      </w:r>
      <w:r>
        <w:fldChar w:fldCharType="separate"/>
      </w:r>
      <w:r>
        <w:rPr>
          <w:rFonts w:ascii="Times New Roman" w:hAnsi="Times New Roman"/>
          <w:b/>
          <w:color w:val="000000"/>
          <w:sz w:val="16"/>
          <w:vertAlign w:val="superscript"/>
        </w:rPr>
        <w:t>5</w:t>
      </w:r>
      <w:r>
        <w:rPr>
          <w:rFonts w:ascii="Times New Roman" w:hAnsi="Times New Roman"/>
          <w:b/>
          <w:color w:val="000000"/>
          <w:sz w:val="16"/>
          <w:vertAlign w:val="superscript"/>
        </w:rPr>
        <w:fldChar w:fldCharType="end"/>
      </w:r>
      <w:bookmarkEnd w:id="52"/>
      <w:r>
        <w:rPr>
          <w:rFonts w:ascii="Times New Roman" w:hAnsi="Times New Roman"/>
          <w:color w:val="000000"/>
          <w:sz w:val="20"/>
        </w:rPr>
        <w:t xml:space="preserve"> The Manufacturing Exception focuses </w:t>
      </w:r>
      <w:bookmarkStart w:id="53" w:name="co_pp_sp_8173_962_1"/>
      <w:r>
        <w:rPr>
          <w:rFonts w:ascii="Times New Roman" w:hAnsi="Times New Roman"/>
          <w:b/>
          <w:color w:val="000000"/>
          <w:sz w:val="20"/>
        </w:rPr>
        <w:t>*962</w:t>
      </w:r>
      <w:bookmarkEnd w:id="53"/>
      <w:r>
        <w:rPr>
          <w:rFonts w:ascii="Times New Roman" w:hAnsi="Times New Roman"/>
          <w:color w:val="000000"/>
          <w:sz w:val="20"/>
        </w:rPr>
        <w:t xml:space="preserve"> on the </w:t>
      </w:r>
      <w:r>
        <w:rPr>
          <w:rFonts w:ascii="Times New Roman" w:hAnsi="Times New Roman"/>
          <w:i/>
          <w:color w:val="000000"/>
          <w:sz w:val="20"/>
        </w:rPr>
        <w:t>o</w:t>
      </w:r>
      <w:r>
        <w:rPr>
          <w:rFonts w:ascii="Times New Roman" w:hAnsi="Times New Roman"/>
          <w:i/>
          <w:color w:val="000000"/>
          <w:sz w:val="20"/>
        </w:rPr>
        <w:t>bject</w:t>
      </w:r>
      <w:r>
        <w:rPr>
          <w:rFonts w:ascii="Times New Roman" w:hAnsi="Times New Roman"/>
          <w:color w:val="000000"/>
          <w:sz w:val="20"/>
        </w:rPr>
        <w:t xml:space="preserve"> being transformed, not the </w:t>
      </w:r>
      <w:r>
        <w:rPr>
          <w:rFonts w:ascii="Times New Roman" w:hAnsi="Times New Roman"/>
          <w:i/>
          <w:color w:val="000000"/>
          <w:sz w:val="20"/>
        </w:rPr>
        <w:t>entity</w:t>
      </w:r>
      <w:r>
        <w:rPr>
          <w:rFonts w:ascii="Times New Roman" w:hAnsi="Times New Roman"/>
          <w:color w:val="000000"/>
          <w:sz w:val="20"/>
        </w:rPr>
        <w:t xml:space="preserve"> doing the transforming. Indeed, nothing in the Manufacturing Exception requires the CFC </w:t>
      </w:r>
      <w:r>
        <w:rPr>
          <w:rFonts w:ascii="Times New Roman" w:hAnsi="Times New Roman"/>
          <w:i/>
          <w:color w:val="000000"/>
          <w:sz w:val="20"/>
        </w:rPr>
        <w:t>itself</w:t>
      </w:r>
      <w:r>
        <w:rPr>
          <w:rFonts w:ascii="Times New Roman" w:hAnsi="Times New Roman"/>
          <w:color w:val="000000"/>
          <w:sz w:val="20"/>
        </w:rPr>
        <w:t xml:space="preserve"> to have manufactured anything. That's because the Exception creates a fiction as to the identity of the “manufacturer.” R</w:t>
      </w:r>
      <w:r>
        <w:rPr>
          <w:rFonts w:ascii="Times New Roman" w:hAnsi="Times New Roman"/>
          <w:color w:val="000000"/>
          <w:sz w:val="20"/>
        </w:rPr>
        <w:t xml:space="preserve">emember, FBCSI doesn't include sales income that a CFC earns “in connection with the sale of personal property manufactured ... by such corporation ... from personal property which it has purchased.” </w:t>
      </w:r>
      <w:hyperlink r:id="rId141" w:anchor="co_pp_ba190000c31b0">
        <w:r>
          <w:rPr>
            <w:rFonts w:ascii="Times New Roman" w:hAnsi="Times New Roman"/>
            <w:color w:val="000000"/>
            <w:sz w:val="20"/>
          </w:rPr>
          <w:t>26 C.F.R. § 1.954-3</w:t>
        </w:r>
        <w:r>
          <w:rPr>
            <w:rFonts w:ascii="Times New Roman" w:hAnsi="Times New Roman"/>
            <w:color w:val="000000"/>
            <w:sz w:val="20"/>
          </w:rPr>
          <w:t>(a)(4)(</w:t>
        </w:r>
        <w:proofErr w:type="spellStart"/>
        <w:r>
          <w:rPr>
            <w:rFonts w:ascii="Times New Roman" w:hAnsi="Times New Roman"/>
            <w:color w:val="000000"/>
            <w:sz w:val="20"/>
          </w:rPr>
          <w:t>i</w:t>
        </w:r>
        <w:proofErr w:type="spellEnd"/>
        <w:r>
          <w:rPr>
            <w:rFonts w:ascii="Times New Roman" w:hAnsi="Times New Roman"/>
            <w:color w:val="000000"/>
            <w:sz w:val="20"/>
          </w:rPr>
          <w:t>)</w:t>
        </w:r>
      </w:hyperlink>
      <w:r>
        <w:rPr>
          <w:rFonts w:ascii="Times New Roman" w:hAnsi="Times New Roman"/>
          <w:color w:val="000000"/>
          <w:sz w:val="20"/>
        </w:rPr>
        <w:t>. And “[</w:t>
      </w:r>
      <w:proofErr w:type="spellStart"/>
      <w:r>
        <w:rPr>
          <w:rFonts w:ascii="Times New Roman" w:hAnsi="Times New Roman"/>
          <w:color w:val="000000"/>
          <w:sz w:val="20"/>
        </w:rPr>
        <w:t>i</w:t>
      </w:r>
      <w:proofErr w:type="spellEnd"/>
      <w:r>
        <w:rPr>
          <w:rFonts w:ascii="Times New Roman" w:hAnsi="Times New Roman"/>
          <w:color w:val="000000"/>
          <w:sz w:val="20"/>
        </w:rPr>
        <w:t xml:space="preserve">]f purchased personal property is substantially transformed prior to sale, the property sold will be treated as having been manufactured ... by the selling corporation.” </w:t>
      </w:r>
      <w:hyperlink r:id="rId142" w:anchor="co_pp_abdc00009f201">
        <w:r>
          <w:rPr>
            <w:rFonts w:ascii="Times New Roman" w:hAnsi="Times New Roman"/>
            <w:i/>
            <w:color w:val="000000"/>
            <w:sz w:val="20"/>
          </w:rPr>
          <w:t>Id.</w:t>
        </w:r>
        <w:r>
          <w:rPr>
            <w:rFonts w:ascii="Times New Roman" w:hAnsi="Times New Roman"/>
            <w:color w:val="000000"/>
            <w:sz w:val="20"/>
          </w:rPr>
          <w:t xml:space="preserve"> § 1.954-3(a)(4)(ii)</w:t>
        </w:r>
      </w:hyperlink>
      <w:r>
        <w:rPr>
          <w:rFonts w:ascii="Times New Roman" w:hAnsi="Times New Roman"/>
          <w:color w:val="000000"/>
          <w:sz w:val="20"/>
        </w:rPr>
        <w:t>.</w:t>
      </w:r>
    </w:p>
    <w:p w14:paraId="431CB49C" w14:textId="77777777" w:rsidR="00BE0373" w:rsidRDefault="003564BE">
      <w:pPr>
        <w:spacing w:line="275" w:lineRule="atLeast"/>
        <w:jc w:val="both"/>
      </w:pPr>
      <w:r>
        <w:rPr>
          <w:rFonts w:ascii="Times New Roman" w:hAnsi="Times New Roman"/>
          <w:color w:val="000000"/>
          <w:sz w:val="20"/>
        </w:rPr>
        <w:t> </w:t>
      </w:r>
    </w:p>
    <w:p w14:paraId="3F499419" w14:textId="77777777" w:rsidR="00BE0373" w:rsidRDefault="003564BE">
      <w:pPr>
        <w:spacing w:line="275" w:lineRule="atLeast"/>
        <w:jc w:val="both"/>
      </w:pPr>
      <w:r>
        <w:rPr>
          <w:rFonts w:ascii="Times New Roman" w:hAnsi="Times New Roman"/>
          <w:color w:val="000000"/>
          <w:sz w:val="20"/>
        </w:rPr>
        <w:t>Note the passive language here. A CFC “is treated” as having manufactured the property it sold if the property “is substantially transformed” before sale. This language means “there is no requirement in the statute or regulations that the CFC's own employe</w:t>
      </w:r>
      <w:r>
        <w:rPr>
          <w:rFonts w:ascii="Times New Roman" w:hAnsi="Times New Roman"/>
          <w:color w:val="000000"/>
          <w:sz w:val="20"/>
        </w:rPr>
        <w:t xml:space="preserve">es or some other dependent service </w:t>
      </w:r>
      <w:proofErr w:type="gramStart"/>
      <w:r>
        <w:rPr>
          <w:rFonts w:ascii="Times New Roman" w:hAnsi="Times New Roman"/>
          <w:color w:val="000000"/>
          <w:sz w:val="20"/>
        </w:rPr>
        <w:t>provider</w:t>
      </w:r>
      <w:proofErr w:type="gramEnd"/>
      <w:r>
        <w:rPr>
          <w:rFonts w:ascii="Times New Roman" w:hAnsi="Times New Roman"/>
          <w:color w:val="000000"/>
          <w:sz w:val="20"/>
        </w:rPr>
        <w:t xml:space="preserve"> furnish the manufacturing services that transform the product.” Dolan, et al., US Taxation of International Mergers, Acquisitions &amp; Joint Ventures § 18.06 at *8 (Oct. 2020). All that the regulation requires is th</w:t>
      </w:r>
      <w:r>
        <w:rPr>
          <w:rFonts w:ascii="Times New Roman" w:hAnsi="Times New Roman"/>
          <w:color w:val="000000"/>
          <w:sz w:val="20"/>
        </w:rPr>
        <w:t xml:space="preserve">at “the property sold is in effect not the property ... purchased,” </w:t>
      </w:r>
      <w:hyperlink r:id="rId143" w:anchor="co_pp_ba190000c31b0">
        <w:r>
          <w:rPr>
            <w:rFonts w:ascii="Times New Roman" w:hAnsi="Times New Roman"/>
            <w:color w:val="000000"/>
            <w:sz w:val="20"/>
          </w:rPr>
          <w:t>26 C.F.R. § 1.954-3(a)(4)(</w:t>
        </w:r>
        <w:proofErr w:type="spellStart"/>
        <w:r>
          <w:rPr>
            <w:rFonts w:ascii="Times New Roman" w:hAnsi="Times New Roman"/>
            <w:color w:val="000000"/>
            <w:sz w:val="20"/>
          </w:rPr>
          <w:t>i</w:t>
        </w:r>
        <w:proofErr w:type="spellEnd"/>
        <w:r>
          <w:rPr>
            <w:rFonts w:ascii="Times New Roman" w:hAnsi="Times New Roman"/>
            <w:color w:val="000000"/>
            <w:sz w:val="20"/>
          </w:rPr>
          <w:t>)</w:t>
        </w:r>
      </w:hyperlink>
      <w:r>
        <w:rPr>
          <w:rFonts w:ascii="Times New Roman" w:hAnsi="Times New Roman"/>
          <w:color w:val="000000"/>
          <w:sz w:val="20"/>
        </w:rPr>
        <w:t xml:space="preserve">, such as when the property “is substantially </w:t>
      </w:r>
      <w:r>
        <w:rPr>
          <w:rFonts w:ascii="Times New Roman" w:hAnsi="Times New Roman"/>
          <w:color w:val="000000"/>
          <w:sz w:val="20"/>
        </w:rPr>
        <w:lastRenderedPageBreak/>
        <w:t xml:space="preserve">transformed,” </w:t>
      </w:r>
      <w:hyperlink r:id="rId144" w:anchor="co_pp_abdc00009f201">
        <w:r>
          <w:rPr>
            <w:rFonts w:ascii="Times New Roman" w:hAnsi="Times New Roman"/>
            <w:i/>
            <w:color w:val="000000"/>
            <w:sz w:val="20"/>
          </w:rPr>
          <w:t>id.</w:t>
        </w:r>
        <w:r>
          <w:rPr>
            <w:rFonts w:ascii="Times New Roman" w:hAnsi="Times New Roman"/>
            <w:color w:val="000000"/>
            <w:sz w:val="20"/>
          </w:rPr>
          <w:t xml:space="preserve"> § 1.954-3(a)(4)(ii)</w:t>
        </w:r>
      </w:hyperlink>
      <w:r>
        <w:rPr>
          <w:rFonts w:ascii="Times New Roman" w:hAnsi="Times New Roman"/>
          <w:color w:val="000000"/>
          <w:sz w:val="20"/>
        </w:rPr>
        <w:t>. S</w:t>
      </w:r>
      <w:r>
        <w:rPr>
          <w:rFonts w:ascii="Times New Roman" w:hAnsi="Times New Roman"/>
          <w:color w:val="000000"/>
          <w:sz w:val="20"/>
        </w:rPr>
        <w:t>o “[o]</w:t>
      </w:r>
      <w:proofErr w:type="spellStart"/>
      <w:r>
        <w:rPr>
          <w:rFonts w:ascii="Times New Roman" w:hAnsi="Times New Roman"/>
          <w:color w:val="000000"/>
          <w:sz w:val="20"/>
        </w:rPr>
        <w:t>nce</w:t>
      </w:r>
      <w:proofErr w:type="spellEnd"/>
      <w:r>
        <w:rPr>
          <w:rFonts w:ascii="Times New Roman" w:hAnsi="Times New Roman"/>
          <w:color w:val="000000"/>
          <w:sz w:val="20"/>
        </w:rPr>
        <w:t xml:space="preserve"> the determination is made that property sold is not the same as the property purchased, it is a foregone conclusion that the CFC is the manufacturer.” Dolan, </w:t>
      </w:r>
      <w:r>
        <w:rPr>
          <w:rFonts w:ascii="Times New Roman" w:hAnsi="Times New Roman"/>
          <w:i/>
          <w:color w:val="000000"/>
          <w:sz w:val="20"/>
        </w:rPr>
        <w:t>supra</w:t>
      </w:r>
      <w:r>
        <w:rPr>
          <w:rFonts w:ascii="Times New Roman" w:hAnsi="Times New Roman"/>
          <w:color w:val="000000"/>
          <w:sz w:val="20"/>
        </w:rPr>
        <w:t xml:space="preserve"> at *8.</w:t>
      </w:r>
    </w:p>
    <w:p w14:paraId="04C34B3E" w14:textId="77777777" w:rsidR="00BE0373" w:rsidRDefault="003564BE">
      <w:pPr>
        <w:spacing w:line="275" w:lineRule="atLeast"/>
        <w:jc w:val="both"/>
      </w:pPr>
      <w:r>
        <w:rPr>
          <w:rFonts w:ascii="Times New Roman" w:hAnsi="Times New Roman"/>
          <w:color w:val="000000"/>
          <w:sz w:val="20"/>
        </w:rPr>
        <w:t> </w:t>
      </w:r>
    </w:p>
    <w:p w14:paraId="532A39ED" w14:textId="77777777" w:rsidR="00BE0373" w:rsidRDefault="003564BE">
      <w:pPr>
        <w:spacing w:line="275" w:lineRule="atLeast"/>
        <w:jc w:val="both"/>
      </w:pPr>
      <w:r>
        <w:rPr>
          <w:rFonts w:ascii="Times New Roman" w:hAnsi="Times New Roman"/>
          <w:color w:val="000000"/>
          <w:sz w:val="20"/>
        </w:rPr>
        <w:t>That the Exception doesn't require the CFC itself to manufacture the good</w:t>
      </w:r>
      <w:r>
        <w:rPr>
          <w:rFonts w:ascii="Times New Roman" w:hAnsi="Times New Roman"/>
          <w:color w:val="000000"/>
          <w:sz w:val="20"/>
        </w:rPr>
        <w:t>s becomes clearer when we look at another exception to (d)(1). This is the Component-Part Exception. Under it, a Related-Person Transaction doesn't generate FBCSI “[</w:t>
      </w:r>
      <w:proofErr w:type="spellStart"/>
      <w:r>
        <w:rPr>
          <w:rFonts w:ascii="Times New Roman" w:hAnsi="Times New Roman"/>
          <w:color w:val="000000"/>
          <w:sz w:val="20"/>
        </w:rPr>
        <w:t>i</w:t>
      </w:r>
      <w:proofErr w:type="spellEnd"/>
      <w:r>
        <w:rPr>
          <w:rFonts w:ascii="Times New Roman" w:hAnsi="Times New Roman"/>
          <w:color w:val="000000"/>
          <w:sz w:val="20"/>
        </w:rPr>
        <w:t xml:space="preserve">]f purchased property is used as a component part of personal property which is sold.” </w:t>
      </w:r>
      <w:hyperlink r:id="rId145" w:anchor="co_pp_628800003bee7">
        <w:r>
          <w:rPr>
            <w:rFonts w:ascii="Times New Roman" w:hAnsi="Times New Roman"/>
            <w:color w:val="000000"/>
            <w:sz w:val="20"/>
          </w:rPr>
          <w:t>26 C.F.R. § 1.954-3(a)(4)(iii)</w:t>
        </w:r>
      </w:hyperlink>
      <w:r>
        <w:rPr>
          <w:rFonts w:ascii="Times New Roman" w:hAnsi="Times New Roman"/>
          <w:color w:val="000000"/>
          <w:sz w:val="20"/>
        </w:rPr>
        <w:t>. But before a CFC qualifies for this exception, the regulation requires that “the operations conducted by the selling corporation in connection with the property purchased and sold [be] subst</w:t>
      </w:r>
      <w:r>
        <w:rPr>
          <w:rFonts w:ascii="Times New Roman" w:hAnsi="Times New Roman"/>
          <w:color w:val="000000"/>
          <w:sz w:val="20"/>
        </w:rPr>
        <w:t xml:space="preserve">antial in nature.” </w:t>
      </w:r>
      <w:r>
        <w:rPr>
          <w:rFonts w:ascii="Times New Roman" w:hAnsi="Times New Roman"/>
          <w:i/>
          <w:color w:val="000000"/>
          <w:sz w:val="20"/>
        </w:rPr>
        <w:t>Id.</w:t>
      </w:r>
      <w:r>
        <w:rPr>
          <w:rFonts w:ascii="Times New Roman" w:hAnsi="Times New Roman"/>
          <w:color w:val="000000"/>
          <w:sz w:val="20"/>
        </w:rPr>
        <w:t xml:space="preserve"> That Treasury included this requirement for the Component-Part Exception but not for the Manufacturing Exception suggests the omission in the latter was intentional. </w:t>
      </w:r>
      <w:r>
        <w:rPr>
          <w:rFonts w:ascii="Times New Roman" w:hAnsi="Times New Roman"/>
          <w:i/>
          <w:color w:val="000000"/>
          <w:sz w:val="20"/>
        </w:rPr>
        <w:t>Cf.</w:t>
      </w:r>
      <w:r>
        <w:rPr>
          <w:rFonts w:ascii="Times New Roman" w:hAnsi="Times New Roman"/>
          <w:color w:val="000000"/>
          <w:sz w:val="20"/>
        </w:rPr>
        <w:t xml:space="preserve"> </w:t>
      </w:r>
      <w:hyperlink r:id="rId146" w:anchor="co_pp_sp_780_23">
        <w:proofErr w:type="spellStart"/>
        <w:r>
          <w:rPr>
            <w:rFonts w:ascii="Times New Roman" w:hAnsi="Times New Roman"/>
            <w:i/>
            <w:color w:val="000000"/>
            <w:sz w:val="20"/>
          </w:rPr>
          <w:t>Russello</w:t>
        </w:r>
        <w:proofErr w:type="spellEnd"/>
        <w:r>
          <w:rPr>
            <w:rFonts w:ascii="Times New Roman" w:hAnsi="Times New Roman"/>
            <w:i/>
            <w:color w:val="000000"/>
            <w:sz w:val="20"/>
          </w:rPr>
          <w:t xml:space="preserve"> v. </w:t>
        </w:r>
        <w:r>
          <w:rPr>
            <w:rFonts w:ascii="Times New Roman" w:hAnsi="Times New Roman"/>
            <w:i/>
            <w:color w:val="000000"/>
            <w:sz w:val="20"/>
          </w:rPr>
          <w:t>United States</w:t>
        </w:r>
        <w:r>
          <w:rPr>
            <w:rFonts w:ascii="Times New Roman" w:hAnsi="Times New Roman"/>
            <w:color w:val="000000"/>
            <w:sz w:val="20"/>
          </w:rPr>
          <w:t xml:space="preserve">, 464 U.S. 16, 23, 104 </w:t>
        </w:r>
        <w:proofErr w:type="spellStart"/>
        <w:r>
          <w:rPr>
            <w:rFonts w:ascii="Times New Roman" w:hAnsi="Times New Roman"/>
            <w:color w:val="000000"/>
            <w:sz w:val="20"/>
          </w:rPr>
          <w:t>S.Ct</w:t>
        </w:r>
        <w:proofErr w:type="spellEnd"/>
        <w:r>
          <w:rPr>
            <w:rFonts w:ascii="Times New Roman" w:hAnsi="Times New Roman"/>
            <w:color w:val="000000"/>
            <w:sz w:val="20"/>
          </w:rPr>
          <w:t>. 296, 78 L.Ed.2d 17 (1983)</w:t>
        </w:r>
      </w:hyperlink>
      <w:r>
        <w:rPr>
          <w:rFonts w:ascii="Times New Roman" w:hAnsi="Times New Roman"/>
          <w:color w:val="000000"/>
          <w:sz w:val="20"/>
        </w:rPr>
        <w:t xml:space="preserve"> (“[W]here Congress includes particular language in one section of a statute but omits it in another section of the same Act, it is generally presumed that Congress acts intentionally and p</w:t>
      </w:r>
      <w:r>
        <w:rPr>
          <w:rFonts w:ascii="Times New Roman" w:hAnsi="Times New Roman"/>
          <w:color w:val="000000"/>
          <w:sz w:val="20"/>
        </w:rPr>
        <w:t>urposely in the disparate inclusion or exclusion.” (</w:t>
      </w:r>
      <w:proofErr w:type="gramStart"/>
      <w:r>
        <w:rPr>
          <w:rFonts w:ascii="Times New Roman" w:hAnsi="Times New Roman"/>
          <w:color w:val="000000"/>
          <w:sz w:val="20"/>
        </w:rPr>
        <w:t>citations</w:t>
      </w:r>
      <w:proofErr w:type="gramEnd"/>
      <w:r>
        <w:rPr>
          <w:rFonts w:ascii="Times New Roman" w:hAnsi="Times New Roman"/>
          <w:color w:val="000000"/>
          <w:sz w:val="20"/>
        </w:rPr>
        <w:t xml:space="preserve"> omitted)). </w:t>
      </w:r>
      <w:proofErr w:type="gramStart"/>
      <w:r>
        <w:rPr>
          <w:rFonts w:ascii="Times New Roman" w:hAnsi="Times New Roman"/>
          <w:color w:val="000000"/>
          <w:sz w:val="20"/>
        </w:rPr>
        <w:t>So</w:t>
      </w:r>
      <w:proofErr w:type="gramEnd"/>
      <w:r>
        <w:rPr>
          <w:rFonts w:ascii="Times New Roman" w:hAnsi="Times New Roman"/>
          <w:color w:val="000000"/>
          <w:sz w:val="20"/>
        </w:rPr>
        <w:t xml:space="preserve"> there is no requirement in the Manufacturing Exception that the CFC itself must manufacture the property.</w:t>
      </w:r>
    </w:p>
    <w:p w14:paraId="15FD1FFA" w14:textId="77777777" w:rsidR="00BE0373" w:rsidRDefault="003564BE">
      <w:pPr>
        <w:spacing w:line="275" w:lineRule="atLeast"/>
        <w:jc w:val="both"/>
      </w:pPr>
      <w:r>
        <w:rPr>
          <w:rFonts w:ascii="Times New Roman" w:hAnsi="Times New Roman"/>
          <w:color w:val="000000"/>
          <w:sz w:val="20"/>
        </w:rPr>
        <w:t> </w:t>
      </w:r>
    </w:p>
    <w:p w14:paraId="2AC07C5C" w14:textId="77777777" w:rsidR="00BE0373" w:rsidRDefault="003564BE">
      <w:pPr>
        <w:spacing w:line="275" w:lineRule="atLeast"/>
        <w:jc w:val="both"/>
      </w:pPr>
      <w:r>
        <w:rPr>
          <w:rFonts w:ascii="Times New Roman" w:hAnsi="Times New Roman"/>
          <w:color w:val="000000"/>
          <w:sz w:val="20"/>
        </w:rPr>
        <w:t>The Manufacturing Exception creates a simple syllogism. FBCSI does not i</w:t>
      </w:r>
      <w:r>
        <w:rPr>
          <w:rFonts w:ascii="Times New Roman" w:hAnsi="Times New Roman"/>
          <w:color w:val="000000"/>
          <w:sz w:val="20"/>
        </w:rPr>
        <w:t>nclude the income a CFC earns by selling property it earlier purchased if, in between purchase and sale, it “manufactured” that property. And a CFC is considered to have manufactured the property if the property “is substantially transformed prior to sale.</w:t>
      </w:r>
      <w:r>
        <w:rPr>
          <w:rFonts w:ascii="Times New Roman" w:hAnsi="Times New Roman"/>
          <w:color w:val="000000"/>
          <w:sz w:val="20"/>
        </w:rPr>
        <w:t>” Thus, if property has been substantially transformed before its sale, the income a CFC earns through the sale is not FBCSI. And because the property LUX bought—raw materials—was substantially transformed into functioning household appliances before LUX s</w:t>
      </w:r>
      <w:r>
        <w:rPr>
          <w:rFonts w:ascii="Times New Roman" w:hAnsi="Times New Roman"/>
          <w:color w:val="000000"/>
          <w:sz w:val="20"/>
        </w:rPr>
        <w:t xml:space="preserve">old it, I believe </w:t>
      </w:r>
      <w:bookmarkStart w:id="54" w:name="co_pp_sp_8173_963_1"/>
      <w:r>
        <w:rPr>
          <w:rFonts w:ascii="Times New Roman" w:hAnsi="Times New Roman"/>
          <w:b/>
          <w:color w:val="000000"/>
          <w:sz w:val="20"/>
        </w:rPr>
        <w:t>*963</w:t>
      </w:r>
      <w:bookmarkEnd w:id="54"/>
      <w:r>
        <w:rPr>
          <w:rFonts w:ascii="Times New Roman" w:hAnsi="Times New Roman"/>
          <w:color w:val="000000"/>
          <w:sz w:val="20"/>
        </w:rPr>
        <w:t xml:space="preserve"> LUX's sales income qualifies for the Manufacturing Exception.</w:t>
      </w:r>
    </w:p>
    <w:p w14:paraId="356F944A" w14:textId="77777777" w:rsidR="00BE0373" w:rsidRDefault="003564BE">
      <w:pPr>
        <w:spacing w:line="275" w:lineRule="atLeast"/>
        <w:jc w:val="both"/>
      </w:pPr>
      <w:r>
        <w:rPr>
          <w:rFonts w:ascii="Times New Roman" w:hAnsi="Times New Roman"/>
          <w:color w:val="000000"/>
          <w:sz w:val="20"/>
        </w:rPr>
        <w:t> </w:t>
      </w:r>
    </w:p>
    <w:p w14:paraId="14989D92" w14:textId="77777777" w:rsidR="00BE0373" w:rsidRDefault="003564BE">
      <w:pPr>
        <w:spacing w:line="275" w:lineRule="atLeast"/>
        <w:jc w:val="both"/>
      </w:pPr>
      <w:r>
        <w:rPr>
          <w:rFonts w:ascii="Times New Roman" w:hAnsi="Times New Roman"/>
          <w:color w:val="000000"/>
          <w:sz w:val="20"/>
        </w:rPr>
        <w:t xml:space="preserve">At the very least, there's a question of fact over whether LUX “manufactured” the appliances. And that should've precluded summary judgment, not only on </w:t>
      </w:r>
      <w:hyperlink r:id="rId147" w:anchor="co_pp_e07e0000a9f57">
        <w:r>
          <w:rPr>
            <w:rFonts w:ascii="Times New Roman" w:hAnsi="Times New Roman"/>
            <w:color w:val="000000"/>
            <w:sz w:val="20"/>
          </w:rPr>
          <w:t>§ 954(d)(1)</w:t>
        </w:r>
      </w:hyperlink>
      <w:r>
        <w:rPr>
          <w:rFonts w:ascii="Times New Roman" w:hAnsi="Times New Roman"/>
          <w:color w:val="000000"/>
          <w:sz w:val="20"/>
        </w:rPr>
        <w:t>, but also on (d)(2).</w:t>
      </w:r>
      <w:bookmarkStart w:id="55" w:name="co_fnRef_B00062055116179_ID0EMHCI_1"/>
      <w:r>
        <w:fldChar w:fldCharType="begin"/>
      </w:r>
      <w:r>
        <w:instrText xml:space="preserve"> HYPERLINK \l "co_footnote_B00062055116179_1" \h </w:instrText>
      </w:r>
      <w:r>
        <w:fldChar w:fldCharType="separate"/>
      </w:r>
      <w:r>
        <w:rPr>
          <w:rFonts w:ascii="Times New Roman" w:hAnsi="Times New Roman"/>
          <w:b/>
          <w:color w:val="000000"/>
          <w:sz w:val="16"/>
          <w:vertAlign w:val="superscript"/>
        </w:rPr>
        <w:t>6</w:t>
      </w:r>
      <w:r>
        <w:rPr>
          <w:rFonts w:ascii="Times New Roman" w:hAnsi="Times New Roman"/>
          <w:b/>
          <w:color w:val="000000"/>
          <w:sz w:val="16"/>
          <w:vertAlign w:val="superscript"/>
        </w:rPr>
        <w:fldChar w:fldCharType="end"/>
      </w:r>
      <w:bookmarkEnd w:id="55"/>
    </w:p>
    <w:p w14:paraId="3DE1B6D7" w14:textId="77777777" w:rsidR="00BE0373" w:rsidRDefault="003564BE">
      <w:pPr>
        <w:spacing w:line="275" w:lineRule="atLeast"/>
        <w:jc w:val="both"/>
      </w:pPr>
      <w:r>
        <w:rPr>
          <w:rFonts w:ascii="Times New Roman" w:hAnsi="Times New Roman"/>
          <w:color w:val="000000"/>
          <w:sz w:val="20"/>
        </w:rPr>
        <w:t> </w:t>
      </w:r>
    </w:p>
    <w:p w14:paraId="173036EA" w14:textId="77777777" w:rsidR="00BE0373" w:rsidRDefault="003564BE">
      <w:pPr>
        <w:spacing w:before="600" w:line="275" w:lineRule="atLeast"/>
        <w:jc w:val="center"/>
      </w:pPr>
      <w:bookmarkStart w:id="56" w:name="co_anchor_I54c0a5d1aec311ec9f1af6ade2"/>
      <w:bookmarkStart w:id="57" w:name="co_anchor_I54c0a5d1aec311ec9f1af6ade371"/>
      <w:r>
        <w:rPr>
          <w:rFonts w:ascii="Times New Roman" w:hAnsi="Times New Roman"/>
          <w:color w:val="000000"/>
          <w:sz w:val="20"/>
        </w:rPr>
        <w:t>III.</w:t>
      </w:r>
    </w:p>
    <w:bookmarkEnd w:id="56"/>
    <w:bookmarkEnd w:id="57"/>
    <w:p w14:paraId="2FB77C8F" w14:textId="77777777" w:rsidR="00BE0373" w:rsidRDefault="003564BE">
      <w:pPr>
        <w:spacing w:before="400" w:line="275" w:lineRule="atLeast"/>
        <w:jc w:val="both"/>
      </w:pPr>
      <w:r>
        <w:rPr>
          <w:rFonts w:ascii="Times New Roman" w:hAnsi="Times New Roman"/>
          <w:color w:val="000000"/>
          <w:sz w:val="20"/>
        </w:rPr>
        <w:t>This isn't an easy case. But in the end, I believe the statute and its regulations lay out a clear path: Apply the (d)(1) framework and exception</w:t>
      </w:r>
      <w:r>
        <w:rPr>
          <w:rFonts w:ascii="Times New Roman" w:hAnsi="Times New Roman"/>
          <w:color w:val="000000"/>
          <w:sz w:val="20"/>
        </w:rPr>
        <w:t>s to the (d)(2) branch transaction. Doing so here means LUX didn't generate FBCSI. Even if we don't want to take it that far, there is, at the very least, a disputed fact over whether LUX qualifies for the Manufacturing Exception. And that should've preclu</w:t>
      </w:r>
      <w:r>
        <w:rPr>
          <w:rFonts w:ascii="Times New Roman" w:hAnsi="Times New Roman"/>
          <w:color w:val="000000"/>
          <w:sz w:val="20"/>
        </w:rPr>
        <w:t>ded summary judgment.</w:t>
      </w:r>
    </w:p>
    <w:p w14:paraId="2D3253B7" w14:textId="77777777" w:rsidR="00BE0373" w:rsidRDefault="003564BE">
      <w:pPr>
        <w:spacing w:line="275" w:lineRule="atLeast"/>
        <w:jc w:val="both"/>
      </w:pPr>
      <w:r>
        <w:rPr>
          <w:rFonts w:ascii="Times New Roman" w:hAnsi="Times New Roman"/>
          <w:color w:val="000000"/>
          <w:sz w:val="20"/>
        </w:rPr>
        <w:t> </w:t>
      </w:r>
    </w:p>
    <w:p w14:paraId="7EC25E2E" w14:textId="77777777" w:rsidR="00BE0373" w:rsidRDefault="003564BE">
      <w:pPr>
        <w:spacing w:line="275" w:lineRule="atLeast"/>
        <w:jc w:val="both"/>
      </w:pPr>
      <w:r>
        <w:rPr>
          <w:rFonts w:ascii="Times New Roman" w:hAnsi="Times New Roman"/>
          <w:color w:val="000000"/>
          <w:sz w:val="20"/>
        </w:rPr>
        <w:t>For these reasons, I respectfully dissent.</w:t>
      </w:r>
    </w:p>
    <w:p w14:paraId="01A40E97" w14:textId="77777777" w:rsidR="00BE0373" w:rsidRDefault="003564BE">
      <w:pPr>
        <w:spacing w:line="275" w:lineRule="atLeast"/>
        <w:jc w:val="both"/>
      </w:pPr>
      <w:r>
        <w:rPr>
          <w:rFonts w:ascii="Times New Roman" w:hAnsi="Times New Roman"/>
          <w:color w:val="000000"/>
          <w:sz w:val="20"/>
        </w:rPr>
        <w:t> </w:t>
      </w:r>
    </w:p>
    <w:p w14:paraId="0DD05E59" w14:textId="77777777" w:rsidR="00BE0373" w:rsidRDefault="003564BE">
      <w:pPr>
        <w:keepNext/>
        <w:keepLines/>
        <w:spacing w:before="200" w:line="275" w:lineRule="atLeast"/>
        <w:jc w:val="both"/>
      </w:pPr>
      <w:bookmarkStart w:id="58" w:name="co_allCitations_1"/>
      <w:r>
        <w:rPr>
          <w:rFonts w:ascii="Times New Roman" w:hAnsi="Times New Roman"/>
          <w:b/>
          <w:color w:val="212121"/>
          <w:sz w:val="20"/>
        </w:rPr>
        <w:t>All Citations</w:t>
      </w:r>
    </w:p>
    <w:bookmarkEnd w:id="58"/>
    <w:p w14:paraId="0DC0253F" w14:textId="77777777" w:rsidR="00BE0373" w:rsidRDefault="003564BE">
      <w:pPr>
        <w:spacing w:before="200" w:line="275" w:lineRule="atLeast"/>
        <w:jc w:val="both"/>
      </w:pPr>
      <w:r>
        <w:rPr>
          <w:rFonts w:ascii="Times New Roman" w:hAnsi="Times New Roman"/>
          <w:color w:val="000000"/>
          <w:sz w:val="20"/>
        </w:rPr>
        <w:t>19 F.4th 944, 128 A.F.T.R.2d 2021-6822, 2022-1 USTC P 50,101</w:t>
      </w:r>
    </w:p>
    <w:p w14:paraId="1F61A79C" w14:textId="77777777" w:rsidR="00BE0373" w:rsidRDefault="00BE0373">
      <w:pPr>
        <w:sectPr w:rsidR="00BE0373">
          <w:headerReference w:type="even" r:id="rId148"/>
          <w:headerReference w:type="default" r:id="rId149"/>
          <w:footerReference w:type="even" r:id="rId150"/>
          <w:footerReference w:type="default" r:id="rId151"/>
          <w:pgSz w:w="12240" w:h="15840"/>
          <w:pgMar w:top="1800" w:right="1080" w:bottom="1080" w:left="1080" w:header="720" w:footer="720" w:gutter="0"/>
          <w:pgNumType w:start="1"/>
          <w:cols w:num="2" w:space="240"/>
        </w:sectPr>
      </w:pPr>
    </w:p>
    <w:p w14:paraId="0067D2F8" w14:textId="77777777" w:rsidR="00BE0373" w:rsidRDefault="00BE0373">
      <w:pPr>
        <w:rPr>
          <w:sz w:val="60"/>
        </w:rPr>
      </w:pPr>
    </w:p>
    <w:tbl>
      <w:tblPr>
        <w:tblW w:w="0" w:type="auto"/>
        <w:tblInd w:w="10" w:type="dxa"/>
        <w:tblLayout w:type="fixed"/>
        <w:tblCellMar>
          <w:left w:w="10" w:type="dxa"/>
          <w:right w:w="10" w:type="dxa"/>
        </w:tblCellMar>
        <w:tblLook w:val="04A0" w:firstRow="1" w:lastRow="0" w:firstColumn="1" w:lastColumn="0" w:noHBand="0" w:noVBand="1"/>
      </w:tblPr>
      <w:tblGrid>
        <w:gridCol w:w="600"/>
        <w:gridCol w:w="9450"/>
      </w:tblGrid>
      <w:tr w:rsidR="00DD22CA" w14:paraId="6234935C" w14:textId="77777777" w:rsidTr="00DD22CA">
        <w:tblPrEx>
          <w:tblCellMar>
            <w:top w:w="0" w:type="dxa"/>
            <w:bottom w:w="0" w:type="dxa"/>
          </w:tblCellMar>
        </w:tblPrEx>
        <w:tc>
          <w:tcPr>
            <w:tcW w:w="10050" w:type="dxa"/>
            <w:gridSpan w:val="2"/>
            <w:tcMar>
              <w:bottom w:w="300" w:type="dxa"/>
            </w:tcMar>
          </w:tcPr>
          <w:p w14:paraId="2A153446" w14:textId="77777777" w:rsidR="00BE0373" w:rsidRDefault="003564BE">
            <w:pPr>
              <w:spacing w:line="275" w:lineRule="atLeast"/>
              <w:jc w:val="center"/>
            </w:pPr>
            <w:r>
              <w:rPr>
                <w:rFonts w:ascii="Times New Roman" w:hAnsi="Times New Roman"/>
                <w:b/>
                <w:color w:val="000000"/>
                <w:sz w:val="22"/>
              </w:rPr>
              <w:t>Footnotes</w:t>
            </w:r>
          </w:p>
        </w:tc>
      </w:tr>
      <w:bookmarkStart w:id="59" w:name="co_footnote_B00012055116179_1"/>
      <w:tr w:rsidR="00BE0373" w14:paraId="3C2CD2CF" w14:textId="77777777">
        <w:tblPrEx>
          <w:tblCellMar>
            <w:top w:w="0" w:type="dxa"/>
            <w:bottom w:w="0" w:type="dxa"/>
          </w:tblCellMar>
        </w:tblPrEx>
        <w:tc>
          <w:tcPr>
            <w:tcW w:w="600" w:type="dxa"/>
          </w:tcPr>
          <w:p w14:paraId="160612FE" w14:textId="77777777" w:rsidR="00BE0373" w:rsidRDefault="003564BE">
            <w:pPr>
              <w:spacing w:line="275" w:lineRule="atLeast"/>
            </w:pPr>
            <w:r>
              <w:fldChar w:fldCharType="begin"/>
            </w:r>
            <w:r>
              <w:instrText xml:space="preserve"> HYPERLINK \l "co_fnRef_B00012055116179_ID0ETNBG_1" \h </w:instrText>
            </w:r>
            <w:r>
              <w:fldChar w:fldCharType="separate"/>
            </w:r>
            <w:r>
              <w:rPr>
                <w:rFonts w:ascii="Times New Roman" w:hAnsi="Times New Roman"/>
                <w:color w:val="000000"/>
                <w:sz w:val="20"/>
                <w:vertAlign w:val="superscript"/>
              </w:rPr>
              <w:t>1</w:t>
            </w:r>
            <w:r>
              <w:rPr>
                <w:rFonts w:ascii="Times New Roman" w:hAnsi="Times New Roman"/>
                <w:color w:val="000000"/>
                <w:sz w:val="20"/>
                <w:vertAlign w:val="superscript"/>
              </w:rPr>
              <w:fldChar w:fldCharType="end"/>
            </w:r>
            <w:bookmarkEnd w:id="59"/>
          </w:p>
        </w:tc>
        <w:tc>
          <w:tcPr>
            <w:tcW w:w="9450" w:type="dxa"/>
          </w:tcPr>
          <w:p w14:paraId="02135EE9" w14:textId="77777777" w:rsidR="00BE0373" w:rsidRDefault="003564BE">
            <w:pPr>
              <w:spacing w:line="275" w:lineRule="atLeast"/>
              <w:jc w:val="both"/>
            </w:pPr>
            <w:r>
              <w:rPr>
                <w:rFonts w:ascii="Times New Roman" w:hAnsi="Times New Roman"/>
                <w:color w:val="000000"/>
                <w:sz w:val="20"/>
              </w:rPr>
              <w:t xml:space="preserve">The regulations at issue changed in 2008. But the Tax Court found that Whirlpool elected to proceed under the </w:t>
            </w:r>
            <w:r>
              <w:rPr>
                <w:rFonts w:ascii="Times New Roman" w:hAnsi="Times New Roman"/>
                <w:i/>
                <w:color w:val="000000"/>
                <w:sz w:val="20"/>
              </w:rPr>
              <w:t>old</w:t>
            </w:r>
            <w:r>
              <w:rPr>
                <w:rFonts w:ascii="Times New Roman" w:hAnsi="Times New Roman"/>
                <w:color w:val="000000"/>
                <w:sz w:val="20"/>
              </w:rPr>
              <w:t xml:space="preserve"> regulations and not the new ones. The Commissioner does not challenge that on appeal. (Appellee Br. at 71–72 n.25.) </w:t>
            </w:r>
            <w:proofErr w:type="gramStart"/>
            <w:r>
              <w:rPr>
                <w:rFonts w:ascii="Times New Roman" w:hAnsi="Times New Roman"/>
                <w:color w:val="000000"/>
                <w:sz w:val="20"/>
              </w:rPr>
              <w:t>So</w:t>
            </w:r>
            <w:proofErr w:type="gramEnd"/>
            <w:r>
              <w:rPr>
                <w:rFonts w:ascii="Times New Roman" w:hAnsi="Times New Roman"/>
                <w:color w:val="000000"/>
                <w:sz w:val="20"/>
              </w:rPr>
              <w:t xml:space="preserve"> this opinion relies on </w:t>
            </w:r>
            <w:r>
              <w:rPr>
                <w:rFonts w:ascii="Times New Roman" w:hAnsi="Times New Roman"/>
                <w:color w:val="000000"/>
                <w:sz w:val="20"/>
              </w:rPr>
              <w:t>the regulations as they formerly existed.</w:t>
            </w:r>
          </w:p>
        </w:tc>
      </w:tr>
      <w:bookmarkStart w:id="60" w:name="co_footnote_B00022055116179_1"/>
      <w:tr w:rsidR="00BE0373" w14:paraId="1FB2283F" w14:textId="77777777">
        <w:tblPrEx>
          <w:tblCellMar>
            <w:top w:w="0" w:type="dxa"/>
            <w:bottom w:w="0" w:type="dxa"/>
          </w:tblCellMar>
        </w:tblPrEx>
        <w:tc>
          <w:tcPr>
            <w:tcW w:w="600" w:type="dxa"/>
          </w:tcPr>
          <w:p w14:paraId="1EA01197" w14:textId="77777777" w:rsidR="00BE0373" w:rsidRDefault="003564BE">
            <w:pPr>
              <w:spacing w:line="275" w:lineRule="atLeast"/>
            </w:pPr>
            <w:r>
              <w:fldChar w:fldCharType="begin"/>
            </w:r>
            <w:r>
              <w:instrText xml:space="preserve"> HYPERLINK \l "co_fnRef_B00022055116179_ID0EEUBG_1" \h </w:instrText>
            </w:r>
            <w:r>
              <w:fldChar w:fldCharType="separate"/>
            </w:r>
            <w:r>
              <w:rPr>
                <w:rFonts w:ascii="Times New Roman" w:hAnsi="Times New Roman"/>
                <w:color w:val="000000"/>
                <w:sz w:val="20"/>
                <w:vertAlign w:val="superscript"/>
              </w:rPr>
              <w:t>2</w:t>
            </w:r>
            <w:r>
              <w:rPr>
                <w:rFonts w:ascii="Times New Roman" w:hAnsi="Times New Roman"/>
                <w:color w:val="000000"/>
                <w:sz w:val="20"/>
                <w:vertAlign w:val="superscript"/>
              </w:rPr>
              <w:fldChar w:fldCharType="end"/>
            </w:r>
            <w:bookmarkEnd w:id="60"/>
          </w:p>
        </w:tc>
        <w:tc>
          <w:tcPr>
            <w:tcW w:w="9450" w:type="dxa"/>
          </w:tcPr>
          <w:p w14:paraId="7DCF95C8" w14:textId="77777777" w:rsidR="00BE0373" w:rsidRDefault="003564BE">
            <w:pPr>
              <w:spacing w:line="275" w:lineRule="atLeast"/>
              <w:jc w:val="both"/>
            </w:pPr>
            <w:r>
              <w:rPr>
                <w:rFonts w:ascii="Times New Roman" w:hAnsi="Times New Roman"/>
                <w:color w:val="000000"/>
                <w:sz w:val="20"/>
              </w:rPr>
              <w:t xml:space="preserve">A CFC is a foreign corporation for which a U.S. shareholder owns more than half of the voting power or total value of the corporation. </w:t>
            </w:r>
            <w:r>
              <w:rPr>
                <w:rFonts w:ascii="Times New Roman" w:hAnsi="Times New Roman"/>
                <w:i/>
                <w:color w:val="000000"/>
                <w:sz w:val="20"/>
              </w:rPr>
              <w:t>See</w:t>
            </w:r>
            <w:r>
              <w:rPr>
                <w:rFonts w:ascii="Times New Roman" w:hAnsi="Times New Roman"/>
                <w:color w:val="000000"/>
                <w:sz w:val="20"/>
              </w:rPr>
              <w:t xml:space="preserve"> </w:t>
            </w:r>
            <w:hyperlink r:id="rId152" w:anchor="co_pp_8b3b0000958a4">
              <w:r>
                <w:rPr>
                  <w:rFonts w:ascii="Times New Roman" w:hAnsi="Times New Roman"/>
                  <w:color w:val="000000"/>
                  <w:sz w:val="20"/>
                </w:rPr>
                <w:t>26 U.S.C. § 957(a)</w:t>
              </w:r>
            </w:hyperlink>
            <w:r>
              <w:rPr>
                <w:rFonts w:ascii="Times New Roman" w:hAnsi="Times New Roman"/>
                <w:color w:val="000000"/>
                <w:sz w:val="20"/>
              </w:rPr>
              <w:t>. LUX is a CFC of Whirlpool.</w:t>
            </w:r>
          </w:p>
        </w:tc>
      </w:tr>
      <w:bookmarkStart w:id="61" w:name="co_footnote_B00032055116179_1"/>
      <w:tr w:rsidR="00BE0373" w14:paraId="20B22DB9" w14:textId="77777777">
        <w:tblPrEx>
          <w:tblCellMar>
            <w:top w:w="0" w:type="dxa"/>
            <w:bottom w:w="0" w:type="dxa"/>
          </w:tblCellMar>
        </w:tblPrEx>
        <w:tc>
          <w:tcPr>
            <w:tcW w:w="600" w:type="dxa"/>
          </w:tcPr>
          <w:p w14:paraId="10BEC5D7" w14:textId="77777777" w:rsidR="00BE0373" w:rsidRDefault="003564BE">
            <w:pPr>
              <w:spacing w:line="275" w:lineRule="atLeast"/>
            </w:pPr>
            <w:r>
              <w:fldChar w:fldCharType="begin"/>
            </w:r>
            <w:r>
              <w:instrText xml:space="preserve"> HYPERLINK \l "co_fnRef_B00032055116179_ID0EQZBG_1" \h </w:instrText>
            </w:r>
            <w:r>
              <w:fldChar w:fldCharType="separate"/>
            </w:r>
            <w:r>
              <w:rPr>
                <w:rFonts w:ascii="Times New Roman" w:hAnsi="Times New Roman"/>
                <w:color w:val="000000"/>
                <w:sz w:val="20"/>
                <w:vertAlign w:val="superscript"/>
              </w:rPr>
              <w:t>3</w:t>
            </w:r>
            <w:r>
              <w:rPr>
                <w:rFonts w:ascii="Times New Roman" w:hAnsi="Times New Roman"/>
                <w:color w:val="000000"/>
                <w:sz w:val="20"/>
                <w:vertAlign w:val="superscript"/>
              </w:rPr>
              <w:fldChar w:fldCharType="end"/>
            </w:r>
            <w:bookmarkEnd w:id="61"/>
          </w:p>
        </w:tc>
        <w:tc>
          <w:tcPr>
            <w:tcW w:w="9450" w:type="dxa"/>
          </w:tcPr>
          <w:p w14:paraId="01B8917E" w14:textId="77777777" w:rsidR="00BE0373" w:rsidRDefault="003564BE">
            <w:pPr>
              <w:spacing w:line="275" w:lineRule="atLeast"/>
              <w:jc w:val="both"/>
            </w:pPr>
            <w:r>
              <w:rPr>
                <w:rFonts w:ascii="Times New Roman" w:hAnsi="Times New Roman"/>
                <w:color w:val="000000"/>
                <w:sz w:val="20"/>
              </w:rPr>
              <w:t xml:space="preserve">A related person is “any entity that controls, is controlled by, or is under common control with” a CFC. Laity, </w:t>
            </w:r>
            <w:r>
              <w:rPr>
                <w:rFonts w:ascii="Times New Roman" w:hAnsi="Times New Roman"/>
                <w:i/>
                <w:color w:val="000000"/>
                <w:sz w:val="20"/>
              </w:rPr>
              <w:t>supra</w:t>
            </w:r>
            <w:r>
              <w:rPr>
                <w:rFonts w:ascii="Times New Roman" w:hAnsi="Times New Roman"/>
                <w:color w:val="000000"/>
                <w:sz w:val="20"/>
              </w:rPr>
              <w:t xml:space="preserve"> at 95; </w:t>
            </w:r>
            <w:r>
              <w:rPr>
                <w:rFonts w:ascii="Times New Roman" w:hAnsi="Times New Roman"/>
                <w:i/>
                <w:color w:val="000000"/>
                <w:sz w:val="20"/>
              </w:rPr>
              <w:t>see</w:t>
            </w:r>
            <w:r>
              <w:rPr>
                <w:rFonts w:ascii="Times New Roman" w:hAnsi="Times New Roman"/>
                <w:i/>
                <w:color w:val="000000"/>
                <w:sz w:val="20"/>
              </w:rPr>
              <w:t xml:space="preserve"> also</w:t>
            </w:r>
            <w:r>
              <w:rPr>
                <w:rFonts w:ascii="Times New Roman" w:hAnsi="Times New Roman"/>
                <w:color w:val="000000"/>
                <w:sz w:val="20"/>
              </w:rPr>
              <w:t xml:space="preserve"> </w:t>
            </w:r>
            <w:hyperlink r:id="rId153" w:anchor="co_pp_17df000040924">
              <w:r>
                <w:rPr>
                  <w:rFonts w:ascii="Times New Roman" w:hAnsi="Times New Roman"/>
                  <w:color w:val="000000"/>
                  <w:sz w:val="20"/>
                </w:rPr>
                <w:t>26 U.S.C. § 954(d)(3)</w:t>
              </w:r>
            </w:hyperlink>
            <w:r>
              <w:rPr>
                <w:rFonts w:ascii="Times New Roman" w:hAnsi="Times New Roman"/>
                <w:color w:val="000000"/>
                <w:sz w:val="20"/>
              </w:rPr>
              <w:t>.</w:t>
            </w:r>
          </w:p>
        </w:tc>
      </w:tr>
      <w:bookmarkStart w:id="62" w:name="co_footnote_B00042055116179_1"/>
      <w:tr w:rsidR="00BE0373" w14:paraId="2627AFEC" w14:textId="77777777">
        <w:tblPrEx>
          <w:tblCellMar>
            <w:top w:w="0" w:type="dxa"/>
            <w:bottom w:w="0" w:type="dxa"/>
          </w:tblCellMar>
        </w:tblPrEx>
        <w:tc>
          <w:tcPr>
            <w:tcW w:w="600" w:type="dxa"/>
          </w:tcPr>
          <w:p w14:paraId="6E90C65B" w14:textId="77777777" w:rsidR="00BE0373" w:rsidRDefault="003564BE">
            <w:pPr>
              <w:spacing w:line="275" w:lineRule="atLeast"/>
            </w:pPr>
            <w:r>
              <w:fldChar w:fldCharType="begin"/>
            </w:r>
            <w:r>
              <w:instrText xml:space="preserve"> HYPERLINK \l "co_fnRef_B00042055116179_ID0EJDAI_1" \h </w:instrText>
            </w:r>
            <w:r>
              <w:fldChar w:fldCharType="separate"/>
            </w:r>
            <w:r>
              <w:rPr>
                <w:rFonts w:ascii="Times New Roman" w:hAnsi="Times New Roman"/>
                <w:color w:val="000000"/>
                <w:sz w:val="20"/>
                <w:vertAlign w:val="superscript"/>
              </w:rPr>
              <w:t>4</w:t>
            </w:r>
            <w:r>
              <w:rPr>
                <w:rFonts w:ascii="Times New Roman" w:hAnsi="Times New Roman"/>
                <w:color w:val="000000"/>
                <w:sz w:val="20"/>
                <w:vertAlign w:val="superscript"/>
              </w:rPr>
              <w:fldChar w:fldCharType="end"/>
            </w:r>
            <w:bookmarkEnd w:id="62"/>
          </w:p>
        </w:tc>
        <w:tc>
          <w:tcPr>
            <w:tcW w:w="9450" w:type="dxa"/>
          </w:tcPr>
          <w:p w14:paraId="43169216" w14:textId="77777777" w:rsidR="00BE0373" w:rsidRDefault="003564BE">
            <w:pPr>
              <w:spacing w:line="275" w:lineRule="atLeast"/>
              <w:jc w:val="both"/>
            </w:pPr>
            <w:r>
              <w:rPr>
                <w:rFonts w:ascii="Times New Roman" w:hAnsi="Times New Roman"/>
                <w:color w:val="000000"/>
                <w:sz w:val="20"/>
              </w:rPr>
              <w:t>In full, the provision reads:</w:t>
            </w:r>
          </w:p>
          <w:p w14:paraId="53EF27BD" w14:textId="77777777" w:rsidR="00BE0373" w:rsidRDefault="003564BE">
            <w:pPr>
              <w:pBdr>
                <w:left w:val="none" w:sz="0" w:space="10" w:color="auto"/>
              </w:pBdr>
              <w:spacing w:line="275" w:lineRule="atLeast"/>
              <w:ind w:left="200"/>
              <w:jc w:val="both"/>
            </w:pPr>
            <w:r>
              <w:rPr>
                <w:rFonts w:ascii="Times New Roman" w:hAnsi="Times New Roman"/>
                <w:color w:val="000000"/>
                <w:sz w:val="20"/>
              </w:rPr>
              <w:t xml:space="preserve">For purposes of determining foreign base company sales income in situations in which the </w:t>
            </w:r>
            <w:r>
              <w:rPr>
                <w:rFonts w:ascii="Times New Roman" w:hAnsi="Times New Roman"/>
                <w:color w:val="000000"/>
                <w:sz w:val="20"/>
              </w:rPr>
              <w:t xml:space="preserve">carrying on of activities by a controlled foreign corporation through a branch or similar establishment outside the country of incorporation of the controlled foreign corporation has substantially the same effect as if such branch or similar establishment </w:t>
            </w:r>
            <w:r>
              <w:rPr>
                <w:rFonts w:ascii="Times New Roman" w:hAnsi="Times New Roman"/>
                <w:color w:val="000000"/>
                <w:sz w:val="20"/>
              </w:rPr>
              <w:t>were a wholly owned subsidiary corporation deriving such income, under regulations prescribed by the Secretary the income attributable to the carrying on of such activities of such branch or similar establishment shall be treated as income derived by a who</w:t>
            </w:r>
            <w:r>
              <w:rPr>
                <w:rFonts w:ascii="Times New Roman" w:hAnsi="Times New Roman"/>
                <w:color w:val="000000"/>
                <w:sz w:val="20"/>
              </w:rPr>
              <w:t>lly owned subsidiary of the controlled foreign corporation and shall constitute foreign base company sales income of the controlled foreign corporation.</w:t>
            </w:r>
          </w:p>
          <w:p w14:paraId="18D45E05" w14:textId="77777777" w:rsidR="00BE0373" w:rsidRDefault="003564BE">
            <w:pPr>
              <w:spacing w:line="275" w:lineRule="atLeast"/>
              <w:jc w:val="both"/>
            </w:pPr>
            <w:hyperlink r:id="rId154" w:anchor="co_pp_4be3000003be5">
              <w:r>
                <w:rPr>
                  <w:rFonts w:ascii="Times New Roman" w:hAnsi="Times New Roman"/>
                  <w:color w:val="000000"/>
                  <w:sz w:val="20"/>
                </w:rPr>
                <w:t>26 U.S.C. § 954(d)(2)</w:t>
              </w:r>
            </w:hyperlink>
            <w:r>
              <w:rPr>
                <w:rFonts w:ascii="Times New Roman" w:hAnsi="Times New Roman"/>
                <w:color w:val="000000"/>
                <w:sz w:val="20"/>
              </w:rPr>
              <w:t>.</w:t>
            </w:r>
          </w:p>
        </w:tc>
      </w:tr>
      <w:bookmarkStart w:id="63" w:name="co_footnote_B00052055116179_1"/>
      <w:tr w:rsidR="00BE0373" w14:paraId="458D6F4D" w14:textId="77777777">
        <w:tblPrEx>
          <w:tblCellMar>
            <w:top w:w="0" w:type="dxa"/>
            <w:bottom w:w="0" w:type="dxa"/>
          </w:tblCellMar>
        </w:tblPrEx>
        <w:tc>
          <w:tcPr>
            <w:tcW w:w="600" w:type="dxa"/>
          </w:tcPr>
          <w:p w14:paraId="5B94BCDC" w14:textId="77777777" w:rsidR="00BE0373" w:rsidRDefault="003564BE">
            <w:pPr>
              <w:spacing w:line="275" w:lineRule="atLeast"/>
            </w:pPr>
            <w:r>
              <w:fldChar w:fldCharType="begin"/>
            </w:r>
            <w:r>
              <w:instrText xml:space="preserve"> HYPERLINK \l "co_fnRef_B00052055116179_ID0</w:instrText>
            </w:r>
            <w:r>
              <w:instrText xml:space="preserve">EG3BI_1" \h </w:instrText>
            </w:r>
            <w:r>
              <w:fldChar w:fldCharType="separate"/>
            </w:r>
            <w:r>
              <w:rPr>
                <w:rFonts w:ascii="Times New Roman" w:hAnsi="Times New Roman"/>
                <w:color w:val="000000"/>
                <w:sz w:val="20"/>
                <w:vertAlign w:val="superscript"/>
              </w:rPr>
              <w:t>5</w:t>
            </w:r>
            <w:r>
              <w:rPr>
                <w:rFonts w:ascii="Times New Roman" w:hAnsi="Times New Roman"/>
                <w:color w:val="000000"/>
                <w:sz w:val="20"/>
                <w:vertAlign w:val="superscript"/>
              </w:rPr>
              <w:fldChar w:fldCharType="end"/>
            </w:r>
            <w:bookmarkEnd w:id="63"/>
          </w:p>
        </w:tc>
        <w:tc>
          <w:tcPr>
            <w:tcW w:w="9450" w:type="dxa"/>
          </w:tcPr>
          <w:p w14:paraId="741E32BD" w14:textId="77777777" w:rsidR="00BE0373" w:rsidRDefault="003564BE">
            <w:pPr>
              <w:spacing w:line="275" w:lineRule="atLeast"/>
              <w:jc w:val="both"/>
            </w:pPr>
            <w:r>
              <w:rPr>
                <w:rFonts w:ascii="Times New Roman" w:hAnsi="Times New Roman"/>
                <w:color w:val="000000"/>
                <w:sz w:val="20"/>
              </w:rPr>
              <w:t xml:space="preserve">Notably, the </w:t>
            </w:r>
            <w:r>
              <w:rPr>
                <w:rFonts w:ascii="Times New Roman" w:hAnsi="Times New Roman"/>
                <w:i/>
                <w:color w:val="000000"/>
                <w:sz w:val="20"/>
              </w:rPr>
              <w:t>new</w:t>
            </w:r>
            <w:r>
              <w:rPr>
                <w:rFonts w:ascii="Times New Roman" w:hAnsi="Times New Roman"/>
                <w:color w:val="000000"/>
                <w:sz w:val="20"/>
              </w:rPr>
              <w:t xml:space="preserve"> regulations covering FBCSI contain the language the Commissioner tries to read into the old regulations. Now, to take advantage of the Manufacturing Exception, a CFC must perform the manufacturing “through the activities of </w:t>
            </w:r>
            <w:r>
              <w:rPr>
                <w:rFonts w:ascii="Times New Roman" w:hAnsi="Times New Roman"/>
                <w:color w:val="000000"/>
                <w:sz w:val="20"/>
              </w:rPr>
              <w:t xml:space="preserve">its employees.” </w:t>
            </w:r>
            <w:hyperlink r:id="rId155" w:anchor="co_pp_d40e000072291">
              <w:r>
                <w:rPr>
                  <w:rFonts w:ascii="Times New Roman" w:hAnsi="Times New Roman"/>
                  <w:color w:val="000000"/>
                  <w:sz w:val="20"/>
                </w:rPr>
                <w:t>26 C.F.R. § 1.954-3(a)(4)</w:t>
              </w:r>
            </w:hyperlink>
            <w:r>
              <w:rPr>
                <w:rFonts w:ascii="Times New Roman" w:hAnsi="Times New Roman"/>
                <w:color w:val="000000"/>
                <w:sz w:val="20"/>
              </w:rPr>
              <w:t>. Moreover, a CFC is no longer “treated as having manufactured, produced, or constructed personal property which the corporation sells merely because the property is sold in a di</w:t>
            </w:r>
            <w:r>
              <w:rPr>
                <w:rFonts w:ascii="Times New Roman" w:hAnsi="Times New Roman"/>
                <w:color w:val="000000"/>
                <w:sz w:val="20"/>
              </w:rPr>
              <w:t xml:space="preserve">fferent form than the form in which it was purchased.” </w:t>
            </w:r>
            <w:r>
              <w:rPr>
                <w:rFonts w:ascii="Times New Roman" w:hAnsi="Times New Roman"/>
                <w:i/>
                <w:color w:val="000000"/>
                <w:sz w:val="20"/>
              </w:rPr>
              <w:t>Id.</w:t>
            </w:r>
          </w:p>
        </w:tc>
      </w:tr>
      <w:bookmarkStart w:id="64" w:name="co_footnote_B00062055116179_1"/>
      <w:tr w:rsidR="00BE0373" w14:paraId="093C7300" w14:textId="77777777">
        <w:tblPrEx>
          <w:tblCellMar>
            <w:top w:w="0" w:type="dxa"/>
            <w:bottom w:w="0" w:type="dxa"/>
          </w:tblCellMar>
        </w:tblPrEx>
        <w:tc>
          <w:tcPr>
            <w:tcW w:w="600" w:type="dxa"/>
          </w:tcPr>
          <w:p w14:paraId="5DF3B383" w14:textId="77777777" w:rsidR="00BE0373" w:rsidRDefault="003564BE">
            <w:pPr>
              <w:spacing w:line="275" w:lineRule="atLeast"/>
            </w:pPr>
            <w:r>
              <w:fldChar w:fldCharType="begin"/>
            </w:r>
            <w:r>
              <w:instrText xml:space="preserve"> HYPERLINK \l "co_fnRef_B00062055116179_ID0EMHCI_1" \h </w:instrText>
            </w:r>
            <w:r>
              <w:fldChar w:fldCharType="separate"/>
            </w:r>
            <w:r>
              <w:rPr>
                <w:rFonts w:ascii="Times New Roman" w:hAnsi="Times New Roman"/>
                <w:color w:val="000000"/>
                <w:sz w:val="20"/>
                <w:vertAlign w:val="superscript"/>
              </w:rPr>
              <w:t>6</w:t>
            </w:r>
            <w:r>
              <w:rPr>
                <w:rFonts w:ascii="Times New Roman" w:hAnsi="Times New Roman"/>
                <w:color w:val="000000"/>
                <w:sz w:val="20"/>
                <w:vertAlign w:val="superscript"/>
              </w:rPr>
              <w:fldChar w:fldCharType="end"/>
            </w:r>
            <w:bookmarkEnd w:id="64"/>
          </w:p>
        </w:tc>
        <w:tc>
          <w:tcPr>
            <w:tcW w:w="9450" w:type="dxa"/>
          </w:tcPr>
          <w:p w14:paraId="693AA0EC" w14:textId="77777777" w:rsidR="00BE0373" w:rsidRDefault="003564BE">
            <w:pPr>
              <w:spacing w:line="275" w:lineRule="atLeast"/>
              <w:jc w:val="both"/>
            </w:pPr>
            <w:r>
              <w:rPr>
                <w:rFonts w:ascii="Times New Roman" w:hAnsi="Times New Roman"/>
                <w:color w:val="000000"/>
                <w:sz w:val="20"/>
              </w:rPr>
              <w:t>I acknowledge that my proposed resolution of this case depends, in large part, on Treasury's relevant regulations. Whirlpool, as part of</w:t>
            </w:r>
            <w:r>
              <w:rPr>
                <w:rFonts w:ascii="Times New Roman" w:hAnsi="Times New Roman"/>
                <w:color w:val="000000"/>
                <w:sz w:val="20"/>
              </w:rPr>
              <w:t xml:space="preserve"> its argument here, challenges the validity of those regulations. But because the majority believes that (d)(2) defines FBSCI by its own terms, it doesn't address the regulations. And because I believe that Whirlpool should prevail under the applicable reg</w:t>
            </w:r>
            <w:r>
              <w:rPr>
                <w:rFonts w:ascii="Times New Roman" w:hAnsi="Times New Roman"/>
                <w:color w:val="000000"/>
                <w:sz w:val="20"/>
              </w:rPr>
              <w:t>ulations as written, I also leave the validity of the regulations to another day.</w:t>
            </w:r>
          </w:p>
        </w:tc>
      </w:tr>
    </w:tbl>
    <w:p w14:paraId="6F1484BD" w14:textId="77777777" w:rsidR="00BE0373" w:rsidRDefault="00BE0373"/>
    <w:tbl>
      <w:tblPr>
        <w:tblW w:w="0" w:type="auto"/>
        <w:tblInd w:w="24" w:type="dxa"/>
        <w:tblLayout w:type="fixed"/>
        <w:tblCellMar>
          <w:left w:w="10" w:type="dxa"/>
          <w:right w:w="10" w:type="dxa"/>
        </w:tblCellMar>
        <w:tblLook w:val="04A0" w:firstRow="1" w:lastRow="0" w:firstColumn="1" w:lastColumn="0" w:noHBand="0" w:noVBand="1"/>
      </w:tblPr>
      <w:tblGrid>
        <w:gridCol w:w="4305"/>
        <w:gridCol w:w="5745"/>
      </w:tblGrid>
      <w:tr w:rsidR="00BE0373" w14:paraId="6FAABBA2" w14:textId="77777777">
        <w:tblPrEx>
          <w:tblCellMar>
            <w:top w:w="0" w:type="dxa"/>
            <w:bottom w:w="0" w:type="dxa"/>
          </w:tblCellMar>
        </w:tblPrEx>
        <w:tc>
          <w:tcPr>
            <w:tcW w:w="4305" w:type="dxa"/>
            <w:tcBorders>
              <w:top w:val="single" w:sz="4" w:space="0" w:color="777777"/>
            </w:tcBorders>
            <w:tcMar>
              <w:top w:w="75" w:type="dxa"/>
              <w:left w:w="24" w:type="dxa"/>
              <w:right w:w="24" w:type="dxa"/>
            </w:tcMar>
          </w:tcPr>
          <w:p w14:paraId="01353A47" w14:textId="77777777" w:rsidR="00BE0373" w:rsidRDefault="003564BE">
            <w:pPr>
              <w:spacing w:line="235" w:lineRule="atLeast"/>
            </w:pPr>
            <w:r>
              <w:rPr>
                <w:rFonts w:ascii="Times New Roman" w:hAnsi="Times New Roman"/>
                <w:b/>
                <w:color w:val="777777"/>
                <w:sz w:val="16"/>
              </w:rPr>
              <w:t>End of Document</w:t>
            </w:r>
          </w:p>
        </w:tc>
        <w:tc>
          <w:tcPr>
            <w:tcW w:w="5745" w:type="dxa"/>
            <w:tcBorders>
              <w:top w:val="single" w:sz="4" w:space="0" w:color="777777"/>
            </w:tcBorders>
            <w:tcMar>
              <w:top w:w="75" w:type="dxa"/>
              <w:left w:w="24" w:type="dxa"/>
              <w:right w:w="24" w:type="dxa"/>
            </w:tcMar>
          </w:tcPr>
          <w:p w14:paraId="720973C2" w14:textId="77777777" w:rsidR="00BE0373" w:rsidRDefault="003564BE">
            <w:pPr>
              <w:spacing w:line="235" w:lineRule="atLeast"/>
              <w:jc w:val="right"/>
            </w:pPr>
            <w:r>
              <w:rPr>
                <w:rFonts w:ascii="Times New Roman" w:hAnsi="Times New Roman"/>
                <w:color w:val="777777"/>
                <w:sz w:val="16"/>
              </w:rPr>
              <w:t>© 2022 Thomson Reuters. No claim to original U.S. Government Works.</w:t>
            </w:r>
          </w:p>
        </w:tc>
      </w:tr>
    </w:tbl>
    <w:p w14:paraId="03ED1949" w14:textId="77777777" w:rsidR="003564BE" w:rsidRDefault="003564BE"/>
    <w:sectPr w:rsidR="003564BE">
      <w:pgSz w:w="12240" w:h="15840"/>
      <w:pgMar w:top="180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5921" w14:textId="77777777" w:rsidR="003564BE" w:rsidRDefault="003564BE">
      <w:r>
        <w:separator/>
      </w:r>
    </w:p>
  </w:endnote>
  <w:endnote w:type="continuationSeparator" w:id="0">
    <w:p w14:paraId="029D55EB" w14:textId="77777777" w:rsidR="003564BE" w:rsidRDefault="0035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E252C" w14:textId="77777777" w:rsidR="003564BE" w:rsidRDefault="003564BE">
      <w:r>
        <w:separator/>
      </w:r>
    </w:p>
  </w:footnote>
  <w:footnote w:type="continuationSeparator" w:id="0">
    <w:p w14:paraId="213978A0" w14:textId="77777777" w:rsidR="003564BE" w:rsidRDefault="00356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0A6A" w14:textId="77777777" w:rsidR="00BE0373" w:rsidRDefault="003564BE">
    <w:r>
      <w:rPr>
        <w:rFonts w:ascii="Arial" w:hAnsi="Arial"/>
        <w:color w:val="000000"/>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B9AB" w14:textId="77777777" w:rsidR="00BE0373" w:rsidRDefault="003564BE">
    <w:r>
      <w:rPr>
        <w:rFonts w:ascii="Arial" w:hAnsi="Arial"/>
        <w:color w:val="000000"/>
        <w:sz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0373"/>
    <w:rsid w:val="0011122E"/>
    <w:rsid w:val="003564BE"/>
    <w:rsid w:val="008C6C3A"/>
    <w:rsid w:val="00BE0373"/>
    <w:rsid w:val="00CE5AAD"/>
    <w:rsid w:val="00DD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7D047"/>
  <w15:docId w15:val="{FB391A32-FA13-F44B-9E4F-4A8BA245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2CA"/>
    <w:pPr>
      <w:tabs>
        <w:tab w:val="center" w:pos="4680"/>
        <w:tab w:val="right" w:pos="9360"/>
      </w:tabs>
    </w:pPr>
  </w:style>
  <w:style w:type="character" w:customStyle="1" w:styleId="HeaderChar">
    <w:name w:val="Header Char"/>
    <w:basedOn w:val="DefaultParagraphFont"/>
    <w:link w:val="Header"/>
    <w:uiPriority w:val="99"/>
    <w:rsid w:val="00DD22CA"/>
  </w:style>
  <w:style w:type="paragraph" w:styleId="Footer">
    <w:name w:val="footer"/>
    <w:basedOn w:val="Normal"/>
    <w:link w:val="FooterChar"/>
    <w:uiPriority w:val="99"/>
    <w:unhideWhenUsed/>
    <w:rsid w:val="00DD22CA"/>
    <w:pPr>
      <w:tabs>
        <w:tab w:val="center" w:pos="4680"/>
        <w:tab w:val="right" w:pos="9360"/>
      </w:tabs>
    </w:pPr>
  </w:style>
  <w:style w:type="character" w:customStyle="1" w:styleId="FooterChar">
    <w:name w:val="Footer Char"/>
    <w:basedOn w:val="DefaultParagraphFont"/>
    <w:link w:val="Footer"/>
    <w:uiPriority w:val="99"/>
    <w:rsid w:val="00DD2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1" Type="http://schemas.openxmlformats.org/officeDocument/2006/relationships/hyperlink" Target="http://www.westlaw.com/Link/Document/FullText?findType=Y&amp;serNum=2053749201&amp;pubNum=0000708&amp;originatingDoc=Id40d0ac056fa11ec80e88bfd15733b68&amp;refType=RP&amp;fi=co_pp_sp_708_1658&amp;originationContext=document&amp;vr=3.0&amp;rs=cblt1.0&amp;transitionType=DocumentItem&amp;contextData=(sc.Search)" TargetMode="External"/><Relationship Id="rId4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3" Type="http://schemas.openxmlformats.org/officeDocument/2006/relationships/hyperlink" Target="http://www.westlaw.com/Link/Document/FullText?findType=L&amp;pubNum=1000546&amp;cite=26USCAS951&amp;originatingDoc=Id40d0ac056fa11ec80e88bfd15733b68&amp;refType=RB&amp;originationContext=document&amp;vr=3.0&amp;rs=cblt1.0&amp;transitionType=DocumentItem&amp;contextData=(sc.Search)" TargetMode="External"/><Relationship Id="rId8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38"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0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 Type="http://schemas.openxmlformats.org/officeDocument/2006/relationships/hyperlink" Target="http://www.westlaw.com/Link/Document/FullText?findType=L&amp;pubNum=1000547&amp;cite=26CFRS301.7701-2&amp;originatingDoc=Id40d0ac056fa11ec80e88bfd15733b68&amp;refType=RB&amp;originationContext=document&amp;vr=3.0&amp;rs=cblt1.0&amp;transitionType=DocumentItem&amp;contextData=(sc.Search)" TargetMode="External"/><Relationship Id="rId3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3"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74" Type="http://schemas.openxmlformats.org/officeDocument/2006/relationships/hyperlink" Target="http://www.westlaw.com/Link/Document/FullText?findType=Y&amp;serNum=1990168858&amp;pubNum=0000838&amp;originatingDoc=Id40d0ac056fa11ec80e88bfd15733b68&amp;refType=RP&amp;fi=co_pp_sp_838_591&amp;originationContext=document&amp;vr=3.0&amp;rs=cblt1.0&amp;transitionType=DocumentItem&amp;contextData=(sc.Search)" TargetMode="External"/><Relationship Id="rId128"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49" Type="http://schemas.openxmlformats.org/officeDocument/2006/relationships/header" Target="header2.xml"/><Relationship Id="rId5" Type="http://schemas.openxmlformats.org/officeDocument/2006/relationships/endnotes" Target="endnotes.xml"/><Relationship Id="rId9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2" Type="http://schemas.openxmlformats.org/officeDocument/2006/relationships/hyperlink" Target="http://www.westlaw.com/Link/Document/FullText?findType=Y&amp;serNum=2053749201&amp;pubNum=0000708&amp;originatingDoc=Id40d0ac056fa11ec80e88bfd15733b68&amp;refType=RP&amp;fi=co_pp_sp_708_1657&amp;originationContext=document&amp;vr=3.0&amp;rs=cblt1.0&amp;transitionType=DocumentItem&amp;contextData=(sc.Search)" TargetMode="External"/><Relationship Id="rId4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4" Type="http://schemas.openxmlformats.org/officeDocument/2006/relationships/hyperlink" Target="http://www.westlaw.com/Link/Document/FullText?findType=L&amp;pubNum=1000546&amp;cite=26USCAS952&amp;originatingDoc=Id40d0ac056fa11ec80e88bfd15733b68&amp;refType=RB&amp;originationContext=document&amp;vr=3.0&amp;rs=cblt1.0&amp;transitionType=DocumentItem&amp;contextData=(sc.Search)" TargetMode="External"/><Relationship Id="rId118"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39"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8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50" Type="http://schemas.openxmlformats.org/officeDocument/2006/relationships/footer" Target="footer1.xml"/><Relationship Id="rId155"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8" Type="http://schemas.openxmlformats.org/officeDocument/2006/relationships/hyperlink" Target="http://www.westlaw.com/Link/Document/FullText?findType=Y&amp;serNum=1947114450&amp;pubNum=0000780&amp;originatingDoc=Id40d0ac056fa11ec80e88bfd15733b68&amp;refType=RP&amp;fi=co_pp_sp_780_528&amp;originationContext=document&amp;vr=3.0&amp;rs=cblt1.0&amp;transitionType=DocumentItem&amp;contextData=(sc.Search)" TargetMode="External"/><Relationship Id="rId59" Type="http://schemas.openxmlformats.org/officeDocument/2006/relationships/hyperlink" Target="http://www.westlaw.com/Link/Document/FullText?findType=Y&amp;serNum=0109035927&amp;pubNum=0001110&amp;originatingDoc=Id40d0ac056fa11ec80e88bfd15733b68&amp;refType=LR&amp;fi=co_pp_sp_1110_94&amp;originationContext=document&amp;vr=3.0&amp;rs=cblt1.0&amp;transitionType=DocumentItem&amp;contextData=(sc.Search)" TargetMode="External"/><Relationship Id="rId10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24"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2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1" Type="http://schemas.openxmlformats.org/officeDocument/2006/relationships/hyperlink" Target="http://www.westlaw.com/Link/Document/FullText?findType=Y&amp;serNum=1990168858&amp;pubNum=0000838&amp;originatingDoc=Id40d0ac056fa11ec80e88bfd15733b68&amp;refType=RP&amp;fi=co_pp_sp_838_591&amp;originationContext=document&amp;vr=3.0&amp;rs=cblt1.0&amp;transitionType=DocumentItem&amp;contextData=(sc.Search)" TargetMode="External"/><Relationship Id="rId9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40"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45"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 Type="http://schemas.openxmlformats.org/officeDocument/2006/relationships/styles" Target="styles.xml"/><Relationship Id="rId6" Type="http://schemas.openxmlformats.org/officeDocument/2006/relationships/hyperlink" Target="http://www.westlaw.com/Link/Document/FullText?findType=Y&amp;serNum=1990138486&amp;pubNum=0000838&amp;originatingDoc=Id40d0ac056fa11ec80e88bfd15733b68&amp;refType=RP&amp;fi=co_pp_sp_838_354&amp;originationContext=document&amp;vr=3.0&amp;rs=cblt1.0&amp;transitionType=DocumentItem&amp;contextData=(sc.Search)" TargetMode="External"/><Relationship Id="rId23" Type="http://schemas.openxmlformats.org/officeDocument/2006/relationships/hyperlink" Target="http://www.westlaw.com/Link/Document/FullText?findType=Y&amp;serNum=0304043424&amp;pubNum=0001359&amp;originatingDoc=Id40d0ac056fa11ec80e88bfd15733b68&amp;refType=LR&amp;fi=co_pp_sp_1359_354&amp;originationContext=document&amp;vr=3.0&amp;rs=cblt1.0&amp;transitionType=DocumentItem&amp;contextData=(sc.Search)" TargetMode="External"/><Relationship Id="rId2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4"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1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0" Type="http://schemas.openxmlformats.org/officeDocument/2006/relationships/hyperlink" Target="http://www.westlaw.com/Link/Document/FullText?findType=Y&amp;serNum=1990168858&amp;pubNum=0000838&amp;originatingDoc=Id40d0ac056fa11ec80e88bfd15733b68&amp;refType=RP&amp;fi=co_pp_sp_838_585&amp;originationContext=document&amp;vr=3.0&amp;rs=cblt1.0&amp;transitionType=DocumentItem&amp;contextData=(sc.Search)" TargetMode="External"/><Relationship Id="rId6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1"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8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3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3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51" Type="http://schemas.openxmlformats.org/officeDocument/2006/relationships/footer" Target="footer2.xml"/><Relationship Id="rId156" Type="http://schemas.openxmlformats.org/officeDocument/2006/relationships/fontTable" Target="fontTable.xml"/><Relationship Id="rId1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9"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3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20" Type="http://schemas.openxmlformats.org/officeDocument/2006/relationships/hyperlink" Target="http://www.westlaw.com/Link/Document/FullText?findType=Y&amp;serNum=0118636258&amp;pubNum=0100406&amp;originatingDoc=Id40d0ac056fa11ec80e88bfd15733b68&amp;refType=LR&amp;fi=co_pp_sp_100406_349&amp;originationContext=document&amp;vr=3.0&amp;rs=cblt1.0&amp;transitionType=DocumentItem&amp;contextData=(sc.Search)" TargetMode="External"/><Relationship Id="rId125"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41"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46" Type="http://schemas.openxmlformats.org/officeDocument/2006/relationships/hyperlink" Target="http://www.westlaw.com/Link/Document/FullText?findType=Y&amp;serNum=1983149303&amp;pubNum=0000780&amp;originatingDoc=Id40d0ac056fa11ec80e88bfd15733b68&amp;refType=RP&amp;fi=co_pp_sp_780_23&amp;originationContext=document&amp;vr=3.0&amp;rs=cblt1.0&amp;transitionType=DocumentItem&amp;contextData=(sc.Search)" TargetMode="External"/><Relationship Id="rId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 Type="http://schemas.openxmlformats.org/officeDocument/2006/relationships/settings" Target="settings.xml"/><Relationship Id="rId2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4" Type="http://schemas.openxmlformats.org/officeDocument/2006/relationships/hyperlink" Target="http://www.westlaw.com/Link/Document/FullText?findType=L&amp;pubNum=1000546&amp;cite=26USCAS954&amp;originatingDoc=Id40d0ac056fa11ec80e88bfd15733b68&amp;refType=LQ&amp;originationContext=document&amp;vr=3.0&amp;rs=cblt1.0&amp;transitionType=DocumentItem&amp;contextData=(sc.Search)" TargetMode="External"/><Relationship Id="rId4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31" Type="http://schemas.openxmlformats.org/officeDocument/2006/relationships/hyperlink" Target="http://www.westlaw.com/Link/Document/FullText?findType=Y&amp;serNum=1984039439&amp;pubNum=0004310&amp;originatingDoc=Id40d0ac056fa11ec80e88bfd15733b68&amp;refType=CA&amp;originationContext=document&amp;vr=3.0&amp;rs=cblt1.0&amp;transitionType=DocumentItem&amp;contextData=(sc.Search)" TargetMode="External"/><Relationship Id="rId136"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57" Type="http://schemas.openxmlformats.org/officeDocument/2006/relationships/theme" Target="theme/theme1.xml"/><Relationship Id="rId61" Type="http://schemas.openxmlformats.org/officeDocument/2006/relationships/hyperlink" Target="http://www.westlaw.com/Link/Document/FullText?findType=L&amp;pubNum=1000546&amp;cite=26USCAS951&amp;originatingDoc=Id40d0ac056fa11ec80e88bfd15733b68&amp;refType=LQ&amp;originationContext=document&amp;vr=3.0&amp;rs=cblt1.0&amp;transitionType=DocumentItem&amp;contextData=(sc.Search)" TargetMode="External"/><Relationship Id="rId8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52" Type="http://schemas.openxmlformats.org/officeDocument/2006/relationships/hyperlink" Target="http://www.westlaw.com/Link/Document/FullText?findType=L&amp;pubNum=1000546&amp;cite=26USCAS957&amp;originatingDoc=Id40d0ac056fa11ec80e88bfd15733b68&amp;refType=RB&amp;originationContext=document&amp;vr=3.0&amp;rs=cblt1.0&amp;transitionType=DocumentItem&amp;contextData=(sc.Search)" TargetMode="External"/><Relationship Id="rId1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5" Type="http://schemas.openxmlformats.org/officeDocument/2006/relationships/hyperlink" Target="http://www.westlaw.com/Link/Document/FullText?findType=Y&amp;serNum=1990168858&amp;pubNum=0000838&amp;originatingDoc=Id40d0ac056fa11ec80e88bfd15733b68&amp;refType=RP&amp;fi=co_pp_sp_838_591&amp;originationContext=document&amp;vr=3.0&amp;rs=cblt1.0&amp;transitionType=DocumentItem&amp;contextData=(sc.Search)" TargetMode="External"/><Relationship Id="rId126"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4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2" Type="http://schemas.openxmlformats.org/officeDocument/2006/relationships/hyperlink" Target="http://www.westlaw.com/Link/Document/FullText?findType=Y&amp;serNum=1990168858&amp;pubNum=0000838&amp;originatingDoc=Id40d0ac056fa11ec80e88bfd15733b68&amp;refType=RP&amp;fi=co_pp_sp_838_593&amp;originationContext=document&amp;vr=3.0&amp;rs=cblt1.0&amp;transitionType=DocumentItem&amp;contextData=(sc.Search)" TargetMode="External"/><Relationship Id="rId9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21"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42"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3" Type="http://schemas.openxmlformats.org/officeDocument/2006/relationships/webSettings" Target="webSettings.xml"/><Relationship Id="rId2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6"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3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0" Type="http://schemas.openxmlformats.org/officeDocument/2006/relationships/hyperlink" Target="http://www.westlaw.com/Link/Document/FullText?findType=Y&amp;serNum=2044774566&amp;pubNum=0000708&amp;originatingDoc=Id40d0ac056fa11ec80e88bfd15733b68&amp;refType=RP&amp;fi=co_pp_sp_708_2070&amp;originationContext=document&amp;vr=3.0&amp;rs=cblt1.0&amp;transitionType=DocumentItem&amp;contextData=(sc.Search)" TargetMode="External"/><Relationship Id="rId4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2" Type="http://schemas.openxmlformats.org/officeDocument/2006/relationships/hyperlink" Target="http://www.westlaw.com/Link/Document/FullText?findType=Y&amp;serNum=1990168858&amp;pubNum=0000838&amp;originatingDoc=Id40d0ac056fa11ec80e88bfd15733b68&amp;refType=RP&amp;fi=co_pp_sp_838_585&amp;originationContext=document&amp;vr=3.0&amp;rs=cblt1.0&amp;transitionType=DocumentItem&amp;contextData=(sc.Search)" TargetMode="External"/><Relationship Id="rId83" Type="http://schemas.openxmlformats.org/officeDocument/2006/relationships/hyperlink" Target="http://www.westlaw.com/Link/Document/FullText?findType=Y&amp;serNum=1990168858&amp;pubNum=0000838&amp;originatingDoc=Id40d0ac056fa11ec80e88bfd15733b68&amp;refType=RP&amp;fi=co_pp_sp_838_591&amp;originationContext=document&amp;vr=3.0&amp;rs=cblt1.0&amp;transitionType=DocumentItem&amp;contextData=(sc.Search)" TargetMode="External"/><Relationship Id="rId88" Type="http://schemas.openxmlformats.org/officeDocument/2006/relationships/hyperlink" Target="http://www.westlaw.com/Link/Document/FullText?findType=Y&amp;serNum=1990168858&amp;pubNum=0000838&amp;originatingDoc=Id40d0ac056fa11ec80e88bfd15733b68&amp;refType=RP&amp;fi=co_pp_sp_838_593&amp;originationContext=document&amp;vr=3.0&amp;rs=cblt1.0&amp;transitionType=DocumentItem&amp;contextData=(sc.Search)" TargetMode="External"/><Relationship Id="rId111"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32"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5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5" Type="http://schemas.openxmlformats.org/officeDocument/2006/relationships/hyperlink" Target="http://www.westlaw.com/Link/Document/FullText?findType=Y&amp;serNum=2017510083&amp;pubNum=0000506&amp;originatingDoc=Id40d0ac056fa11ec80e88bfd15733b68&amp;refType=RP&amp;fi=co_pp_sp_506_492&amp;originationContext=document&amp;vr=3.0&amp;rs=cblt1.0&amp;transitionType=DocumentItem&amp;contextData=(sc.Search)" TargetMode="External"/><Relationship Id="rId3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7" Type="http://schemas.openxmlformats.org/officeDocument/2006/relationships/hyperlink" Target="http://www.westlaw.com/Link/Document/FullText?findType=Y&amp;serNum=1973290081&amp;pubNum=0000838&amp;originatingDoc=Id40d0ac056fa11ec80e88bfd15733b68&amp;refType=RP&amp;fi=co_pp_sp_838_353&amp;originationContext=document&amp;vr=3.0&amp;rs=cblt1.0&amp;transitionType=DocumentItem&amp;contextData=(sc.Search)" TargetMode="External"/><Relationship Id="rId106" Type="http://schemas.openxmlformats.org/officeDocument/2006/relationships/hyperlink" Target="http://www.westlaw.com/Link/Document/FullText?findType=Y&amp;serNum=1990168858&amp;pubNum=0000838&amp;originatingDoc=Id40d0ac056fa11ec80e88bfd15733b68&amp;refType=RP&amp;originationContext=document&amp;vr=3.0&amp;rs=cblt1.0&amp;transitionType=DocumentItem&amp;contextData=(sc.Search)" TargetMode="External"/><Relationship Id="rId12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1" Type="http://schemas.openxmlformats.org/officeDocument/2006/relationships/hyperlink" Target="http://www.westlaw.com/Link/Document/FullText?findType=Y&amp;serNum=1825197900&amp;pubNum=0000780&amp;originatingDoc=Id40d0ac056fa11ec80e88bfd15733b68&amp;refType=RP&amp;fi=co_pp_sp_780_43&amp;originationContext=document&amp;vr=3.0&amp;rs=cblt1.0&amp;transitionType=DocumentItem&amp;contextData=(sc.Search)" TargetMode="External"/><Relationship Id="rId5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4" Type="http://schemas.openxmlformats.org/officeDocument/2006/relationships/hyperlink" Target="http://www.westlaw.com/Link/Document/FullText?findType=Y&amp;serNum=1990168858&amp;pubNum=0000838&amp;originatingDoc=Id40d0ac056fa11ec80e88bfd15733b68&amp;refType=RP&amp;originationContext=document&amp;vr=3.0&amp;rs=cblt1.0&amp;transitionType=DocumentItem&amp;contextData=(sc.Search)" TargetMode="External"/><Relationship Id="rId9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22"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43"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48"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8" Type="http://schemas.openxmlformats.org/officeDocument/2006/relationships/hyperlink" Target="http://www.westlaw.com/Link/Document/FullText?findType=Y&amp;serNum=1990168858&amp;pubNum=0000838&amp;originatingDoc=Id40d0ac056fa11ec80e88bfd15733b68&amp;refType=RP&amp;fi=co_pp_sp_838_590&amp;originationContext=document&amp;vr=3.0&amp;rs=cblt1.0&amp;transitionType=DocumentItem&amp;contextData=(sc.Search)" TargetMode="External"/><Relationship Id="rId8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2"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33" Type="http://schemas.openxmlformats.org/officeDocument/2006/relationships/hyperlink" Target="http://www.westlaw.com/Link/Document/FullText?findType=Y&amp;serNum=1984039439&amp;pubNum=0004310&amp;originatingDoc=Id40d0ac056fa11ec80e88bfd15733b68&amp;refType=CA&amp;originationContext=document&amp;vr=3.0&amp;rs=cblt1.0&amp;transitionType=DocumentItem&amp;contextData=(sc.Search)" TargetMode="External"/><Relationship Id="rId15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6" Type="http://schemas.openxmlformats.org/officeDocument/2006/relationships/hyperlink" Target="http://www.westlaw.com/Link/Document/FullText?findType=Y&amp;serNum=2042148377&amp;pubNum=0000506&amp;originatingDoc=Id40d0ac056fa11ec80e88bfd15733b68&amp;refType=RP&amp;fi=co_pp_sp_506_489&amp;originationContext=document&amp;vr=3.0&amp;rs=cblt1.0&amp;transitionType=DocumentItem&amp;contextData=(sc.Search)" TargetMode="External"/><Relationship Id="rId37" Type="http://schemas.openxmlformats.org/officeDocument/2006/relationships/hyperlink" Target="http://www.westlaw.com/Link/Document/FullText?findType=Y&amp;serNum=2043852041&amp;pubNum=0000506&amp;originatingDoc=Id40d0ac056fa11ec80e88bfd15733b68&amp;refType=RP&amp;fi=co_pp_sp_506_629&amp;originationContext=document&amp;vr=3.0&amp;rs=cblt1.0&amp;transitionType=DocumentItem&amp;contextData=(sc.Search)" TargetMode="External"/><Relationship Id="rId58" Type="http://schemas.openxmlformats.org/officeDocument/2006/relationships/hyperlink" Target="http://www.westlaw.com/Link/Document/FullText?findType=Y&amp;serNum=1990168858&amp;pubNum=0000838&amp;originatingDoc=Id40d0ac056fa11ec80e88bfd15733b68&amp;refType=RP&amp;fi=co_pp_sp_838_585&amp;originationContext=document&amp;vr=3.0&amp;rs=cblt1.0&amp;transitionType=DocumentItem&amp;contextData=(sc.Search)" TargetMode="External"/><Relationship Id="rId7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23"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44"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9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9" Type="http://schemas.openxmlformats.org/officeDocument/2006/relationships/hyperlink" Target="http://www.westlaw.com/Link/Document/FullText?findType=Y&amp;serNum=2053637639&amp;pubNum=0000708&amp;originatingDoc=Id40d0ac056fa11ec80e88bfd15733b68&amp;refType=RP&amp;fi=co_pp_sp_708_1586&amp;originationContext=document&amp;vr=3.0&amp;rs=cblt1.0&amp;transitionType=DocumentItem&amp;contextData=(sc.Search)" TargetMode="External"/><Relationship Id="rId113"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34" Type="http://schemas.openxmlformats.org/officeDocument/2006/relationships/hyperlink" Target="http://www.westlaw.com/Link/Document/FullText?findType=Y&amp;serNum=1976029573&amp;pubNum=0004309&amp;originatingDoc=Id40d0ac056fa11ec80e88bfd15733b68&amp;refType=CA&amp;originationContext=document&amp;vr=3.0&amp;rs=cblt1.0&amp;transitionType=DocumentItem&amp;contextData=(s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16106</Words>
  <Characters>91810</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M. Colon</cp:lastModifiedBy>
  <cp:revision>4</cp:revision>
  <dcterms:created xsi:type="dcterms:W3CDTF">2022-04-02T16:23:00Z</dcterms:created>
  <dcterms:modified xsi:type="dcterms:W3CDTF">2022-04-02T17:31:00Z</dcterms:modified>
</cp:coreProperties>
</file>