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DEE51" w14:textId="77777777" w:rsidR="00074A0E" w:rsidRDefault="00074A0E" w:rsidP="00770FE4">
      <w:pPr>
        <w:rPr>
          <w:rFonts w:cs="Courier"/>
        </w:rPr>
        <w:sectPr w:rsidR="00074A0E">
          <w:headerReference w:type="default" r:id="rId6"/>
          <w:pgSz w:w="12240" w:h="15840"/>
          <w:pgMar w:top="1728" w:right="1296" w:bottom="1296" w:left="1296" w:header="720" w:footer="720" w:gutter="0"/>
          <w:pgNumType w:start="1"/>
          <w:cols w:space="720"/>
          <w:noEndnote/>
        </w:sectPr>
      </w:pPr>
    </w:p>
    <w:p w14:paraId="3A101F23" w14:textId="2E41D38F" w:rsidR="00074A0E" w:rsidRDefault="00074A0E" w:rsidP="00770FE4">
      <w:pPr>
        <w:widowControl/>
        <w:ind w:left="3600" w:right="1200"/>
        <w:rPr>
          <w:rFonts w:ascii="Times New Roman" w:hAnsi="Times New Roman"/>
          <w:b/>
          <w:bCs/>
        </w:rPr>
      </w:pPr>
      <w:r>
        <w:rPr>
          <w:rFonts w:ascii="Times New Roman" w:hAnsi="Times New Roman"/>
          <w:b/>
          <w:bCs/>
        </w:rPr>
        <w:t xml:space="preserve">CANAL </w:t>
      </w:r>
      <w:r w:rsidR="003F0877">
        <w:rPr>
          <w:rFonts w:ascii="Times New Roman" w:hAnsi="Times New Roman"/>
          <w:b/>
          <w:bCs/>
        </w:rPr>
        <w:t xml:space="preserve">Corp </w:t>
      </w:r>
      <w:r>
        <w:rPr>
          <w:rFonts w:ascii="Times New Roman" w:hAnsi="Times New Roman"/>
          <w:b/>
          <w:bCs/>
        </w:rPr>
        <w:t xml:space="preserve">v. </w:t>
      </w:r>
      <w:r w:rsidR="00770FE4">
        <w:rPr>
          <w:rFonts w:ascii="Times New Roman" w:hAnsi="Times New Roman"/>
          <w:b/>
          <w:bCs/>
        </w:rPr>
        <w:t xml:space="preserve">CIR, </w:t>
      </w:r>
      <w:r>
        <w:rPr>
          <w:rFonts w:ascii="Times New Roman" w:hAnsi="Times New Roman"/>
          <w:b/>
          <w:bCs/>
        </w:rPr>
        <w:t>135 T.C. No. 9</w:t>
      </w:r>
      <w:r w:rsidR="003F0877">
        <w:rPr>
          <w:rFonts w:ascii="Times New Roman" w:hAnsi="Times New Roman"/>
          <w:b/>
          <w:bCs/>
        </w:rPr>
        <w:t xml:space="preserve"> (2010)</w:t>
      </w:r>
    </w:p>
    <w:p w14:paraId="17874ED2" w14:textId="62A4236E" w:rsidR="00074A0E" w:rsidRDefault="003F0877">
      <w:pPr>
        <w:widowControl/>
        <w:ind w:left="1200" w:right="1200"/>
        <w:jc w:val="center"/>
        <w:rPr>
          <w:rFonts w:ascii="Times New Roman" w:hAnsi="Times New Roman"/>
          <w:b/>
          <w:bCs/>
        </w:rPr>
      </w:pPr>
      <w:r>
        <w:rPr>
          <w:rFonts w:ascii="Times New Roman" w:hAnsi="Times New Roman"/>
          <w:b/>
          <w:bCs/>
        </w:rPr>
        <w:t xml:space="preserve"> </w:t>
      </w:r>
    </w:p>
    <w:p w14:paraId="17E2F3F5" w14:textId="77777777" w:rsidR="00074A0E" w:rsidRDefault="00074A0E">
      <w:pPr>
        <w:widowControl/>
        <w:rPr>
          <w:rFonts w:ascii="Times New Roman" w:hAnsi="Times New Roman"/>
          <w:b/>
          <w:bCs/>
        </w:rPr>
        <w:sectPr w:rsidR="00074A0E">
          <w:headerReference w:type="default" r:id="rId7"/>
          <w:type w:val="continuous"/>
          <w:pgSz w:w="12240" w:h="15840"/>
          <w:pgMar w:top="1728" w:right="1296" w:bottom="1296" w:left="1296" w:header="720" w:footer="720" w:gutter="0"/>
          <w:cols w:space="720"/>
          <w:noEndnote/>
        </w:sectPr>
      </w:pPr>
    </w:p>
    <w:p w14:paraId="204EB6A2" w14:textId="77777777" w:rsidR="00074A0E" w:rsidRDefault="00074A0E">
      <w:pPr>
        <w:widowControl/>
        <w:jc w:val="both"/>
        <w:rPr>
          <w:rFonts w:ascii="Times New Roman" w:hAnsi="Times New Roman"/>
          <w:b/>
          <w:bCs/>
        </w:rPr>
      </w:pPr>
      <w:r>
        <w:rPr>
          <w:rFonts w:ascii="Times New Roman" w:hAnsi="Times New Roman"/>
          <w:b/>
          <w:bCs/>
        </w:rPr>
        <w:t>OPINION</w:t>
      </w:r>
    </w:p>
    <w:p w14:paraId="21A7754A" w14:textId="261D833C" w:rsidR="00074A0E" w:rsidRDefault="003F0877" w:rsidP="003F0877">
      <w:pPr>
        <w:widowControl/>
        <w:spacing w:before="120"/>
        <w:ind w:firstLine="360"/>
        <w:jc w:val="both"/>
        <w:rPr>
          <w:rFonts w:ascii="Times New Roman" w:hAnsi="Times New Roman"/>
        </w:rPr>
      </w:pPr>
      <w:r>
        <w:rPr>
          <w:rFonts w:ascii="Times New Roman" w:hAnsi="Times New Roman"/>
        </w:rPr>
        <w:t>KROUPA, Judge:</w:t>
      </w:r>
    </w:p>
    <w:p w14:paraId="55404B58" w14:textId="77777777" w:rsidR="003F0877" w:rsidRDefault="003F0877">
      <w:pPr>
        <w:widowControl/>
        <w:jc w:val="both"/>
        <w:rPr>
          <w:rFonts w:ascii="Times New Roman" w:hAnsi="Times New Roman"/>
          <w:b/>
        </w:rPr>
      </w:pPr>
    </w:p>
    <w:p w14:paraId="304B69A2" w14:textId="77777777" w:rsidR="00074A0E" w:rsidRPr="003F0877" w:rsidRDefault="00074A0E">
      <w:pPr>
        <w:widowControl/>
        <w:jc w:val="both"/>
        <w:rPr>
          <w:rFonts w:ascii="Times New Roman" w:hAnsi="Times New Roman"/>
          <w:b/>
        </w:rPr>
      </w:pPr>
      <w:r w:rsidRPr="003F0877">
        <w:rPr>
          <w:rFonts w:ascii="Times New Roman" w:hAnsi="Times New Roman"/>
          <w:b/>
        </w:rPr>
        <w:t xml:space="preserve">FINDINGS OF FACT </w:t>
      </w:r>
    </w:p>
    <w:p w14:paraId="6458BFEF" w14:textId="77777777" w:rsidR="00074A0E" w:rsidRDefault="00074A0E">
      <w:pPr>
        <w:widowControl/>
        <w:rPr>
          <w:rFonts w:ascii="Times New Roman" w:hAnsi="Times New Roman"/>
        </w:rPr>
      </w:pPr>
    </w:p>
    <w:p w14:paraId="3BC82651" w14:textId="77777777" w:rsidR="00074A0E" w:rsidRPr="003F0877" w:rsidRDefault="00074A0E">
      <w:pPr>
        <w:widowControl/>
        <w:jc w:val="both"/>
        <w:rPr>
          <w:rFonts w:ascii="Times New Roman" w:hAnsi="Times New Roman"/>
          <w:b/>
        </w:rPr>
      </w:pPr>
      <w:r w:rsidRPr="003F0877">
        <w:rPr>
          <w:rFonts w:ascii="Times New Roman" w:hAnsi="Times New Roman"/>
          <w:b/>
        </w:rPr>
        <w:t xml:space="preserve">Background of Chesapeake and WISCO </w:t>
      </w:r>
    </w:p>
    <w:p w14:paraId="0872B9E3" w14:textId="77777777" w:rsidR="00074A0E" w:rsidRDefault="00074A0E">
      <w:pPr>
        <w:widowControl/>
        <w:spacing w:before="120"/>
        <w:ind w:firstLine="360"/>
        <w:jc w:val="both"/>
        <w:rPr>
          <w:rFonts w:ascii="Times New Roman" w:hAnsi="Times New Roman"/>
        </w:rPr>
      </w:pPr>
      <w:r>
        <w:rPr>
          <w:rFonts w:ascii="Times New Roman" w:hAnsi="Times New Roman"/>
        </w:rPr>
        <w:t>Chesapeake is a Virginia corporation organized as a corrugated paper company in 1918. Chesapeake's business has expanded over time into several paper industry segments, including merchandising and specialty packaging, tissue, and forest and land development. Chesapeake eventually became a publicly traded company and served as the common parent of a group of subsidiary corporations filing consolidated Federal income tax returns. Each subsidiary managed its own assets and liabilities. Chesapeake received dividends from the subsidiaries and made loans to the subsidiaries as needed.</w:t>
      </w:r>
    </w:p>
    <w:p w14:paraId="3451DF61" w14:textId="3AF0A2C5" w:rsidR="00074A0E" w:rsidRDefault="00074A0E">
      <w:pPr>
        <w:widowControl/>
        <w:spacing w:before="120"/>
        <w:ind w:firstLine="360"/>
        <w:jc w:val="both"/>
        <w:rPr>
          <w:rFonts w:ascii="Times New Roman" w:hAnsi="Times New Roman"/>
        </w:rPr>
      </w:pPr>
      <w:r>
        <w:rPr>
          <w:rFonts w:ascii="Times New Roman" w:hAnsi="Times New Roman"/>
        </w:rPr>
        <w:t>Chesapeake's largest subsidiary was Wisconsin Tissue Mills, Inc. (WISCO). Chesapeake purchased WISCO's stock from Philip Morris in 1985 in a leveraged buyout transaction. WISCO manufactured commercial tissue paper prod</w:t>
      </w:r>
      <w:r w:rsidR="003F0877">
        <w:rPr>
          <w:rFonts w:ascii="Times New Roman" w:hAnsi="Times New Roman"/>
        </w:rPr>
        <w:t xml:space="preserve">ucts, including napkins, table </w:t>
      </w:r>
      <w:r>
        <w:rPr>
          <w:rFonts w:ascii="Times New Roman" w:hAnsi="Times New Roman"/>
        </w:rPr>
        <w:t>covers, towels, place mats, wipes, and facial and bathroom tissue. WISCO sold its products to commercial and industrial businesses such as restaurants, hotels, schools, offices, hospitals and airlines. WISCO accounted for 46 percent of Chesapeake's sales and 94 percent of Chesapeake's earnings before interest and tax for 1998. Chesapeake and WISCO shared most of the same executive officers.</w:t>
      </w:r>
    </w:p>
    <w:p w14:paraId="43F362A1" w14:textId="19D02D49" w:rsidR="00074A0E" w:rsidRDefault="00074A0E">
      <w:pPr>
        <w:widowControl/>
        <w:spacing w:before="120"/>
        <w:ind w:firstLine="360"/>
        <w:jc w:val="both"/>
        <w:rPr>
          <w:rFonts w:ascii="Times New Roman" w:hAnsi="Times New Roman"/>
        </w:rPr>
      </w:pPr>
      <w:r>
        <w:rPr>
          <w:rFonts w:ascii="Times New Roman" w:hAnsi="Times New Roman"/>
        </w:rPr>
        <w:t>WISCO incurred significant environmental liabilities during the 1950s and 1960s. The Environmental Protection Agency (EPA) determined that a mill WISCO operated contaminated the Fox River in Wisconsin with polychlorinated biphenyls (PCBs). The EPA designated the Fox River area as a Superfund site and held five companies, including WISCO, involved in the contamination jointly and severally liable for the cleanup costs (Fox River liability). Philip Morris indemnified Chesapeake for any Fox River liability costs up to the purchase price of WISCO. Approximately $120 million of the Phillip Morris indemnity remains. Chesapeake also purchased $100 million of environmental remediation insurance to pay costs beyond those covered by the indemnity. Chesapeake's management estimated that WISCO's remaining Fox   River liability costs varied between $60 million and $70 million in 1999. In addition to the Fox River liability, WISCO and other Chesapeake subsidiaries also guaranteed a $450 million credit facility enabling Chesapeake to acquire another company in 2000.</w:t>
      </w:r>
    </w:p>
    <w:p w14:paraId="6B1BA4E2" w14:textId="77777777" w:rsidR="00074A0E" w:rsidRDefault="00074A0E">
      <w:pPr>
        <w:widowControl/>
        <w:rPr>
          <w:rFonts w:ascii="Times New Roman" w:hAnsi="Times New Roman"/>
        </w:rPr>
      </w:pPr>
    </w:p>
    <w:p w14:paraId="1E916F9C" w14:textId="77777777" w:rsidR="00074A0E" w:rsidRPr="003F0877" w:rsidRDefault="00074A0E">
      <w:pPr>
        <w:widowControl/>
        <w:jc w:val="both"/>
        <w:rPr>
          <w:rFonts w:ascii="Times New Roman" w:hAnsi="Times New Roman"/>
          <w:b/>
        </w:rPr>
      </w:pPr>
      <w:r w:rsidRPr="003F0877">
        <w:rPr>
          <w:rFonts w:ascii="Times New Roman" w:hAnsi="Times New Roman"/>
          <w:b/>
        </w:rPr>
        <w:t xml:space="preserve">Tissue Business </w:t>
      </w:r>
    </w:p>
    <w:p w14:paraId="4C7370BD" w14:textId="2E29EF5A" w:rsidR="00074A0E" w:rsidRDefault="00074A0E">
      <w:pPr>
        <w:widowControl/>
        <w:spacing w:before="120"/>
        <w:ind w:firstLine="360"/>
        <w:jc w:val="both"/>
        <w:rPr>
          <w:rFonts w:ascii="Times New Roman" w:hAnsi="Times New Roman"/>
        </w:rPr>
      </w:pPr>
      <w:r>
        <w:rPr>
          <w:rFonts w:ascii="Times New Roman" w:hAnsi="Times New Roman"/>
        </w:rPr>
        <w:t xml:space="preserve">Tissue is a </w:t>
      </w:r>
      <w:proofErr w:type="gramStart"/>
      <w:r>
        <w:rPr>
          <w:rFonts w:ascii="Times New Roman" w:hAnsi="Times New Roman"/>
        </w:rPr>
        <w:t>capital intensive</w:t>
      </w:r>
      <w:proofErr w:type="gramEnd"/>
      <w:r>
        <w:rPr>
          <w:rFonts w:ascii="Times New Roman" w:hAnsi="Times New Roman"/>
        </w:rPr>
        <w:t xml:space="preserve"> commodities business, and only the largest companies have the ability to make the investment needed to compete in the industry. </w:t>
      </w:r>
      <w:r w:rsidR="003F0877">
        <w:rPr>
          <w:rFonts w:ascii="Times New Roman" w:hAnsi="Times New Roman"/>
        </w:rPr>
        <w:t xml:space="preserve"> </w:t>
      </w:r>
    </w:p>
    <w:p w14:paraId="03B8DDED" w14:textId="4483BD6A" w:rsidR="00074A0E" w:rsidRDefault="00074A0E">
      <w:pPr>
        <w:widowControl/>
        <w:spacing w:before="120"/>
        <w:ind w:firstLine="360"/>
        <w:jc w:val="both"/>
        <w:rPr>
          <w:rFonts w:ascii="Times New Roman" w:hAnsi="Times New Roman"/>
        </w:rPr>
      </w:pPr>
      <w:r>
        <w:rPr>
          <w:rFonts w:ascii="Times New Roman" w:hAnsi="Times New Roman"/>
        </w:rPr>
        <w:t>Chesapeake, through WISCO and Chesapeake's Mexican subsidiary, Wisconsin Tissue de Mexico, S.A. de C.V. (WISMEX), was a second tier player in the tissue industry. Chesapeake sold its retail tissue business to the Fonda Group, Inc. in 1995. WISCO and WISMEX serviced only commercial accounts and lacked the large timber bases needed to support a retail business. Chesapeake had only two paper mills, one in Wisconsin and one in Arizona, and thus w</w:t>
      </w:r>
      <w:r w:rsidR="003F0877">
        <w:rPr>
          <w:rFonts w:ascii="Times New Roman" w:hAnsi="Times New Roman"/>
        </w:rPr>
        <w:t>as at a significant logistical</w:t>
      </w:r>
      <w:r>
        <w:rPr>
          <w:rFonts w:ascii="Times New Roman" w:hAnsi="Times New Roman"/>
        </w:rPr>
        <w:t xml:space="preserve"> disadvantage in servicing the Southeast and Northeast.</w:t>
      </w:r>
    </w:p>
    <w:p w14:paraId="662689B6" w14:textId="77777777" w:rsidR="00074A0E" w:rsidRDefault="00074A0E">
      <w:pPr>
        <w:widowControl/>
        <w:rPr>
          <w:rFonts w:ascii="Times New Roman" w:hAnsi="Times New Roman"/>
        </w:rPr>
      </w:pPr>
    </w:p>
    <w:p w14:paraId="6F7E094B" w14:textId="77777777" w:rsidR="00074A0E" w:rsidRPr="003F0877" w:rsidRDefault="00074A0E">
      <w:pPr>
        <w:widowControl/>
        <w:jc w:val="both"/>
        <w:rPr>
          <w:rFonts w:ascii="Times New Roman" w:hAnsi="Times New Roman"/>
          <w:b/>
        </w:rPr>
      </w:pPr>
      <w:r w:rsidRPr="003F0877">
        <w:rPr>
          <w:rFonts w:ascii="Times New Roman" w:hAnsi="Times New Roman"/>
          <w:b/>
        </w:rPr>
        <w:t xml:space="preserve">Restructuring of Chesapeake </w:t>
      </w:r>
    </w:p>
    <w:p w14:paraId="51377DF4" w14:textId="79ADC220" w:rsidR="00074A0E" w:rsidRDefault="00074A0E">
      <w:pPr>
        <w:widowControl/>
        <w:spacing w:before="120"/>
        <w:ind w:firstLine="360"/>
        <w:jc w:val="both"/>
        <w:rPr>
          <w:rFonts w:ascii="Times New Roman" w:hAnsi="Times New Roman"/>
        </w:rPr>
      </w:pPr>
      <w:r>
        <w:rPr>
          <w:rFonts w:ascii="Times New Roman" w:hAnsi="Times New Roman"/>
        </w:rPr>
        <w:t xml:space="preserve">Chesapeake hired Tom Johnson as its chief executive officer and chairman in 1997. Mr. Johnson sought to restructure Chesapeake. </w:t>
      </w:r>
      <w:r w:rsidR="003F0877">
        <w:rPr>
          <w:rFonts w:ascii="Times New Roman" w:hAnsi="Times New Roman"/>
        </w:rPr>
        <w:t xml:space="preserve"> </w:t>
      </w:r>
    </w:p>
    <w:p w14:paraId="58E7CF48" w14:textId="19FD4335" w:rsidR="00074A0E" w:rsidRDefault="00074A0E">
      <w:pPr>
        <w:widowControl/>
        <w:spacing w:before="120"/>
        <w:ind w:firstLine="360"/>
        <w:jc w:val="both"/>
        <w:rPr>
          <w:rFonts w:ascii="Times New Roman" w:hAnsi="Times New Roman"/>
        </w:rPr>
      </w:pPr>
      <w:r>
        <w:rPr>
          <w:rFonts w:ascii="Times New Roman" w:hAnsi="Times New Roman"/>
        </w:rPr>
        <w:t>Commercial tissue did not fit the new specialty packaging strategy. Chesapeake examined several options for the future direction of WISCO's tissue business. Chesapeake considered maintaining the status quo. Management concluded, however, that WISCO would be too small to compete. Management further determined that internal expansion would be too difficult and costly. Management also considered selling Chesapeake and all its subsidiaries. Management surmised that no one would   buy all the diverse subsidiary businesses for an acceptable price.</w:t>
      </w:r>
    </w:p>
    <w:p w14:paraId="5007EE99" w14:textId="63C96A27" w:rsidR="00074A0E" w:rsidRDefault="00074A0E">
      <w:pPr>
        <w:widowControl/>
        <w:spacing w:before="120"/>
        <w:ind w:firstLine="360"/>
        <w:jc w:val="both"/>
        <w:rPr>
          <w:rFonts w:ascii="Times New Roman" w:hAnsi="Times New Roman"/>
        </w:rPr>
      </w:pPr>
      <w:r>
        <w:rPr>
          <w:rFonts w:ascii="Times New Roman" w:hAnsi="Times New Roman"/>
        </w:rPr>
        <w:t xml:space="preserve">Pete </w:t>
      </w:r>
      <w:proofErr w:type="spellStart"/>
      <w:r>
        <w:rPr>
          <w:rFonts w:ascii="Times New Roman" w:hAnsi="Times New Roman"/>
        </w:rPr>
        <w:t>Correll</w:t>
      </w:r>
      <w:proofErr w:type="spellEnd"/>
      <w:r>
        <w:rPr>
          <w:rFonts w:ascii="Times New Roman" w:hAnsi="Times New Roman"/>
        </w:rPr>
        <w:t xml:space="preserve">, chief executive officer of Georgia Pacific (GP), made overtures to Mr. Johnson regarding GP purchasing WISCO. </w:t>
      </w:r>
      <w:r w:rsidR="003F0877">
        <w:rPr>
          <w:rFonts w:ascii="Times New Roman" w:hAnsi="Times New Roman"/>
        </w:rPr>
        <w:t xml:space="preserve"> </w:t>
      </w:r>
      <w:r>
        <w:rPr>
          <w:rFonts w:ascii="Times New Roman" w:hAnsi="Times New Roman"/>
        </w:rPr>
        <w:t xml:space="preserve"> GP viewed the purchase of WISCO as a strategic piece in advancing its tissue business.</w:t>
      </w:r>
    </w:p>
    <w:p w14:paraId="5B593D92" w14:textId="77777777" w:rsidR="00074A0E" w:rsidRDefault="00074A0E">
      <w:pPr>
        <w:widowControl/>
        <w:spacing w:before="120"/>
        <w:ind w:firstLine="360"/>
        <w:jc w:val="both"/>
        <w:rPr>
          <w:rFonts w:ascii="Times New Roman" w:hAnsi="Times New Roman"/>
        </w:rPr>
      </w:pPr>
      <w:r>
        <w:rPr>
          <w:rFonts w:ascii="Times New Roman" w:hAnsi="Times New Roman"/>
        </w:rPr>
        <w:t>Chesapeake considered selling WISCO to generate capital for Chesapeake's new specialty packaging business. Given Chesapeake's low tax basis in WISCO, however, the after-tax proceeds would have been low compared to the pre-tax proceeds. This tax differential caused Chesapeake to decide a direct sale of WISCO would not be advantageous.</w:t>
      </w:r>
    </w:p>
    <w:p w14:paraId="0D846F1E" w14:textId="3F1EAF7D" w:rsidR="00074A0E" w:rsidRDefault="00074A0E" w:rsidP="003F0877">
      <w:pPr>
        <w:widowControl/>
        <w:spacing w:before="120"/>
        <w:ind w:firstLine="360"/>
        <w:jc w:val="both"/>
        <w:rPr>
          <w:rFonts w:ascii="Times New Roman" w:hAnsi="Times New Roman"/>
        </w:rPr>
      </w:pPr>
      <w:r>
        <w:rPr>
          <w:rFonts w:ascii="Times New Roman" w:hAnsi="Times New Roman"/>
        </w:rPr>
        <w:t xml:space="preserve">Chesapeake thereafter engaged Salomon Smith Barney (Salomon) and PricewaterhouseCoopers (PWC) to explore strategic alternatives for the tissue business. Salomon recommended to Chesapeake's management that the best alternative for maximizing shareholder value would be a </w:t>
      </w:r>
      <w:proofErr w:type="gramStart"/>
      <w:r>
        <w:rPr>
          <w:rFonts w:ascii="Times New Roman" w:hAnsi="Times New Roman"/>
        </w:rPr>
        <w:t>leveraged  partnership</w:t>
      </w:r>
      <w:proofErr w:type="gramEnd"/>
      <w:r>
        <w:rPr>
          <w:rFonts w:ascii="Times New Roman" w:hAnsi="Times New Roman"/>
        </w:rPr>
        <w:t xml:space="preserve"> structure with GP. </w:t>
      </w:r>
      <w:r w:rsidR="003F0877">
        <w:rPr>
          <w:rFonts w:ascii="Times New Roman" w:hAnsi="Times New Roman"/>
          <w:sz w:val="16"/>
          <w:vertAlign w:val="superscript"/>
        </w:rPr>
        <w:t xml:space="preserve"> </w:t>
      </w:r>
      <w:r>
        <w:rPr>
          <w:rFonts w:ascii="Times New Roman" w:hAnsi="Times New Roman"/>
        </w:rPr>
        <w:t xml:space="preserve">The leveraged partnership structure required WISCO to first transfer its tissue business assets to a joint venture. GP would then transfer its tissue business assets to the joint venture. </w:t>
      </w:r>
      <w:r>
        <w:rPr>
          <w:rFonts w:ascii="Times New Roman" w:hAnsi="Times New Roman"/>
        </w:rPr>
        <w:lastRenderedPageBreak/>
        <w:t>Next, the joint venture would borrow funds from a third party and distribute the proceeds to Chesapeake (special distribution). Chesapeake would guarantee the third-party debt through a subsidiary. WISCO would hold a minority interest in the joint venture after the distribution, and GP would hold a majority interest. Salomon presented the leveraged partnership structure as tax advantageous to Chesapeake because it would allow Chesapeake to get cash out of the business yet still protect Chesapeake from recognizing a gain when the partnership distributed to Chesapeake the proceeds from the third-party loan.</w:t>
      </w:r>
    </w:p>
    <w:p w14:paraId="2CA7969C" w14:textId="6C4E588D" w:rsidR="00074A0E" w:rsidRDefault="00074A0E">
      <w:pPr>
        <w:widowControl/>
        <w:spacing w:before="120"/>
        <w:ind w:firstLine="360"/>
        <w:jc w:val="both"/>
        <w:rPr>
          <w:rFonts w:ascii="Times New Roman" w:hAnsi="Times New Roman"/>
        </w:rPr>
      </w:pPr>
      <w:r>
        <w:rPr>
          <w:rFonts w:ascii="Times New Roman" w:hAnsi="Times New Roman"/>
        </w:rPr>
        <w:t xml:space="preserve">Chesapeake's board liked the leveraged partnership idea and thought GP seemed like a good fit as a partner. Chesapeake made clear to PWC and Salomon that the asset transfer and special distribution had to be nontaxable  </w:t>
      </w:r>
      <w:r w:rsidR="003F0877">
        <w:rPr>
          <w:rFonts w:ascii="Times New Roman" w:hAnsi="Times New Roman"/>
        </w:rPr>
        <w:t xml:space="preserve"> </w:t>
      </w:r>
      <w:r>
        <w:rPr>
          <w:rFonts w:ascii="Times New Roman" w:hAnsi="Times New Roman"/>
        </w:rPr>
        <w:t xml:space="preserve"> for it to approve the transaction. Tax deferral enabled Chesapeake to accept a lower price.</w:t>
      </w:r>
    </w:p>
    <w:p w14:paraId="3449A7CE" w14:textId="0C04890A" w:rsidR="00074A0E" w:rsidRDefault="00074A0E">
      <w:pPr>
        <w:widowControl/>
        <w:spacing w:before="120"/>
        <w:ind w:firstLine="360"/>
        <w:jc w:val="both"/>
        <w:rPr>
          <w:rFonts w:ascii="Times New Roman" w:hAnsi="Times New Roman"/>
        </w:rPr>
      </w:pPr>
      <w:r>
        <w:rPr>
          <w:rFonts w:ascii="Times New Roman" w:hAnsi="Times New Roman"/>
        </w:rPr>
        <w:t>GP's executives accepted the leveraged partnership structure to expand its tissue business. GP did not have any interest in Chesapeake receiving a tax deferral. GP recognized, however, that it was a necessary part of bridging the purchase price gap. Chesapeake agreed to a lower up-front valuation of WISCO,</w:t>
      </w:r>
      <w:r w:rsidR="003F0877">
        <w:rPr>
          <w:rFonts w:ascii="Times New Roman" w:hAnsi="Times New Roman"/>
        </w:rPr>
        <w:t xml:space="preserve"> </w:t>
      </w:r>
      <w:r>
        <w:rPr>
          <w:rFonts w:ascii="Times New Roman" w:hAnsi="Times New Roman"/>
        </w:rPr>
        <w:t xml:space="preserve"> $775 million, because of the tax deferral benefit.</w:t>
      </w:r>
    </w:p>
    <w:p w14:paraId="4C4350F1" w14:textId="138C4B8A" w:rsidR="00074A0E" w:rsidRDefault="00074A0E">
      <w:pPr>
        <w:widowControl/>
        <w:spacing w:before="120"/>
        <w:ind w:firstLine="360"/>
        <w:jc w:val="both"/>
        <w:rPr>
          <w:rFonts w:ascii="Times New Roman" w:hAnsi="Times New Roman"/>
        </w:rPr>
      </w:pPr>
      <w:r>
        <w:rPr>
          <w:rFonts w:ascii="Times New Roman" w:hAnsi="Times New Roman"/>
        </w:rPr>
        <w:t xml:space="preserve">PWC assisted Salomon in negotiating and structuring the joint venture. PWC examined the transaction from both an accounting and a tax perspective. </w:t>
      </w:r>
      <w:r w:rsidR="00EA05E1">
        <w:rPr>
          <w:rFonts w:ascii="Times New Roman" w:hAnsi="Times New Roman"/>
        </w:rPr>
        <w:t xml:space="preserve">  </w:t>
      </w:r>
      <w:r>
        <w:rPr>
          <w:rFonts w:ascii="Times New Roman" w:hAnsi="Times New Roman"/>
        </w:rPr>
        <w:t xml:space="preserve">PWC advised that Chesapeake did not need to guarantee the debt but needed only to provide an indemnity to the guarantor to defer tax. PWC also determined that the transaction should be treated as a sale for </w:t>
      </w:r>
      <w:proofErr w:type="gramStart"/>
      <w:r>
        <w:rPr>
          <w:rFonts w:ascii="Times New Roman" w:hAnsi="Times New Roman"/>
        </w:rPr>
        <w:t>accounting  purposes</w:t>
      </w:r>
      <w:proofErr w:type="gramEnd"/>
      <w:r>
        <w:rPr>
          <w:rFonts w:ascii="Times New Roman" w:hAnsi="Times New Roman"/>
        </w:rPr>
        <w:t>. Mr. Miller helped structure the indemnity agreement and aided in writing the partnership agreement.</w:t>
      </w:r>
    </w:p>
    <w:p w14:paraId="2432847D" w14:textId="77777777" w:rsidR="00074A0E" w:rsidRPr="00EA05E1" w:rsidRDefault="00074A0E">
      <w:pPr>
        <w:widowControl/>
        <w:rPr>
          <w:rFonts w:ascii="Times New Roman" w:hAnsi="Times New Roman"/>
          <w:b/>
        </w:rPr>
      </w:pPr>
    </w:p>
    <w:p w14:paraId="41116B81" w14:textId="77777777" w:rsidR="00074A0E" w:rsidRPr="00EA05E1" w:rsidRDefault="00074A0E">
      <w:pPr>
        <w:widowControl/>
        <w:jc w:val="both"/>
        <w:rPr>
          <w:rFonts w:ascii="Times New Roman" w:hAnsi="Times New Roman"/>
          <w:b/>
        </w:rPr>
      </w:pPr>
      <w:r w:rsidRPr="00EA05E1">
        <w:rPr>
          <w:rFonts w:ascii="Times New Roman" w:hAnsi="Times New Roman"/>
          <w:b/>
        </w:rPr>
        <w:t xml:space="preserve">Indemnity Agreement </w:t>
      </w:r>
    </w:p>
    <w:p w14:paraId="54560143" w14:textId="77777777" w:rsidR="00074A0E" w:rsidRDefault="00074A0E">
      <w:pPr>
        <w:widowControl/>
        <w:spacing w:before="120"/>
        <w:ind w:firstLine="360"/>
        <w:jc w:val="both"/>
        <w:rPr>
          <w:rFonts w:ascii="Times New Roman" w:hAnsi="Times New Roman"/>
        </w:rPr>
      </w:pPr>
      <w:r>
        <w:rPr>
          <w:rFonts w:ascii="Times New Roman" w:hAnsi="Times New Roman"/>
        </w:rPr>
        <w:t>GP agreed to guarantee the joint venture's debt and did not require Chesapeake to execute an indemnity. Mr. Miller advised Chesapeake, however, that an indemnity was required to defer tax on the transaction. Chesapeake's executives wanted to make the indemnity an obligation of WISCO rather than Chesapeake to limit the economic risk to WISCO's assets, not the assets of Chesapeake. The parties to the transaction agreed that GP would guarantee the joint venture's debt and that WISCO would serve as the indemnitor of GP's guaranty.</w:t>
      </w:r>
    </w:p>
    <w:p w14:paraId="027B5989" w14:textId="2BC6A1F6" w:rsidR="00074A0E" w:rsidRDefault="00074A0E">
      <w:pPr>
        <w:widowControl/>
        <w:spacing w:before="120"/>
        <w:ind w:firstLine="360"/>
        <w:jc w:val="both"/>
        <w:rPr>
          <w:rFonts w:ascii="Times New Roman" w:hAnsi="Times New Roman"/>
        </w:rPr>
      </w:pPr>
      <w:r>
        <w:rPr>
          <w:rFonts w:ascii="Times New Roman" w:hAnsi="Times New Roman"/>
        </w:rPr>
        <w:t xml:space="preserve">WISCO attempted to limit the circumstances in which it would be called upon to pay the indemnity. First, the indemnity obligation covered only the principal of the joint venture's debt, due in 30 years, not interest. Next, Chesapeake and GP agreed that GP had to first proceed against   the joint venture's assets before demanding indemnification from WISCO. The agreement also provided </w:t>
      </w:r>
      <w:r>
        <w:rPr>
          <w:rFonts w:ascii="Times New Roman" w:hAnsi="Times New Roman"/>
        </w:rPr>
        <w:t>that WISCO would receive a proportionately increased interest in the joint venture if WISCO had to make a payment under the indemnity obligation.</w:t>
      </w:r>
    </w:p>
    <w:p w14:paraId="5126895A" w14:textId="77777777" w:rsidR="00074A0E" w:rsidRDefault="00074A0E">
      <w:pPr>
        <w:widowControl/>
        <w:spacing w:before="120"/>
        <w:ind w:firstLine="360"/>
        <w:jc w:val="both"/>
        <w:rPr>
          <w:rFonts w:ascii="Times New Roman" w:hAnsi="Times New Roman"/>
        </w:rPr>
      </w:pPr>
      <w:r>
        <w:rPr>
          <w:rFonts w:ascii="Times New Roman" w:hAnsi="Times New Roman"/>
        </w:rPr>
        <w:t>No provision of the indemnity obligation mandated that WISCO maintain a certain net worth. Mr. Miller determined that WISCO had to maintain a net worth of $151 million to avoid taxation on the transaction. GP was aware that WISCO's assets other than its interest in the joint venture were limited. GP nonetheless accepted the deal and never invoked the indemnity obligation.</w:t>
      </w:r>
    </w:p>
    <w:p w14:paraId="4E701E75" w14:textId="77777777" w:rsidR="00074A0E" w:rsidRDefault="00074A0E">
      <w:pPr>
        <w:widowControl/>
        <w:rPr>
          <w:rFonts w:ascii="Times New Roman" w:hAnsi="Times New Roman"/>
        </w:rPr>
      </w:pPr>
    </w:p>
    <w:p w14:paraId="3E4D5A67" w14:textId="77777777" w:rsidR="00074A0E" w:rsidRPr="00982175" w:rsidRDefault="00074A0E">
      <w:pPr>
        <w:widowControl/>
        <w:jc w:val="both"/>
        <w:rPr>
          <w:rFonts w:ascii="Times New Roman" w:hAnsi="Times New Roman"/>
          <w:b/>
        </w:rPr>
      </w:pPr>
      <w:r w:rsidRPr="00982175">
        <w:rPr>
          <w:rFonts w:ascii="Times New Roman" w:hAnsi="Times New Roman"/>
          <w:b/>
        </w:rPr>
        <w:t xml:space="preserve">Joint Venture Agreement </w:t>
      </w:r>
    </w:p>
    <w:p w14:paraId="3C441CE2" w14:textId="17FCB5AD" w:rsidR="000E50E3" w:rsidRDefault="00074A0E" w:rsidP="00CD538D">
      <w:pPr>
        <w:widowControl/>
        <w:spacing w:before="120"/>
        <w:ind w:firstLine="360"/>
        <w:jc w:val="both"/>
        <w:rPr>
          <w:rFonts w:ascii="Times New Roman" w:hAnsi="Times New Roman"/>
        </w:rPr>
      </w:pPr>
      <w:r>
        <w:rPr>
          <w:rFonts w:ascii="Times New Roman" w:hAnsi="Times New Roman"/>
        </w:rPr>
        <w:t>Chesapeake, WISCO, and GP executed the joint venture agreement. The two members (partners)</w:t>
      </w:r>
      <w:r w:rsidR="00982175">
        <w:rPr>
          <w:rFonts w:ascii="Times New Roman" w:hAnsi="Times New Roman"/>
        </w:rPr>
        <w:t xml:space="preserve"> </w:t>
      </w:r>
      <w:r>
        <w:rPr>
          <w:rFonts w:ascii="Times New Roman" w:hAnsi="Times New Roman"/>
        </w:rPr>
        <w:t>of the joint venture were WISCO and GP. The agreement provided that GP would reimburse WISCO for any tax cost WISCO might incur if GP were to buy out WISCO's interest in the joint venture.</w:t>
      </w:r>
      <w:r w:rsidR="00982175">
        <w:rPr>
          <w:rFonts w:ascii="Times New Roman" w:hAnsi="Times New Roman"/>
        </w:rPr>
        <w:t xml:space="preserve"> </w:t>
      </w:r>
    </w:p>
    <w:p w14:paraId="54D26EA9" w14:textId="77777777" w:rsidR="00CD538D" w:rsidRDefault="00CD538D" w:rsidP="00CD538D">
      <w:pPr>
        <w:widowControl/>
        <w:spacing w:before="120"/>
        <w:ind w:firstLine="360"/>
        <w:jc w:val="both"/>
        <w:rPr>
          <w:rFonts w:ascii="Times New Roman" w:hAnsi="Times New Roman"/>
        </w:rPr>
      </w:pPr>
    </w:p>
    <w:p w14:paraId="781D8AEC" w14:textId="77777777" w:rsidR="00074A0E" w:rsidRPr="00982175" w:rsidRDefault="00074A0E">
      <w:pPr>
        <w:widowControl/>
        <w:jc w:val="both"/>
        <w:rPr>
          <w:rFonts w:ascii="Times New Roman" w:hAnsi="Times New Roman"/>
          <w:b/>
        </w:rPr>
      </w:pPr>
      <w:r w:rsidRPr="00982175">
        <w:rPr>
          <w:rFonts w:ascii="Times New Roman" w:hAnsi="Times New Roman"/>
          <w:b/>
        </w:rPr>
        <w:t xml:space="preserve">PWC Tax Opinion </w:t>
      </w:r>
    </w:p>
    <w:p w14:paraId="20677E11" w14:textId="4E5B1CFF" w:rsidR="00074A0E" w:rsidRDefault="00982175">
      <w:pPr>
        <w:widowControl/>
        <w:spacing w:before="120"/>
        <w:ind w:firstLine="360"/>
        <w:jc w:val="both"/>
        <w:rPr>
          <w:rFonts w:ascii="Times New Roman" w:hAnsi="Times New Roman"/>
        </w:rPr>
      </w:pPr>
      <w:r>
        <w:rPr>
          <w:rFonts w:ascii="Times New Roman" w:hAnsi="Times New Roman"/>
        </w:rPr>
        <w:t xml:space="preserve">Chesapeake hired </w:t>
      </w:r>
      <w:r w:rsidR="00074A0E">
        <w:rPr>
          <w:rFonts w:ascii="Times New Roman" w:hAnsi="Times New Roman"/>
        </w:rPr>
        <w:t>PWC to issue an opinion on the transaction's Federal tax implications. In fact, Chesapeake conditioned the transaction's closing upon PWC's issuing a "should" tax opinion. Instead of Mr. Compton, the PWC partner with the long-term relationship to Chesapeake, PWC assigned Mr. Miller to write the opinion. In effect, Mr. Miller's job was to review the transaction he helped structure. Mr. Miller considered three issues: (1) whether the joint venture qualified as a partnership for tax purposes, (2) whether WISCO was a partner in the joint venture, and (3) whether the distribution to Chesapeake should be treated as part of a sale or qualifies under the debt-financed distribution exception.</w:t>
      </w:r>
    </w:p>
    <w:p w14:paraId="3D5C0F3E" w14:textId="1C14E405" w:rsidR="00074A0E" w:rsidRDefault="00074A0E">
      <w:pPr>
        <w:widowControl/>
        <w:spacing w:before="120"/>
        <w:ind w:firstLine="360"/>
        <w:jc w:val="both"/>
        <w:rPr>
          <w:rFonts w:ascii="Times New Roman" w:hAnsi="Times New Roman"/>
        </w:rPr>
      </w:pPr>
      <w:r>
        <w:rPr>
          <w:rFonts w:ascii="Times New Roman" w:hAnsi="Times New Roman"/>
        </w:rPr>
        <w:t xml:space="preserve">Chesapeake agreed to pay PWC an $800,000 fixed fee for issuing the opinion. The payment did not depend on time spent or expenses incurred by PWC. A letter PWC sent to Chesapeake stated that PWC would bill Chesapeake "at the closing of the joint venture financing." Chesapeake's board informed Mr. Miller that as a condition to closing the transaction PWC would need to issue the opinion that the special distribution should not be currently taxable. A "should" opinion is the highest level of comfort PWC </w:t>
      </w:r>
      <w:proofErr w:type="gramStart"/>
      <w:r>
        <w:rPr>
          <w:rFonts w:ascii="Times New Roman" w:hAnsi="Times New Roman"/>
        </w:rPr>
        <w:t>offers  to</w:t>
      </w:r>
      <w:proofErr w:type="gramEnd"/>
      <w:r>
        <w:rPr>
          <w:rFonts w:ascii="Times New Roman" w:hAnsi="Times New Roman"/>
        </w:rPr>
        <w:t xml:space="preserve"> a client regarding whether the position taken by a taxpayer will succeed on the merits.</w:t>
      </w:r>
    </w:p>
    <w:p w14:paraId="0FC198CA" w14:textId="77777777" w:rsidR="00074A0E" w:rsidRDefault="00074A0E">
      <w:pPr>
        <w:widowControl/>
        <w:spacing w:before="120"/>
        <w:ind w:firstLine="360"/>
        <w:jc w:val="both"/>
        <w:rPr>
          <w:rFonts w:ascii="Times New Roman" w:hAnsi="Times New Roman"/>
        </w:rPr>
      </w:pPr>
      <w:r>
        <w:rPr>
          <w:rFonts w:ascii="Times New Roman" w:hAnsi="Times New Roman"/>
        </w:rPr>
        <w:t xml:space="preserve">Mr. Miller and his PWC team reviewed the transaction's structure and approved each item that could affect the tax consequences. Mr. Miller crafted an "all or nothing" test for allocating the joint venture debt. Either all the liability would be allocated to WISCO or none of it would. Mr. Miller reasoned that the transaction would not be characterized as a sale provided the entire liability was allocated to WISCO. Mr. Miller found no legal authority for </w:t>
      </w:r>
      <w:r>
        <w:rPr>
          <w:rFonts w:ascii="Times New Roman" w:hAnsi="Times New Roman"/>
        </w:rPr>
        <w:lastRenderedPageBreak/>
        <w:t>such a test. He created the test using his own analysis of then existing rulings and procedures.</w:t>
      </w:r>
    </w:p>
    <w:p w14:paraId="110F3A01" w14:textId="687C4617" w:rsidR="00074A0E" w:rsidRDefault="00074A0E">
      <w:pPr>
        <w:widowControl/>
        <w:spacing w:before="120"/>
        <w:ind w:firstLine="360"/>
        <w:jc w:val="both"/>
        <w:rPr>
          <w:rFonts w:ascii="Times New Roman" w:hAnsi="Times New Roman"/>
        </w:rPr>
      </w:pPr>
      <w:r>
        <w:rPr>
          <w:rFonts w:ascii="Times New Roman" w:hAnsi="Times New Roman"/>
        </w:rPr>
        <w:t xml:space="preserve">Mr. Miller based his opinion on WISCO's indemnification of GP's guaranty being respected. Mr. Miller assumed that WISCO had the ultimate legal liability for the full amount of the debt if the joint venture became wholly worthless. Mr. Miller concluded that WISCO could defer gain until it sold its remaining assets, paid off the debt, or sold its partnership interest. Mr. Miller advised that WISCO maintain assets of at least 20 percent of its maximum exposure under the indemnity. Mr. Miller did not have direct authority requiring this percentage. He </w:t>
      </w:r>
      <w:proofErr w:type="gramStart"/>
      <w:r>
        <w:rPr>
          <w:rFonts w:ascii="Times New Roman" w:hAnsi="Times New Roman"/>
        </w:rPr>
        <w:t>merely  made</w:t>
      </w:r>
      <w:proofErr w:type="gramEnd"/>
      <w:r>
        <w:rPr>
          <w:rFonts w:ascii="Times New Roman" w:hAnsi="Times New Roman"/>
        </w:rPr>
        <w:t xml:space="preserve"> this determination based on Rev. Proc. 89-12, 1989-1 C.B. 798, which was declared obsolete by Rev. Rul. 2003-99, 2003-2 C.B. 388. </w:t>
      </w:r>
      <w:r>
        <w:rPr>
          <w:rFonts w:ascii="Times New Roman" w:hAnsi="Times New Roman"/>
          <w:sz w:val="16"/>
          <w:vertAlign w:val="superscript"/>
        </w:rPr>
        <w:t>8</w:t>
      </w:r>
      <w:r>
        <w:rPr>
          <w:rFonts w:ascii="Times New Roman" w:hAnsi="Times New Roman"/>
        </w:rPr>
        <w:t xml:space="preserve"> Moreover, Rev. Proc. 89-12, supra, makes no reference to allocation of partnership liabilities.</w:t>
      </w:r>
    </w:p>
    <w:p w14:paraId="1030E9D2" w14:textId="77777777" w:rsidR="00074A0E" w:rsidRDefault="00074A0E">
      <w:pPr>
        <w:widowControl/>
        <w:rPr>
          <w:rFonts w:ascii="Times New Roman" w:hAnsi="Times New Roman"/>
        </w:rPr>
      </w:pPr>
    </w:p>
    <w:p w14:paraId="3F86CC45" w14:textId="77777777" w:rsidR="00074A0E" w:rsidRDefault="00074A0E">
      <w:pPr>
        <w:widowControl/>
        <w:ind w:left="600"/>
        <w:jc w:val="both"/>
        <w:rPr>
          <w:rFonts w:ascii="Times New Roman" w:hAnsi="Times New Roman"/>
        </w:rPr>
      </w:pPr>
      <w:r>
        <w:rPr>
          <w:rFonts w:ascii="Times New Roman" w:hAnsi="Times New Roman"/>
        </w:rPr>
        <w:t>8   Rev. Proc. 89-12, sec. 4.07, 1989-1 C.B. 798, 801, states that the Internal Revenue Service will generally rule that an organization lacks limited liability if the net worth of the corporate general partners equals at least 10 percent of the total contributions to the limited partnership and is expected to continue to equal at least 10 percent throughout the life of the partnership.</w:t>
      </w:r>
    </w:p>
    <w:p w14:paraId="315748A3" w14:textId="77777777" w:rsidR="00074A0E" w:rsidRDefault="00074A0E">
      <w:pPr>
        <w:widowControl/>
        <w:spacing w:before="120"/>
        <w:ind w:firstLine="360"/>
        <w:jc w:val="both"/>
        <w:rPr>
          <w:rFonts w:ascii="Times New Roman" w:hAnsi="Times New Roman"/>
        </w:rPr>
      </w:pPr>
      <w:r>
        <w:rPr>
          <w:rFonts w:ascii="Times New Roman" w:hAnsi="Times New Roman"/>
        </w:rPr>
        <w:t>Chesapeake also sought to transfer the assets of WISMEX to the joint venture. PWC informed Chesapeake that neither the United States nor Mexico could tax (1) the transfer of WISMEX's assets to WISCO or (2) the asset transfer from WISCO to the joint venture. Chesapeake caused WISMEX to transfer its assets to WISCO as advised by PWC.</w:t>
      </w:r>
    </w:p>
    <w:p w14:paraId="7C8A5952" w14:textId="77777777" w:rsidR="00074A0E" w:rsidRDefault="00074A0E">
      <w:pPr>
        <w:widowControl/>
        <w:spacing w:before="120"/>
        <w:ind w:firstLine="360"/>
        <w:jc w:val="both"/>
        <w:rPr>
          <w:rFonts w:ascii="Times New Roman" w:hAnsi="Times New Roman"/>
        </w:rPr>
      </w:pPr>
      <w:r>
        <w:rPr>
          <w:rFonts w:ascii="Times New Roman" w:hAnsi="Times New Roman"/>
        </w:rPr>
        <w:t>Mr. Miller wrote and signed the "should" opinion before issuing it to Chesapeake. The parties effected the transaction on the same day PWC issued the "should" opinion.</w:t>
      </w:r>
    </w:p>
    <w:p w14:paraId="6291A343" w14:textId="77777777" w:rsidR="00074A0E" w:rsidRDefault="00074A0E">
      <w:pPr>
        <w:widowControl/>
        <w:rPr>
          <w:rFonts w:ascii="Times New Roman" w:hAnsi="Times New Roman"/>
        </w:rPr>
      </w:pPr>
    </w:p>
    <w:p w14:paraId="08312094" w14:textId="77777777" w:rsidR="00074A0E" w:rsidRPr="00E059C9" w:rsidRDefault="00074A0E">
      <w:pPr>
        <w:widowControl/>
        <w:jc w:val="both"/>
        <w:rPr>
          <w:rFonts w:ascii="Times New Roman" w:hAnsi="Times New Roman"/>
          <w:b/>
        </w:rPr>
      </w:pPr>
      <w:r w:rsidRPr="00E059C9">
        <w:rPr>
          <w:rFonts w:ascii="Times New Roman" w:hAnsi="Times New Roman"/>
          <w:b/>
        </w:rPr>
        <w:t xml:space="preserve">The Transaction </w:t>
      </w:r>
    </w:p>
    <w:p w14:paraId="5FBB7C12" w14:textId="362F84EE" w:rsidR="00074A0E" w:rsidRDefault="00074A0E">
      <w:pPr>
        <w:widowControl/>
        <w:spacing w:before="120"/>
        <w:ind w:firstLine="360"/>
        <w:jc w:val="both"/>
        <w:rPr>
          <w:rFonts w:ascii="Times New Roman" w:hAnsi="Times New Roman"/>
        </w:rPr>
      </w:pPr>
      <w:r>
        <w:rPr>
          <w:rFonts w:ascii="Times New Roman" w:hAnsi="Times New Roman"/>
        </w:rPr>
        <w:t>GP and WISCO formed Georgia-Pacific T</w:t>
      </w:r>
      <w:r w:rsidR="00E059C9">
        <w:rPr>
          <w:rFonts w:ascii="Times New Roman" w:hAnsi="Times New Roman"/>
        </w:rPr>
        <w:t xml:space="preserve">issue LLC (LLC) as the </w:t>
      </w:r>
      <w:proofErr w:type="gramStart"/>
      <w:r w:rsidR="00E059C9">
        <w:rPr>
          <w:rFonts w:ascii="Times New Roman" w:hAnsi="Times New Roman"/>
        </w:rPr>
        <w:t xml:space="preserve">vehicle </w:t>
      </w:r>
      <w:r>
        <w:rPr>
          <w:rFonts w:ascii="Times New Roman" w:hAnsi="Times New Roman"/>
        </w:rPr>
        <w:t xml:space="preserve"> for</w:t>
      </w:r>
      <w:proofErr w:type="gramEnd"/>
      <w:r>
        <w:rPr>
          <w:rFonts w:ascii="Times New Roman" w:hAnsi="Times New Roman"/>
        </w:rPr>
        <w:t xml:space="preserve"> the joint venture. GP and WISCO treated the LLC as a partnership for tax purposes. Both partners contributed the assets of their respective tissue businesses to the LLC. GP transferred to the LLC its tissue business assets with an agreed value of $376.4 million in exchange for a 95-percent interest in the LLC. WISCO contributed to the LLC all of the assets of its tissue business with an agreed value of $775 million in exchange for a 5-percent interest in the LLC. The LLC borrowed $755.2 million from Bank of America (BOA) on the same day it received the contributions from GP and WISCO. The LLC immediately transferred the loan proceeds to Chesapeake's bank account</w:t>
      </w:r>
      <w:r w:rsidR="00E059C9">
        <w:rPr>
          <w:rFonts w:ascii="Times New Roman" w:hAnsi="Times New Roman"/>
          <w:sz w:val="16"/>
          <w:vertAlign w:val="superscript"/>
        </w:rPr>
        <w:t xml:space="preserve"> </w:t>
      </w:r>
      <w:r>
        <w:rPr>
          <w:rFonts w:ascii="Times New Roman" w:hAnsi="Times New Roman"/>
        </w:rPr>
        <w:t xml:space="preserve">as a special cash distribution. </w:t>
      </w:r>
      <w:r>
        <w:rPr>
          <w:rFonts w:ascii="Times New Roman" w:hAnsi="Times New Roman"/>
          <w:sz w:val="16"/>
          <w:vertAlign w:val="superscript"/>
        </w:rPr>
        <w:t>10</w:t>
      </w:r>
      <w:r>
        <w:rPr>
          <w:rFonts w:ascii="Times New Roman" w:hAnsi="Times New Roman"/>
        </w:rPr>
        <w:t xml:space="preserve"> GP </w:t>
      </w:r>
      <w:r>
        <w:rPr>
          <w:rFonts w:ascii="Times New Roman" w:hAnsi="Times New Roman"/>
        </w:rPr>
        <w:t>guaranteed payment of the BOA loan, and WISCO agreed to indemnify GP for any principal payments GP might have to make under its guaranty.</w:t>
      </w:r>
    </w:p>
    <w:p w14:paraId="58BF4219" w14:textId="580B7082" w:rsidR="00074A0E" w:rsidRDefault="00074A0E" w:rsidP="00E059C9">
      <w:pPr>
        <w:widowControl/>
        <w:jc w:val="both"/>
        <w:rPr>
          <w:rFonts w:ascii="Times New Roman" w:hAnsi="Times New Roman"/>
        </w:rPr>
      </w:pPr>
    </w:p>
    <w:p w14:paraId="3C5793D2" w14:textId="77777777" w:rsidR="00074A0E" w:rsidRDefault="00074A0E">
      <w:pPr>
        <w:widowControl/>
        <w:ind w:left="600"/>
        <w:jc w:val="both"/>
        <w:rPr>
          <w:rFonts w:ascii="Times New Roman" w:hAnsi="Times New Roman"/>
        </w:rPr>
      </w:pPr>
      <w:r>
        <w:rPr>
          <w:rFonts w:ascii="Times New Roman" w:hAnsi="Times New Roman"/>
        </w:rPr>
        <w:t>10   The value of WISCO's assets contributed ($775 million) less the distribution ($755.2 million) equals the initial value of WISCO's 5-percent LLC interest ($19.8 million).</w:t>
      </w:r>
    </w:p>
    <w:p w14:paraId="06CEB7DC" w14:textId="49E80118" w:rsidR="00074A0E" w:rsidRDefault="00074A0E">
      <w:pPr>
        <w:widowControl/>
        <w:spacing w:before="120"/>
        <w:ind w:firstLine="360"/>
        <w:jc w:val="both"/>
        <w:rPr>
          <w:rFonts w:ascii="Times New Roman" w:hAnsi="Times New Roman"/>
        </w:rPr>
      </w:pPr>
      <w:r>
        <w:rPr>
          <w:rFonts w:ascii="Times New Roman" w:hAnsi="Times New Roman"/>
        </w:rPr>
        <w:t>The LLC had approximately $400 million in net worth based on the parties' combined initial contribution of assets ($1.</w:t>
      </w:r>
      <w:proofErr w:type="gramStart"/>
      <w:r>
        <w:rPr>
          <w:rFonts w:ascii="Times New Roman" w:hAnsi="Times New Roman"/>
        </w:rPr>
        <w:t>151  billion</w:t>
      </w:r>
      <w:proofErr w:type="gramEnd"/>
      <w:r>
        <w:rPr>
          <w:rFonts w:ascii="Times New Roman" w:hAnsi="Times New Roman"/>
        </w:rPr>
        <w:t>) less the BOA loan ($755.2 million), and it had a debt to equity ratio of around 2 to 1. The LLC assumed most of WISCO's liabilities but did not assume WISCO's Fox River liability. Chesapeake and WISCO both indemnified GP and held it harmless for any costs and claims that it might incur with respect to any retained liabilities of WISCO, including the Fox River liability.</w:t>
      </w:r>
    </w:p>
    <w:p w14:paraId="43701ADC" w14:textId="77777777" w:rsidR="00074A0E" w:rsidRDefault="00074A0E">
      <w:pPr>
        <w:widowControl/>
        <w:spacing w:before="120"/>
        <w:ind w:firstLine="360"/>
        <w:jc w:val="both"/>
        <w:rPr>
          <w:rFonts w:ascii="Times New Roman" w:hAnsi="Times New Roman"/>
        </w:rPr>
      </w:pPr>
      <w:r>
        <w:rPr>
          <w:rFonts w:ascii="Times New Roman" w:hAnsi="Times New Roman"/>
        </w:rPr>
        <w:t>WISCO used a portion of the funds from the special distribution to repay an intercompany loan to Cary Street, Chesapeake's finance subsidiary. WISCO also used portions of the funds to pay a dividend to Chesapeake, repay amounts owed to Chesapeake and lend $151.05 million to Chesapeake in exchange for a note (intercompany note). The intercompany note was a 5-year note with an 8-percent interest rate. Chesapeake used the loan proceeds to repay debt, repurchase stock and purchase additional specialty packaging assets.</w:t>
      </w:r>
    </w:p>
    <w:p w14:paraId="3EC33CA5" w14:textId="647ED5B3" w:rsidR="00074A0E" w:rsidRDefault="00074A0E">
      <w:pPr>
        <w:widowControl/>
        <w:spacing w:before="120"/>
        <w:ind w:firstLine="360"/>
        <w:jc w:val="both"/>
        <w:rPr>
          <w:rFonts w:ascii="Times New Roman" w:hAnsi="Times New Roman"/>
        </w:rPr>
      </w:pPr>
      <w:r>
        <w:rPr>
          <w:rFonts w:ascii="Times New Roman" w:hAnsi="Times New Roman"/>
        </w:rPr>
        <w:t xml:space="preserve">WISCO's assets following the transaction included the intercompany note with a face value of $151 million and a corporate jet worth approximately $6 million. WISCO had a net worth, excluding its LLC interest, of approximately $157 million. This represented 21 percent of its maximum exposure on </w:t>
      </w:r>
      <w:proofErr w:type="gramStart"/>
      <w:r>
        <w:rPr>
          <w:rFonts w:ascii="Times New Roman" w:hAnsi="Times New Roman"/>
        </w:rPr>
        <w:t>the  indemnity</w:t>
      </w:r>
      <w:proofErr w:type="gramEnd"/>
      <w:r>
        <w:rPr>
          <w:rFonts w:ascii="Times New Roman" w:hAnsi="Times New Roman"/>
        </w:rPr>
        <w:t>. WISCO remained subject to the Fox River liability.</w:t>
      </w:r>
    </w:p>
    <w:p w14:paraId="62FA4DCC" w14:textId="77777777" w:rsidR="00074A0E" w:rsidRDefault="00074A0E">
      <w:pPr>
        <w:widowControl/>
        <w:rPr>
          <w:rFonts w:ascii="Times New Roman" w:hAnsi="Times New Roman"/>
        </w:rPr>
      </w:pPr>
    </w:p>
    <w:p w14:paraId="37876C5E" w14:textId="77777777" w:rsidR="00074A0E" w:rsidRPr="00E059C9" w:rsidRDefault="00074A0E">
      <w:pPr>
        <w:widowControl/>
        <w:jc w:val="both"/>
        <w:rPr>
          <w:rFonts w:ascii="Times New Roman" w:hAnsi="Times New Roman"/>
          <w:b/>
        </w:rPr>
      </w:pPr>
      <w:r w:rsidRPr="00E059C9">
        <w:rPr>
          <w:rFonts w:ascii="Times New Roman" w:hAnsi="Times New Roman"/>
          <w:b/>
        </w:rPr>
        <w:t xml:space="preserve">Refinancing the Debt </w:t>
      </w:r>
    </w:p>
    <w:p w14:paraId="61552325" w14:textId="77777777" w:rsidR="00074A0E" w:rsidRDefault="00074A0E">
      <w:pPr>
        <w:widowControl/>
        <w:spacing w:before="120"/>
        <w:ind w:firstLine="360"/>
        <w:jc w:val="both"/>
        <w:rPr>
          <w:rFonts w:ascii="Times New Roman" w:hAnsi="Times New Roman"/>
        </w:rPr>
      </w:pPr>
      <w:r>
        <w:rPr>
          <w:rFonts w:ascii="Times New Roman" w:hAnsi="Times New Roman"/>
        </w:rPr>
        <w:t>The LLC refinanced the BOA loan in two parts soon after the transaction closed. First, the LLC borrowed approximately $491 million from a GP subsidiary, Georgia-Pacific Finance LLC (GP Finance) to partially retire the BOA loan. This transaction occurred about a month after the closing date. Then the LLC borrowed $263 million from GP Finance the following year to repay the balance on the BOA loan.</w:t>
      </w:r>
    </w:p>
    <w:p w14:paraId="1A3229D8" w14:textId="77777777" w:rsidR="00074A0E" w:rsidRDefault="00074A0E">
      <w:pPr>
        <w:widowControl/>
        <w:spacing w:before="120"/>
        <w:ind w:firstLine="360"/>
        <w:jc w:val="both"/>
        <w:rPr>
          <w:rFonts w:ascii="Times New Roman" w:hAnsi="Times New Roman"/>
        </w:rPr>
      </w:pPr>
      <w:r>
        <w:rPr>
          <w:rFonts w:ascii="Times New Roman" w:hAnsi="Times New Roman"/>
        </w:rPr>
        <w:t>The GP Finance loans had terms similar to those of the BOA loans. GP executed a substantially identical guaranty in favor of the new lender, and WISCO executed a substantially identical indemnity obligation. PWC issued another opinion finding that the refinancing was tax free as well.</w:t>
      </w:r>
    </w:p>
    <w:p w14:paraId="117C106C" w14:textId="77777777" w:rsidR="00074A0E" w:rsidRDefault="00074A0E">
      <w:pPr>
        <w:widowControl/>
        <w:rPr>
          <w:rFonts w:ascii="Times New Roman" w:hAnsi="Times New Roman"/>
        </w:rPr>
      </w:pPr>
    </w:p>
    <w:p w14:paraId="5F8EC79D" w14:textId="77777777" w:rsidR="00074A0E" w:rsidRPr="00E059C9" w:rsidRDefault="00074A0E">
      <w:pPr>
        <w:widowControl/>
        <w:jc w:val="both"/>
        <w:rPr>
          <w:rFonts w:ascii="Times New Roman" w:hAnsi="Times New Roman"/>
          <w:b/>
        </w:rPr>
      </w:pPr>
      <w:r w:rsidRPr="00E059C9">
        <w:rPr>
          <w:rFonts w:ascii="Times New Roman" w:hAnsi="Times New Roman"/>
          <w:b/>
        </w:rPr>
        <w:lastRenderedPageBreak/>
        <w:t xml:space="preserve">Characterization of the Transaction for Tax and Non-Tax Purposes </w:t>
      </w:r>
    </w:p>
    <w:p w14:paraId="038CBDB6" w14:textId="0868F89D" w:rsidR="00074A0E" w:rsidRDefault="00E059C9">
      <w:pPr>
        <w:widowControl/>
        <w:spacing w:before="120"/>
        <w:ind w:firstLine="360"/>
        <w:jc w:val="both"/>
        <w:rPr>
          <w:rFonts w:ascii="Times New Roman" w:hAnsi="Times New Roman"/>
        </w:rPr>
      </w:pPr>
      <w:r>
        <w:rPr>
          <w:rFonts w:ascii="Times New Roman" w:hAnsi="Times New Roman"/>
        </w:rPr>
        <w:t xml:space="preserve"> </w:t>
      </w:r>
      <w:r w:rsidR="00074A0E">
        <w:rPr>
          <w:rFonts w:ascii="Times New Roman" w:hAnsi="Times New Roman"/>
        </w:rPr>
        <w:t xml:space="preserve"> Chesapeake disclosed the transaction on Schedule M of the return and reported $377,092,299 book gain but no corresponding tax gain. Chesapeake treated the special distribution as non-taxable on the theory that it was a debt-financed transfer of consideration, not the proceeds of a sale.</w:t>
      </w:r>
    </w:p>
    <w:p w14:paraId="4956A344" w14:textId="341DB219" w:rsidR="00074A0E" w:rsidRDefault="00E059C9">
      <w:pPr>
        <w:widowControl/>
        <w:spacing w:before="120"/>
        <w:ind w:firstLine="360"/>
        <w:jc w:val="both"/>
        <w:rPr>
          <w:rFonts w:ascii="Times New Roman" w:hAnsi="Times New Roman"/>
        </w:rPr>
      </w:pPr>
      <w:r>
        <w:rPr>
          <w:rFonts w:ascii="Times New Roman" w:hAnsi="Times New Roman"/>
        </w:rPr>
        <w:t xml:space="preserve">Unlike its treatment </w:t>
      </w:r>
      <w:r w:rsidR="00074A0E">
        <w:rPr>
          <w:rFonts w:ascii="Times New Roman" w:hAnsi="Times New Roman"/>
        </w:rPr>
        <w:t>for tax purposes, Chesapeake treated the transaction as a sale for financial accounting purposes. Chesapeake did not treat the indemnity obligation as a liability for accounting purposes because Chesapeake determined that there was no more than a remote chance the indemnity would be triggered. Despite Chesapeake's characterization for tax purposes, PWC and Salomon each referred to the transaction as a sale.</w:t>
      </w:r>
    </w:p>
    <w:p w14:paraId="1BC251BB" w14:textId="77777777" w:rsidR="00074A0E" w:rsidRDefault="00074A0E">
      <w:pPr>
        <w:widowControl/>
        <w:spacing w:before="120"/>
        <w:ind w:firstLine="360"/>
        <w:jc w:val="both"/>
        <w:rPr>
          <w:rFonts w:ascii="Times New Roman" w:hAnsi="Times New Roman"/>
        </w:rPr>
      </w:pPr>
      <w:r>
        <w:rPr>
          <w:rFonts w:ascii="Times New Roman" w:hAnsi="Times New Roman"/>
        </w:rPr>
        <w:t>Standard &amp; Poor's, Moody's and stock analysts also treated the transaction as a sale. Chesapeake executives represented to Standard &amp; Poor's and Moody's that the only risk associated with the transaction came not from WISCO's agreement to indemnify GP but from the tax risk. Moody's downgraded Chesapeake after the announced joint venture because of Chesapeake's readjusted focus, the monetization of WISCO, and the resulting loss of operating income. Standard &amp; Poor's kept its rating of Chesapeake the same because Chesapeake generated significant cash by divesting itself of WISCO for $755 million and of its timberlands for $186 million.</w:t>
      </w:r>
    </w:p>
    <w:p w14:paraId="08C6273D" w14:textId="77777777" w:rsidR="00074A0E" w:rsidRDefault="00074A0E">
      <w:pPr>
        <w:widowControl/>
        <w:rPr>
          <w:rFonts w:ascii="Times New Roman" w:hAnsi="Times New Roman"/>
        </w:rPr>
      </w:pPr>
    </w:p>
    <w:p w14:paraId="34DBFA65" w14:textId="77777777" w:rsidR="00074A0E" w:rsidRPr="00E059C9" w:rsidRDefault="00074A0E">
      <w:pPr>
        <w:widowControl/>
        <w:jc w:val="both"/>
        <w:rPr>
          <w:rFonts w:ascii="Times New Roman" w:hAnsi="Times New Roman"/>
          <w:b/>
        </w:rPr>
      </w:pPr>
      <w:r w:rsidRPr="00E059C9">
        <w:rPr>
          <w:rFonts w:ascii="Times New Roman" w:hAnsi="Times New Roman"/>
          <w:b/>
        </w:rPr>
        <w:t xml:space="preserve">End of the Joint Venture </w:t>
      </w:r>
    </w:p>
    <w:p w14:paraId="7621C71C" w14:textId="7A8D7011" w:rsidR="00074A0E" w:rsidRDefault="00074A0E">
      <w:pPr>
        <w:widowControl/>
        <w:spacing w:before="120"/>
        <w:ind w:firstLine="360"/>
        <w:jc w:val="both"/>
        <w:rPr>
          <w:rFonts w:ascii="Times New Roman" w:hAnsi="Times New Roman"/>
        </w:rPr>
      </w:pPr>
      <w:r>
        <w:rPr>
          <w:rFonts w:ascii="Times New Roman" w:hAnsi="Times New Roman"/>
        </w:rPr>
        <w:t xml:space="preserve">The joint venture operated for only a full year. It ended in 2001 when GP sought to acquire the Fort James Corporation. The </w:t>
      </w:r>
      <w:proofErr w:type="gramStart"/>
      <w:r>
        <w:rPr>
          <w:rFonts w:ascii="Times New Roman" w:hAnsi="Times New Roman"/>
        </w:rPr>
        <w:t xml:space="preserve">Department </w:t>
      </w:r>
      <w:r w:rsidR="00E059C9">
        <w:rPr>
          <w:rFonts w:ascii="Times New Roman" w:hAnsi="Times New Roman"/>
        </w:rPr>
        <w:t xml:space="preserve"> </w:t>
      </w:r>
      <w:r>
        <w:rPr>
          <w:rFonts w:ascii="Times New Roman" w:hAnsi="Times New Roman"/>
        </w:rPr>
        <w:t>of</w:t>
      </w:r>
      <w:proofErr w:type="gramEnd"/>
      <w:r>
        <w:rPr>
          <w:rFonts w:ascii="Times New Roman" w:hAnsi="Times New Roman"/>
        </w:rPr>
        <w:t xml:space="preserve"> Justice required GP to sell its LLC interest for antitrust purposes. GP contacted Svenska </w:t>
      </w:r>
      <w:proofErr w:type="spellStart"/>
      <w:r>
        <w:rPr>
          <w:rFonts w:ascii="Times New Roman" w:hAnsi="Times New Roman"/>
        </w:rPr>
        <w:t>Cellulosa</w:t>
      </w:r>
      <w:proofErr w:type="spellEnd"/>
      <w:r>
        <w:rPr>
          <w:rFonts w:ascii="Times New Roman" w:hAnsi="Times New Roman"/>
        </w:rPr>
        <w:t xml:space="preserve"> </w:t>
      </w:r>
      <w:proofErr w:type="spellStart"/>
      <w:r>
        <w:rPr>
          <w:rFonts w:ascii="Times New Roman" w:hAnsi="Times New Roman"/>
        </w:rPr>
        <w:t>Aktiebolaget</w:t>
      </w:r>
      <w:proofErr w:type="spellEnd"/>
      <w:r>
        <w:rPr>
          <w:rFonts w:ascii="Times New Roman" w:hAnsi="Times New Roman"/>
        </w:rPr>
        <w:t xml:space="preserve"> (SCA), a Swedish company, about purchasing its LLC interest. SCA informed GP that it was interested in purchasing only the entire LLC, not just GP's interest in the LLC. Therefore, GP needed to buy WISCO's interest in the joint venture. WISCO agreed to sell its minority interest in the LLC to GP for $41 million, which represented a gain of $21.2 million from its initial valuation of $19.8 million. GP also paid Chesapeake $196 million to compensate Chesapeake for any loss of tax deferral. WISCO declared a $166,080,510 dividend to Chesapeake payable by cancelling Chesapeake's promissory note in 2001.</w:t>
      </w:r>
    </w:p>
    <w:p w14:paraId="08E075E3" w14:textId="77777777" w:rsidR="00074A0E" w:rsidRDefault="00074A0E">
      <w:pPr>
        <w:widowControl/>
        <w:spacing w:before="120"/>
        <w:ind w:firstLine="360"/>
        <w:jc w:val="both"/>
        <w:rPr>
          <w:rFonts w:ascii="Times New Roman" w:hAnsi="Times New Roman"/>
        </w:rPr>
      </w:pPr>
      <w:r>
        <w:rPr>
          <w:rFonts w:ascii="Times New Roman" w:hAnsi="Times New Roman"/>
        </w:rPr>
        <w:t>Chesapeake reported a $524 million capital gain on its consolidated Federal tax return for 2001. Chesapeake determined that the termination of the indemnity resulted in WISCO receiving a deemed distribution under section 752. Chesapeake also reported the $196 million tax cost payment it received from GP as ordinary income on its consolidated Federal tax return for 2001.</w:t>
      </w:r>
    </w:p>
    <w:p w14:paraId="26172A8E" w14:textId="737424EA" w:rsidR="00074A0E" w:rsidRDefault="00074A0E">
      <w:pPr>
        <w:widowControl/>
        <w:spacing w:before="120"/>
        <w:ind w:firstLine="360"/>
        <w:jc w:val="both"/>
        <w:rPr>
          <w:rFonts w:ascii="Times New Roman" w:hAnsi="Times New Roman"/>
        </w:rPr>
      </w:pPr>
      <w:r>
        <w:rPr>
          <w:rFonts w:ascii="Times New Roman" w:hAnsi="Times New Roman"/>
        </w:rPr>
        <w:t xml:space="preserve">Respondent issued Chesapeake the deficiency notice for 1999. In the deficiency notice, respondent determined  </w:t>
      </w:r>
      <w:r w:rsidR="00E059C9">
        <w:rPr>
          <w:rFonts w:ascii="Times New Roman" w:hAnsi="Times New Roman"/>
        </w:rPr>
        <w:t xml:space="preserve"> </w:t>
      </w:r>
      <w:r>
        <w:rPr>
          <w:rFonts w:ascii="Times New Roman" w:hAnsi="Times New Roman"/>
        </w:rPr>
        <w:t xml:space="preserve"> the joint venture transaction to be a disguised sale that produced $524 million of capital gain includable in Chesapeake's consolidated income for 1999. Chesapeake timely filed a petition. Respondent asserted in an amended answer a $36,691,796 accuracy-related penalty under section 6662 for substantial understatement of income tax.</w:t>
      </w:r>
    </w:p>
    <w:p w14:paraId="61C8600D" w14:textId="77777777" w:rsidR="00074A0E" w:rsidRDefault="00074A0E">
      <w:pPr>
        <w:widowControl/>
        <w:rPr>
          <w:rFonts w:ascii="Times New Roman" w:hAnsi="Times New Roman"/>
        </w:rPr>
      </w:pPr>
    </w:p>
    <w:p w14:paraId="5F19C416" w14:textId="77777777" w:rsidR="00074A0E" w:rsidRPr="00E059C9" w:rsidRDefault="00074A0E">
      <w:pPr>
        <w:widowControl/>
        <w:jc w:val="both"/>
        <w:rPr>
          <w:rFonts w:ascii="Times New Roman" w:hAnsi="Times New Roman"/>
          <w:b/>
        </w:rPr>
      </w:pPr>
      <w:r w:rsidRPr="00E059C9">
        <w:rPr>
          <w:rFonts w:ascii="Times New Roman" w:hAnsi="Times New Roman"/>
          <w:b/>
        </w:rPr>
        <w:t xml:space="preserve">OPINION </w:t>
      </w:r>
    </w:p>
    <w:p w14:paraId="7A84795F" w14:textId="6040A380" w:rsidR="00074A0E" w:rsidRDefault="00074A0E">
      <w:pPr>
        <w:widowControl/>
        <w:spacing w:before="120"/>
        <w:ind w:firstLine="360"/>
        <w:jc w:val="both"/>
        <w:rPr>
          <w:rFonts w:ascii="Times New Roman" w:hAnsi="Times New Roman"/>
        </w:rPr>
      </w:pPr>
      <w:r>
        <w:rPr>
          <w:rFonts w:ascii="Times New Roman" w:hAnsi="Times New Roman"/>
        </w:rPr>
        <w:t>We are asked to decide whether the joint venture transaction constituted a taxable sale. Respondent argues that Chesapeake structured the transaction to defer $524 million of capital gain for a period of 30 years or more. Specifically, respondent contends that WISCO did not bear any economic risk of loss when it entered the joint venture agreement because the anti-abuse rule disregards WISCO's obligation to ind</w:t>
      </w:r>
      <w:r w:rsidR="00E059C9">
        <w:rPr>
          <w:rFonts w:ascii="Times New Roman" w:hAnsi="Times New Roman"/>
        </w:rPr>
        <w:t>emnify GP. See 1.752-2(j).</w:t>
      </w:r>
      <w:r>
        <w:rPr>
          <w:rFonts w:ascii="Times New Roman" w:hAnsi="Times New Roman"/>
        </w:rPr>
        <w:t xml:space="preserve"> Respondent concludes that the transaction should be treated as a taxable disguised sale.</w:t>
      </w:r>
    </w:p>
    <w:p w14:paraId="47313B9B" w14:textId="2ACD4E07" w:rsidR="00074A0E" w:rsidRDefault="00074A0E">
      <w:pPr>
        <w:widowControl/>
        <w:spacing w:before="120"/>
        <w:ind w:firstLine="360"/>
        <w:jc w:val="both"/>
        <w:rPr>
          <w:rFonts w:ascii="Times New Roman" w:hAnsi="Times New Roman"/>
        </w:rPr>
      </w:pPr>
      <w:r>
        <w:rPr>
          <w:rFonts w:ascii="Times New Roman" w:hAnsi="Times New Roman"/>
        </w:rPr>
        <w:t>Chesapeake asserts that the transaction should not be recast as a sale. Instead, Chesapeake argues that the anti-abuse rule does not disregard WISCO's indemnity and that the LLC s distribution of cash to WISCO comes within the exception for debt-financed transfers. We disagree and begin with the general rules   on disguised sales.</w:t>
      </w:r>
    </w:p>
    <w:p w14:paraId="46C87A28" w14:textId="77777777" w:rsidR="00074A0E" w:rsidRDefault="00074A0E">
      <w:pPr>
        <w:widowControl/>
        <w:rPr>
          <w:rFonts w:ascii="Times New Roman" w:hAnsi="Times New Roman"/>
        </w:rPr>
      </w:pPr>
    </w:p>
    <w:p w14:paraId="14032A00" w14:textId="77777777" w:rsidR="00074A0E" w:rsidRPr="00E059C9" w:rsidRDefault="00074A0E">
      <w:pPr>
        <w:widowControl/>
        <w:jc w:val="both"/>
        <w:rPr>
          <w:rFonts w:ascii="Times New Roman" w:hAnsi="Times New Roman"/>
          <w:b/>
        </w:rPr>
      </w:pPr>
      <w:r w:rsidRPr="00E059C9">
        <w:rPr>
          <w:rFonts w:ascii="Times New Roman" w:hAnsi="Times New Roman"/>
          <w:b/>
        </w:rPr>
        <w:t xml:space="preserve">I. Disguised Sale Transactions </w:t>
      </w:r>
    </w:p>
    <w:p w14:paraId="586EF0D4" w14:textId="242DFFC3" w:rsidR="00074A0E" w:rsidRDefault="00074A0E">
      <w:pPr>
        <w:widowControl/>
        <w:spacing w:before="120"/>
        <w:ind w:firstLine="360"/>
        <w:jc w:val="both"/>
        <w:rPr>
          <w:rFonts w:ascii="Times New Roman" w:hAnsi="Times New Roman"/>
        </w:rPr>
      </w:pPr>
      <w:r>
        <w:rPr>
          <w:rFonts w:ascii="Times New Roman" w:hAnsi="Times New Roman"/>
        </w:rPr>
        <w:t xml:space="preserve">The Code provides generally that partners may contribute capital to a partnership tax free and may receive a </w:t>
      </w:r>
      <w:proofErr w:type="gramStart"/>
      <w:r>
        <w:rPr>
          <w:rFonts w:ascii="Times New Roman" w:hAnsi="Times New Roman"/>
        </w:rPr>
        <w:t>tax free</w:t>
      </w:r>
      <w:proofErr w:type="gramEnd"/>
      <w:r>
        <w:rPr>
          <w:rFonts w:ascii="Times New Roman" w:hAnsi="Times New Roman"/>
        </w:rPr>
        <w:t xml:space="preserve"> return of previously taxed profits through distributions. </w:t>
      </w:r>
      <w:r w:rsidR="00E059C9">
        <w:rPr>
          <w:rFonts w:ascii="Times New Roman" w:hAnsi="Times New Roman"/>
        </w:rPr>
        <w:t xml:space="preserve"> </w:t>
      </w:r>
      <w:r>
        <w:rPr>
          <w:rFonts w:ascii="Times New Roman" w:hAnsi="Times New Roman"/>
        </w:rPr>
        <w:t xml:space="preserve">These nonrecognition rules do not apply, however, where the transaction is found to be a disguised sale of property. See sec. 707(a)(2)(B). </w:t>
      </w:r>
    </w:p>
    <w:p w14:paraId="38FAA46D" w14:textId="77F6EF3E" w:rsidR="00074A0E" w:rsidRDefault="00074A0E" w:rsidP="00E059C9">
      <w:pPr>
        <w:widowControl/>
        <w:spacing w:before="120"/>
        <w:ind w:firstLine="360"/>
        <w:jc w:val="both"/>
        <w:rPr>
          <w:rFonts w:ascii="Times New Roman" w:hAnsi="Times New Roman"/>
        </w:rPr>
      </w:pPr>
      <w:r>
        <w:rPr>
          <w:rFonts w:ascii="Times New Roman" w:hAnsi="Times New Roman"/>
        </w:rPr>
        <w:t>A disguised sale may occur when a partner contrib</w:t>
      </w:r>
      <w:r w:rsidR="00E059C9">
        <w:rPr>
          <w:rFonts w:ascii="Times New Roman" w:hAnsi="Times New Roman"/>
        </w:rPr>
        <w:t xml:space="preserve">utes </w:t>
      </w:r>
      <w:r>
        <w:rPr>
          <w:rFonts w:ascii="Times New Roman" w:hAnsi="Times New Roman"/>
        </w:rPr>
        <w:t>property to a partnership and soon thereafter receives a distribution of money or other consideration from the partnership. Id. A transaction may be deemed a sale if, based on all the facts and circumstances, the partnership's distribution of money or other consideration to the partner would not have been made but for the partner's transfer of the property. Sec. 1.707-3(b)(1</w:t>
      </w:r>
      <w:r w:rsidR="002D6E21">
        <w:rPr>
          <w:rFonts w:ascii="Times New Roman" w:hAnsi="Times New Roman"/>
        </w:rPr>
        <w:t xml:space="preserve">). </w:t>
      </w:r>
      <w:r>
        <w:rPr>
          <w:rFonts w:ascii="Times New Roman" w:hAnsi="Times New Roman"/>
        </w:rPr>
        <w:t xml:space="preserve">Such contribution and distribution transactions that occur within two years of one another are presumed to </w:t>
      </w:r>
      <w:proofErr w:type="gramStart"/>
      <w:r>
        <w:rPr>
          <w:rFonts w:ascii="Times New Roman" w:hAnsi="Times New Roman"/>
        </w:rPr>
        <w:t>effect</w:t>
      </w:r>
      <w:proofErr w:type="gramEnd"/>
      <w:r>
        <w:rPr>
          <w:rFonts w:ascii="Times New Roman" w:hAnsi="Times New Roman"/>
        </w:rPr>
        <w:t xml:space="preserve"> a sale unless the facts and circumstances clearly establish otherwise (the 2-year presumption). Sec. 1.707-3(c)(1.</w:t>
      </w:r>
    </w:p>
    <w:p w14:paraId="0282B1C2" w14:textId="77777777" w:rsidR="00074A0E" w:rsidRDefault="00074A0E">
      <w:pPr>
        <w:widowControl/>
        <w:spacing w:before="120"/>
        <w:ind w:firstLine="360"/>
        <w:jc w:val="both"/>
        <w:rPr>
          <w:rFonts w:ascii="Times New Roman" w:hAnsi="Times New Roman"/>
        </w:rPr>
      </w:pPr>
      <w:r>
        <w:rPr>
          <w:rFonts w:ascii="Times New Roman" w:hAnsi="Times New Roman"/>
        </w:rPr>
        <w:t xml:space="preserve">Here, WISCO transferred its assets with an agreed value of $775 million to the LLC and simultaneously received a cash distribution of $755.2 million. After the transfer and distribution, WISCO had a 5-percent interest in the LLC. Its assets included only its interest in the LLC, the intercompany note and the jet. We therefore view the </w:t>
      </w:r>
      <w:r>
        <w:rPr>
          <w:rFonts w:ascii="Times New Roman" w:hAnsi="Times New Roman"/>
        </w:rPr>
        <w:lastRenderedPageBreak/>
        <w:t>transactions together and presume a sale under the disguised sale rules unless the facts and circumstances dictate otherwise.</w:t>
      </w:r>
    </w:p>
    <w:p w14:paraId="6AEA0FE1" w14:textId="788C9997" w:rsidR="00074A0E" w:rsidRDefault="00074A0E">
      <w:pPr>
        <w:widowControl/>
        <w:spacing w:before="120"/>
        <w:ind w:firstLine="360"/>
        <w:jc w:val="both"/>
        <w:rPr>
          <w:rFonts w:ascii="Times New Roman" w:hAnsi="Times New Roman"/>
        </w:rPr>
      </w:pPr>
      <w:r>
        <w:rPr>
          <w:rFonts w:ascii="Times New Roman" w:hAnsi="Times New Roman"/>
        </w:rPr>
        <w:t>Chesapeake contends that the special distributi</w:t>
      </w:r>
      <w:r w:rsidR="002D6E21">
        <w:rPr>
          <w:rFonts w:ascii="Times New Roman" w:hAnsi="Times New Roman"/>
        </w:rPr>
        <w:t xml:space="preserve">on was not part of a </w:t>
      </w:r>
      <w:proofErr w:type="gramStart"/>
      <w:r w:rsidR="002D6E21">
        <w:rPr>
          <w:rFonts w:ascii="Times New Roman" w:hAnsi="Times New Roman"/>
        </w:rPr>
        <w:t xml:space="preserve">disguised </w:t>
      </w:r>
      <w:r>
        <w:rPr>
          <w:rFonts w:ascii="Times New Roman" w:hAnsi="Times New Roman"/>
        </w:rPr>
        <w:t xml:space="preserve"> sale</w:t>
      </w:r>
      <w:proofErr w:type="gramEnd"/>
      <w:r>
        <w:rPr>
          <w:rFonts w:ascii="Times New Roman" w:hAnsi="Times New Roman"/>
        </w:rPr>
        <w:t>. Instead, it was a debt-financed transfer of consideration, an exception to the disguised sale rules. See sec. 1.707-5(b</w:t>
      </w:r>
      <w:r w:rsidR="002D6E21">
        <w:rPr>
          <w:rFonts w:ascii="Times New Roman" w:hAnsi="Times New Roman"/>
        </w:rPr>
        <w:t>)</w:t>
      </w:r>
      <w:r>
        <w:rPr>
          <w:rFonts w:ascii="Times New Roman" w:hAnsi="Times New Roman"/>
        </w:rPr>
        <w:t>. Chesapeake argues that the debt-financed transfer of consideration exception to the disguised sale rules limits the applicability of the disguised sale rules and the 2-year presumption in this case.</w:t>
      </w:r>
    </w:p>
    <w:p w14:paraId="3070119E" w14:textId="77777777" w:rsidR="00074A0E" w:rsidRDefault="00074A0E">
      <w:pPr>
        <w:widowControl/>
        <w:rPr>
          <w:rFonts w:ascii="Times New Roman" w:hAnsi="Times New Roman"/>
        </w:rPr>
      </w:pPr>
    </w:p>
    <w:p w14:paraId="5660B3F0" w14:textId="77777777" w:rsidR="00074A0E" w:rsidRPr="00FF513E" w:rsidRDefault="00074A0E">
      <w:pPr>
        <w:widowControl/>
        <w:jc w:val="both"/>
        <w:rPr>
          <w:rFonts w:ascii="Times New Roman" w:hAnsi="Times New Roman"/>
          <w:b/>
        </w:rPr>
      </w:pPr>
      <w:r w:rsidRPr="00FF513E">
        <w:rPr>
          <w:rFonts w:ascii="Times New Roman" w:hAnsi="Times New Roman"/>
          <w:b/>
        </w:rPr>
        <w:t xml:space="preserve">A. Debt-Financed Transfer of Consideration </w:t>
      </w:r>
    </w:p>
    <w:p w14:paraId="6FF627FA" w14:textId="27EC27CE" w:rsidR="00074A0E" w:rsidRDefault="00074A0E" w:rsidP="00CD538D">
      <w:pPr>
        <w:widowControl/>
        <w:spacing w:before="120"/>
        <w:ind w:firstLine="360"/>
        <w:jc w:val="both"/>
        <w:rPr>
          <w:rFonts w:ascii="Times New Roman" w:hAnsi="Times New Roman"/>
        </w:rPr>
      </w:pPr>
      <w:r>
        <w:rPr>
          <w:rFonts w:ascii="Times New Roman" w:hAnsi="Times New Roman"/>
        </w:rPr>
        <w:t>We now turn to the debt-financed transfer of consideration exception to the disguised sale rules. The regulations except certain debt-financed distributions in determining whether a partner received "money or other consideration" for disguised sale purposes</w:t>
      </w:r>
      <w:r w:rsidR="00FF513E">
        <w:rPr>
          <w:rFonts w:ascii="Times New Roman" w:hAnsi="Times New Roman"/>
        </w:rPr>
        <w:t xml:space="preserve">. </w:t>
      </w:r>
      <w:r>
        <w:rPr>
          <w:rFonts w:ascii="Times New Roman" w:hAnsi="Times New Roman"/>
        </w:rPr>
        <w:t xml:space="preserve">A distribution financed from the proceeds of a partnership liability may be taken into account for disguised sale purposes to the extent the distribution exceeds the </w:t>
      </w:r>
      <w:proofErr w:type="spellStart"/>
      <w:r>
        <w:rPr>
          <w:rFonts w:ascii="Times New Roman" w:hAnsi="Times New Roman"/>
        </w:rPr>
        <w:t>distributee</w:t>
      </w:r>
      <w:proofErr w:type="spellEnd"/>
      <w:r>
        <w:rPr>
          <w:rFonts w:ascii="Times New Roman" w:hAnsi="Times New Roman"/>
        </w:rPr>
        <w:t xml:space="preserve"> partner's allocable share of the partnership liabil</w:t>
      </w:r>
      <w:r w:rsidR="00594482">
        <w:rPr>
          <w:rFonts w:ascii="Times New Roman" w:hAnsi="Times New Roman"/>
        </w:rPr>
        <w:t>ity. See sec. 1.707-5(b)(1)</w:t>
      </w:r>
      <w:r>
        <w:rPr>
          <w:rFonts w:ascii="Times New Roman" w:hAnsi="Times New Roman"/>
        </w:rPr>
        <w:t xml:space="preserve">. Respondent argues that the entire distribution from the LLC to WISCO should be taken into account for purposes of determining a disguised sale because WISCO did not bear any of the allocable share of the LLC's liability to finance the distribution. We turn now to </w:t>
      </w:r>
      <w:proofErr w:type="gramStart"/>
      <w:r>
        <w:rPr>
          <w:rFonts w:ascii="Times New Roman" w:hAnsi="Times New Roman"/>
        </w:rPr>
        <w:t>whether  WISCO</w:t>
      </w:r>
      <w:proofErr w:type="gramEnd"/>
      <w:r>
        <w:rPr>
          <w:rFonts w:ascii="Times New Roman" w:hAnsi="Times New Roman"/>
        </w:rPr>
        <w:t xml:space="preserve"> had any allocable share of the LLC's liability to determine whether the transaction fits within the exception.</w:t>
      </w:r>
    </w:p>
    <w:p w14:paraId="5168A206" w14:textId="77777777" w:rsidR="00074A0E" w:rsidRDefault="00074A0E">
      <w:pPr>
        <w:widowControl/>
        <w:rPr>
          <w:rFonts w:ascii="Times New Roman" w:hAnsi="Times New Roman"/>
        </w:rPr>
      </w:pPr>
    </w:p>
    <w:p w14:paraId="6D057F9B" w14:textId="1609E206" w:rsidR="00074A0E" w:rsidRPr="00C830DD" w:rsidRDefault="00074A0E" w:rsidP="00C830DD">
      <w:pPr>
        <w:widowControl/>
        <w:jc w:val="both"/>
        <w:rPr>
          <w:rFonts w:ascii="Times New Roman" w:hAnsi="Times New Roman"/>
          <w:b/>
        </w:rPr>
      </w:pPr>
      <w:r w:rsidRPr="00FF513E">
        <w:rPr>
          <w:rFonts w:ascii="Times New Roman" w:hAnsi="Times New Roman"/>
          <w:b/>
        </w:rPr>
        <w:t>B. Partner's Allocable Share of Liability</w:t>
      </w:r>
    </w:p>
    <w:p w14:paraId="06FD4FCE" w14:textId="13603B74" w:rsidR="00074A0E" w:rsidRDefault="00074A0E">
      <w:pPr>
        <w:widowControl/>
        <w:spacing w:before="120"/>
        <w:ind w:firstLine="360"/>
        <w:jc w:val="both"/>
        <w:rPr>
          <w:rFonts w:ascii="Times New Roman" w:hAnsi="Times New Roman"/>
        </w:rPr>
      </w:pPr>
      <w:r>
        <w:rPr>
          <w:rFonts w:ascii="Times New Roman" w:hAnsi="Times New Roman"/>
        </w:rPr>
        <w:t>In general a partner's share of a recourse partnership liability equals the portion of that liability, if any</w:t>
      </w:r>
      <w:r w:rsidR="00C830DD">
        <w:rPr>
          <w:rFonts w:ascii="Times New Roman" w:hAnsi="Times New Roman"/>
        </w:rPr>
        <w:t xml:space="preserve">, for </w:t>
      </w:r>
      <w:proofErr w:type="gramStart"/>
      <w:r w:rsidR="00C830DD">
        <w:rPr>
          <w:rFonts w:ascii="Times New Roman" w:hAnsi="Times New Roman"/>
        </w:rPr>
        <w:t xml:space="preserve">which  </w:t>
      </w:r>
      <w:r>
        <w:rPr>
          <w:rFonts w:ascii="Times New Roman" w:hAnsi="Times New Roman"/>
        </w:rPr>
        <w:t>the</w:t>
      </w:r>
      <w:proofErr w:type="gramEnd"/>
      <w:r>
        <w:rPr>
          <w:rFonts w:ascii="Times New Roman" w:hAnsi="Times New Roman"/>
        </w:rPr>
        <w:t xml:space="preserve"> partner bears the economic risk of loss. See sec. 1.752-1 (a)(1). A partner bears the economic risk of loss to the extent that the partner would be obligated to make an </w:t>
      </w:r>
      <w:proofErr w:type="spellStart"/>
      <w:r>
        <w:rPr>
          <w:rFonts w:ascii="Times New Roman" w:hAnsi="Times New Roman"/>
        </w:rPr>
        <w:t>unreimbursable</w:t>
      </w:r>
      <w:proofErr w:type="spellEnd"/>
      <w:r>
        <w:rPr>
          <w:rFonts w:ascii="Times New Roman" w:hAnsi="Times New Roman"/>
        </w:rPr>
        <w:t xml:space="preserve"> payment to any person (or contribute to the partnership) if the partnership were constructively liquidated and the liability became due and payable. Sec. 1</w:t>
      </w:r>
      <w:r w:rsidR="00C830DD">
        <w:rPr>
          <w:rFonts w:ascii="Times New Roman" w:hAnsi="Times New Roman"/>
        </w:rPr>
        <w:t>.752-2(b)(1).</w:t>
      </w:r>
      <w:r>
        <w:rPr>
          <w:rFonts w:ascii="Times New Roman" w:hAnsi="Times New Roman"/>
        </w:rPr>
        <w:t xml:space="preserve"> Chesapeake contends that WISCO's indemnity of GP's guaranty imposes on WISCO the economic risk of loss for the LLC debt. Respondent concedes that an indemnity agreement generally is recognized as an obligation under the regulations. Respondent asserts, however, that WISCO's agreement should be disregarded under the anti-abuse rule for allocation of partnership debt.</w:t>
      </w:r>
    </w:p>
    <w:p w14:paraId="3EEB3F78" w14:textId="77777777" w:rsidR="00074A0E" w:rsidRDefault="00074A0E">
      <w:pPr>
        <w:widowControl/>
        <w:rPr>
          <w:rFonts w:ascii="Times New Roman" w:hAnsi="Times New Roman"/>
        </w:rPr>
      </w:pPr>
    </w:p>
    <w:p w14:paraId="61EEA9D2" w14:textId="77777777" w:rsidR="00074A0E" w:rsidRPr="00C830DD" w:rsidRDefault="00074A0E">
      <w:pPr>
        <w:widowControl/>
        <w:jc w:val="both"/>
        <w:rPr>
          <w:rFonts w:ascii="Times New Roman" w:hAnsi="Times New Roman"/>
          <w:b/>
        </w:rPr>
      </w:pPr>
      <w:r w:rsidRPr="00C830DD">
        <w:rPr>
          <w:rFonts w:ascii="Times New Roman" w:hAnsi="Times New Roman"/>
          <w:b/>
        </w:rPr>
        <w:t xml:space="preserve">C. Anti-Abuse Rule </w:t>
      </w:r>
    </w:p>
    <w:p w14:paraId="1BF5C538" w14:textId="1508B663" w:rsidR="00074A0E" w:rsidRDefault="00074A0E">
      <w:pPr>
        <w:widowControl/>
        <w:spacing w:before="120"/>
        <w:ind w:firstLine="360"/>
        <w:jc w:val="both"/>
        <w:rPr>
          <w:rFonts w:ascii="Times New Roman" w:hAnsi="Times New Roman"/>
        </w:rPr>
      </w:pPr>
      <w:r>
        <w:rPr>
          <w:rFonts w:ascii="Times New Roman" w:hAnsi="Times New Roman"/>
        </w:rPr>
        <w:t xml:space="preserve">Chesapeake counters that WISCO was legally obligated to indemnify GP under the indemnity agreement and therefore WISCO should be allocated the entire economic risk of loss of the LLC's liability. We assume that all partners having an obligation to make payments on a recourse </w:t>
      </w:r>
      <w:r>
        <w:rPr>
          <w:rFonts w:ascii="Times New Roman" w:hAnsi="Times New Roman"/>
        </w:rPr>
        <w:t xml:space="preserve">debt actually perform those obligations, irrespective of net worth, </w:t>
      </w:r>
      <w:r w:rsidR="00C830DD">
        <w:rPr>
          <w:rFonts w:ascii="Times New Roman" w:hAnsi="Times New Roman"/>
        </w:rPr>
        <w:t xml:space="preserve">to ascertain the </w:t>
      </w:r>
      <w:proofErr w:type="gramStart"/>
      <w:r w:rsidR="00C830DD">
        <w:rPr>
          <w:rFonts w:ascii="Times New Roman" w:hAnsi="Times New Roman"/>
        </w:rPr>
        <w:t xml:space="preserve">economic </w:t>
      </w:r>
      <w:r>
        <w:rPr>
          <w:rFonts w:ascii="Times New Roman" w:hAnsi="Times New Roman"/>
        </w:rPr>
        <w:t xml:space="preserve"> risk</w:t>
      </w:r>
      <w:proofErr w:type="gramEnd"/>
      <w:r>
        <w:rPr>
          <w:rFonts w:ascii="Times New Roman" w:hAnsi="Times New Roman"/>
        </w:rPr>
        <w:t xml:space="preserve"> of loss unless the facts and circumstances indicate a plan to circumvent or avoid the obligation. Sec.</w:t>
      </w:r>
      <w:r w:rsidR="00C830DD">
        <w:rPr>
          <w:rFonts w:ascii="Times New Roman" w:hAnsi="Times New Roman"/>
        </w:rPr>
        <w:t xml:space="preserve"> 1.752-2(b)(6).</w:t>
      </w:r>
      <w:r>
        <w:rPr>
          <w:rFonts w:ascii="Times New Roman" w:hAnsi="Times New Roman"/>
        </w:rPr>
        <w:t xml:space="preserve"> The anti-abuse rule provides that a partner's obligation to make a payment may be disregarded if (1) the facts and circumstances indicate that a principal purpose of the arrangement between the parties is to eliminate the partner's risk of loss or to create a facade of the partner's bearing the economic risk of loss with respect to the obligation, or (2) the facts and circumstances of the transaction evidence a plan to circumvent or avoid the obligation. See sec. 1.75</w:t>
      </w:r>
      <w:r w:rsidR="00C830DD">
        <w:rPr>
          <w:rFonts w:ascii="Times New Roman" w:hAnsi="Times New Roman"/>
        </w:rPr>
        <w:t>2-2(j)(1), (3).</w:t>
      </w:r>
      <w:r>
        <w:rPr>
          <w:rFonts w:ascii="Times New Roman" w:hAnsi="Times New Roman"/>
        </w:rPr>
        <w:t xml:space="preserve"> Given these two tests, we must review the facts and circumstances to determine whether WISCO's indemnity agreement may be disregarded as a guise to cloak WISCO with an obligation for which it bore no actual economic risk of loss. </w:t>
      </w:r>
      <w:r w:rsidR="008D4E9E">
        <w:rPr>
          <w:rFonts w:ascii="Times New Roman" w:hAnsi="Times New Roman"/>
        </w:rPr>
        <w:t xml:space="preserve"> </w:t>
      </w:r>
    </w:p>
    <w:p w14:paraId="3E9BA659" w14:textId="77777777" w:rsidR="00074A0E" w:rsidRDefault="00074A0E">
      <w:pPr>
        <w:widowControl/>
        <w:rPr>
          <w:rFonts w:ascii="Times New Roman" w:hAnsi="Times New Roman"/>
        </w:rPr>
      </w:pPr>
    </w:p>
    <w:p w14:paraId="7449763A" w14:textId="77777777" w:rsidR="00074A0E" w:rsidRPr="00C830DD" w:rsidRDefault="00074A0E">
      <w:pPr>
        <w:widowControl/>
        <w:jc w:val="both"/>
        <w:rPr>
          <w:rFonts w:ascii="Times New Roman" w:hAnsi="Times New Roman"/>
          <w:b/>
        </w:rPr>
      </w:pPr>
      <w:r w:rsidRPr="00C830DD">
        <w:rPr>
          <w:rFonts w:ascii="Times New Roman" w:hAnsi="Times New Roman"/>
          <w:b/>
        </w:rPr>
        <w:t xml:space="preserve">1. Purpose of the Indemnity Agreement </w:t>
      </w:r>
    </w:p>
    <w:p w14:paraId="41497D5D" w14:textId="1BFFD07C" w:rsidR="00074A0E" w:rsidRDefault="00074A0E">
      <w:pPr>
        <w:widowControl/>
        <w:spacing w:before="120"/>
        <w:ind w:firstLine="360"/>
        <w:jc w:val="both"/>
        <w:rPr>
          <w:rFonts w:ascii="Times New Roman" w:hAnsi="Times New Roman"/>
        </w:rPr>
      </w:pPr>
      <w:r>
        <w:rPr>
          <w:rFonts w:ascii="Times New Roman" w:hAnsi="Times New Roman"/>
        </w:rPr>
        <w:t>We first consider the indemnity agreement. The parties agreed that WISCO would indemnify GP in the event GP made payment on its guaranty of the LLC's $755.2 million debt. GP did not require the indemnity, and no provision o</w:t>
      </w:r>
      <w:r w:rsidR="00CE59D6">
        <w:rPr>
          <w:rFonts w:ascii="Times New Roman" w:hAnsi="Times New Roman"/>
        </w:rPr>
        <w:t xml:space="preserve">f the indemnity mandated </w:t>
      </w:r>
      <w:r>
        <w:rPr>
          <w:rFonts w:ascii="Times New Roman" w:hAnsi="Times New Roman"/>
        </w:rPr>
        <w:t>that WISCO maintain a certain net worth. WISCO was chosen as the indemnitor, rather than Chesapeake, after PWC advised Chesapeake's executives that WISCO's indemnity would not only allow Chesapeake to defer tax on the transaction, but would also cause the economic risk of loss to be borne only by WISCO's assets, not Chesapeake's. Moreover, the contractual provisions reduced the likelihood of GP invoking the indemnity against WISCO. The indemnity covered only the loan's principal, not interest. In addition, GP would first have to proceed against the LLC's assets before demanding indemnification from WISCO. In the unlikely event WISCO had to pay on the indemnity, WISCO would receive an increased interest in the LLC proportionate to any payment made under the indemnity. We find compelling that a Chesapeake executive represented to Moody's and Standard &amp; Poor's that the only risk associated with the transaction was the tax risk. We are left with no other conclusion than that Chesapeake crafted the indemnity agreement to limit any potential liability to WISCO's assets.</w:t>
      </w:r>
    </w:p>
    <w:p w14:paraId="3B5B4103" w14:textId="77777777" w:rsidR="00074A0E" w:rsidRDefault="00074A0E">
      <w:pPr>
        <w:widowControl/>
        <w:rPr>
          <w:rFonts w:ascii="Times New Roman" w:hAnsi="Times New Roman"/>
        </w:rPr>
      </w:pPr>
    </w:p>
    <w:p w14:paraId="36D9DCF8" w14:textId="77777777" w:rsidR="00074A0E" w:rsidRPr="00C830DD" w:rsidRDefault="00074A0E">
      <w:pPr>
        <w:widowControl/>
        <w:jc w:val="both"/>
        <w:rPr>
          <w:rFonts w:ascii="Times New Roman" w:hAnsi="Times New Roman"/>
          <w:b/>
        </w:rPr>
      </w:pPr>
      <w:r w:rsidRPr="00C830DD">
        <w:rPr>
          <w:rFonts w:ascii="Times New Roman" w:hAnsi="Times New Roman"/>
          <w:b/>
        </w:rPr>
        <w:t xml:space="preserve">2. WISCO's Assets and Liabilities </w:t>
      </w:r>
    </w:p>
    <w:p w14:paraId="5EFED781" w14:textId="25B6ECCD" w:rsidR="00074A0E" w:rsidRDefault="00074A0E">
      <w:pPr>
        <w:widowControl/>
        <w:spacing w:before="120"/>
        <w:ind w:firstLine="360"/>
        <w:jc w:val="both"/>
        <w:rPr>
          <w:rFonts w:ascii="Times New Roman" w:hAnsi="Times New Roman"/>
        </w:rPr>
      </w:pPr>
      <w:r>
        <w:rPr>
          <w:rFonts w:ascii="Times New Roman" w:hAnsi="Times New Roman"/>
        </w:rPr>
        <w:t>We now focus on whether WISCO had sufficient assets to cover the</w:t>
      </w:r>
      <w:r w:rsidR="00CE59D6">
        <w:rPr>
          <w:rFonts w:ascii="Times New Roman" w:hAnsi="Times New Roman"/>
        </w:rPr>
        <w:t xml:space="preserve"> indemnity regardless </w:t>
      </w:r>
      <w:proofErr w:type="gramStart"/>
      <w:r w:rsidR="00CE59D6">
        <w:rPr>
          <w:rFonts w:ascii="Times New Roman" w:hAnsi="Times New Roman"/>
        </w:rPr>
        <w:t xml:space="preserve">of  </w:t>
      </w:r>
      <w:r>
        <w:rPr>
          <w:rFonts w:ascii="Times New Roman" w:hAnsi="Times New Roman"/>
        </w:rPr>
        <w:t>how</w:t>
      </w:r>
      <w:proofErr w:type="gramEnd"/>
      <w:r>
        <w:rPr>
          <w:rFonts w:ascii="Times New Roman" w:hAnsi="Times New Roman"/>
        </w:rPr>
        <w:t xml:space="preserve"> remote the possibility it would have to pay. Chesapeake maintains that WISCO had sufficient assets to cover the indemnity agreement. WISCO contributed almost all of its assets to the LLC and received a special distribution and a 5-percent interest in the LLC. Moreover, Chesapeake contends that WISCO did not need to have a net worth covering the </w:t>
      </w:r>
      <w:r>
        <w:rPr>
          <w:rFonts w:ascii="Times New Roman" w:hAnsi="Times New Roman"/>
        </w:rPr>
        <w:lastRenderedPageBreak/>
        <w:t>full amount of its obligations with respect to the LLC's debt. See sec. 1.752-2(</w:t>
      </w:r>
      <w:r w:rsidR="00CE59D6">
        <w:rPr>
          <w:rFonts w:ascii="Times New Roman" w:hAnsi="Times New Roman"/>
        </w:rPr>
        <w:t xml:space="preserve">b)(6). </w:t>
      </w:r>
      <w:r>
        <w:rPr>
          <w:rFonts w:ascii="Times New Roman" w:hAnsi="Times New Roman"/>
        </w:rPr>
        <w:t>WISCO's assets after the transfer to the LLC included the $151.05 million intercompany note and the $6 million jet. WISCO had a net worth, excluding its LLC interest, of approximately $157 million or 21 percent of the maximum exposure on the indemnity. The value of WISCO's LLC interest would have been zero if the indemnity were exercised because the agreement required GP to proceed and exhaust its remedies against the LLC's assets before seeking indemnification from WISCO.</w:t>
      </w:r>
    </w:p>
    <w:p w14:paraId="719E5FA7" w14:textId="6320B642" w:rsidR="00074A0E" w:rsidRDefault="00074A0E">
      <w:pPr>
        <w:widowControl/>
        <w:spacing w:before="120"/>
        <w:ind w:firstLine="360"/>
        <w:jc w:val="both"/>
        <w:rPr>
          <w:rFonts w:ascii="Times New Roman" w:hAnsi="Times New Roman"/>
        </w:rPr>
      </w:pPr>
      <w:r>
        <w:rPr>
          <w:rFonts w:ascii="Times New Roman" w:hAnsi="Times New Roman"/>
        </w:rPr>
        <w:t>We may agree with Chesapeake that no Code or regulation provision requires WISCO to have assets covering the full indemnity amount. We note, however, that a partner's obligation may be disregarded if undertaken in an arrangement to create the appearance of the partn</w:t>
      </w:r>
      <w:r w:rsidR="00CE59D6">
        <w:rPr>
          <w:rFonts w:ascii="Times New Roman" w:hAnsi="Times New Roman"/>
        </w:rPr>
        <w:t xml:space="preserve">er's </w:t>
      </w:r>
      <w:r>
        <w:rPr>
          <w:rFonts w:ascii="Times New Roman" w:hAnsi="Times New Roman"/>
        </w:rPr>
        <w:t>bearing the economic risk of loss when the substance of the arrangement is in fact otherwise. See sec.</w:t>
      </w:r>
      <w:r w:rsidR="00CE59D6">
        <w:rPr>
          <w:rFonts w:ascii="Times New Roman" w:hAnsi="Times New Roman"/>
        </w:rPr>
        <w:t xml:space="preserve"> 1.752-2(j)(1).</w:t>
      </w:r>
      <w:r>
        <w:rPr>
          <w:rFonts w:ascii="Times New Roman" w:hAnsi="Times New Roman"/>
        </w:rPr>
        <w:t xml:space="preserve"> WISCO's principal asset after the transfer was the intercompany note. The indemnity agreement did not require WISCO to retain this note or any other asset. Further, Chesapeake and its management had full and absolute control of WISCO. Nothing restricted Chesapeake from canceling the note at its discretion at any time to reduce the asset level of WISCO to zero. In fact WISCO's board, which included many Chesapeake executives, did cancel the note and issued an intercompany dividend to Chesapeake in 2001. We find WISCO's intercompany note served to create merely the appearance, rather than the reality, of economic risk for a portion of the LLC debt.</w:t>
      </w:r>
    </w:p>
    <w:p w14:paraId="63C88A2B" w14:textId="1C8E98CB" w:rsidR="00074A0E" w:rsidRDefault="00074A0E">
      <w:pPr>
        <w:widowControl/>
        <w:spacing w:before="120"/>
        <w:ind w:firstLine="360"/>
        <w:jc w:val="both"/>
        <w:rPr>
          <w:rFonts w:ascii="Times New Roman" w:hAnsi="Times New Roman"/>
        </w:rPr>
      </w:pPr>
      <w:r>
        <w:rPr>
          <w:rFonts w:ascii="Times New Roman" w:hAnsi="Times New Roman"/>
        </w:rPr>
        <w:t>In addition, WISCO remained subject to the Fox River liability, and WISCO and other Chesapeake subsidiaries guaranteed a $450 million credit line obtained by Chesapeake in 2000. This guaranty and the Fox River liability further reduced WISCO's net worth. GP neither asked for nor received any assurances that WISCO would not further encumber its assets. We find that WISCO's agreement to</w:t>
      </w:r>
      <w:r w:rsidR="00CE59D6">
        <w:rPr>
          <w:rFonts w:ascii="Times New Roman" w:hAnsi="Times New Roman"/>
        </w:rPr>
        <w:t xml:space="preserve"> indemnify GP's guaranty </w:t>
      </w:r>
      <w:r>
        <w:rPr>
          <w:rFonts w:ascii="Times New Roman" w:hAnsi="Times New Roman"/>
        </w:rPr>
        <w:t>lacked economic substance and afforded no real protection to GP.</w:t>
      </w:r>
    </w:p>
    <w:p w14:paraId="1F69813E" w14:textId="77777777" w:rsidR="00074A0E" w:rsidRDefault="00074A0E">
      <w:pPr>
        <w:widowControl/>
        <w:rPr>
          <w:rFonts w:ascii="Times New Roman" w:hAnsi="Times New Roman"/>
        </w:rPr>
      </w:pPr>
    </w:p>
    <w:p w14:paraId="2D8FF766" w14:textId="77777777" w:rsidR="00074A0E" w:rsidRPr="00CE59D6" w:rsidRDefault="00074A0E">
      <w:pPr>
        <w:widowControl/>
        <w:jc w:val="both"/>
        <w:rPr>
          <w:rFonts w:ascii="Times New Roman" w:hAnsi="Times New Roman"/>
          <w:b/>
        </w:rPr>
      </w:pPr>
      <w:r w:rsidRPr="00CE59D6">
        <w:rPr>
          <w:rFonts w:ascii="Times New Roman" w:hAnsi="Times New Roman"/>
          <w:b/>
        </w:rPr>
        <w:t xml:space="preserve">3. Anti-Abuse Rule Illustration </w:t>
      </w:r>
    </w:p>
    <w:p w14:paraId="0712CFA9" w14:textId="77777777" w:rsidR="00074A0E" w:rsidRDefault="00074A0E">
      <w:pPr>
        <w:widowControl/>
        <w:spacing w:before="120"/>
        <w:ind w:firstLine="360"/>
        <w:jc w:val="both"/>
        <w:rPr>
          <w:rFonts w:ascii="Times New Roman" w:hAnsi="Times New Roman"/>
        </w:rPr>
      </w:pPr>
      <w:r>
        <w:rPr>
          <w:rFonts w:ascii="Times New Roman" w:hAnsi="Times New Roman"/>
        </w:rPr>
        <w:t xml:space="preserve">Chesapeake seeks to distinguish the transaction in this case from the transaction illustrated in the anti-abuse rule. See sec. 1.752-2(j)(4), Income Tax Regs. (illustrating when payment obligations may be disregarded). The illustration considers a consolidated group of corporations that use a thinly capitalized subsidiary as a partner in a general partnership with a recourse debt payment guaranteed by the other partner. The circumstances are deemed indicative of a plan enabling the corporate group to enjoy the losses generated by the partnership's property while avoiding the subsidiary's obligation to restore any deficit in its capital account. Chesapeake argues WISCO was not </w:t>
      </w:r>
      <w:r>
        <w:rPr>
          <w:rFonts w:ascii="Times New Roman" w:hAnsi="Times New Roman"/>
        </w:rPr>
        <w:t xml:space="preserve">a </w:t>
      </w:r>
      <w:proofErr w:type="gramStart"/>
      <w:r>
        <w:rPr>
          <w:rFonts w:ascii="Times New Roman" w:hAnsi="Times New Roman"/>
        </w:rPr>
        <w:t>newly-created</w:t>
      </w:r>
      <w:proofErr w:type="gramEnd"/>
      <w:r>
        <w:rPr>
          <w:rFonts w:ascii="Times New Roman" w:hAnsi="Times New Roman"/>
        </w:rPr>
        <w:t xml:space="preserve"> entity, as was the subsidiary in the illustration, but had been in business before the transaction. We find WISCO's preexistence insufficient to distinguish this transaction from the illustration.</w:t>
      </w:r>
    </w:p>
    <w:p w14:paraId="77B5446F" w14:textId="7A5EB930" w:rsidR="00074A0E" w:rsidRDefault="00074A0E">
      <w:pPr>
        <w:widowControl/>
        <w:spacing w:before="120"/>
        <w:ind w:firstLine="360"/>
        <w:jc w:val="both"/>
        <w:rPr>
          <w:rFonts w:ascii="Times New Roman" w:hAnsi="Times New Roman"/>
        </w:rPr>
      </w:pPr>
      <w:r>
        <w:rPr>
          <w:rFonts w:ascii="Times New Roman" w:hAnsi="Times New Roman"/>
        </w:rPr>
        <w:t xml:space="preserve">A thinly capitalized subsidiary with no business operations and no real assets cannot be used to shield a parent corporation with significant assets from being taxed on a deemed sale. </w:t>
      </w:r>
      <w:r w:rsidR="00CE59D6">
        <w:rPr>
          <w:rFonts w:ascii="Times New Roman" w:hAnsi="Times New Roman"/>
        </w:rPr>
        <w:t xml:space="preserve">Chesapeake </w:t>
      </w:r>
      <w:proofErr w:type="gramStart"/>
      <w:r w:rsidR="00CE59D6">
        <w:rPr>
          <w:rFonts w:ascii="Times New Roman" w:hAnsi="Times New Roman"/>
        </w:rPr>
        <w:t xml:space="preserve">intentionally  </w:t>
      </w:r>
      <w:r>
        <w:rPr>
          <w:rFonts w:ascii="Times New Roman" w:hAnsi="Times New Roman"/>
        </w:rPr>
        <w:t>used</w:t>
      </w:r>
      <w:proofErr w:type="gramEnd"/>
      <w:r>
        <w:rPr>
          <w:rFonts w:ascii="Times New Roman" w:hAnsi="Times New Roman"/>
        </w:rPr>
        <w:t xml:space="preserve"> WISCO, rather than itself, to limit its exposure under the indemnity agreement. It further limited its exposure only to the assets of WISCO. We refuse to interpret the illustration to provide additional protection. Moreover, this appears to be a concerted plan to drain WISCO of assets and leave WISCO incapable, as a practical matter, of covering more than a small fraction of its obligation to indemnify GP. We find this analogous to the illustration because in both cases the true economic burden of the partnership debt is borne by the other partner as guarantor. Accordingly, we do not find that the anti-abuse rule illustration extricates Chesapeake, but rather it demonstrates what Chesapeake strove to accomplish.</w:t>
      </w:r>
    </w:p>
    <w:p w14:paraId="000F3F74" w14:textId="77777777" w:rsidR="00074A0E" w:rsidRDefault="00074A0E">
      <w:pPr>
        <w:widowControl/>
        <w:rPr>
          <w:rFonts w:ascii="Times New Roman" w:hAnsi="Times New Roman"/>
        </w:rPr>
      </w:pPr>
    </w:p>
    <w:p w14:paraId="6401F29F" w14:textId="77777777" w:rsidR="00074A0E" w:rsidRPr="00CE59D6" w:rsidRDefault="00074A0E">
      <w:pPr>
        <w:widowControl/>
        <w:jc w:val="both"/>
        <w:rPr>
          <w:rFonts w:ascii="Times New Roman" w:hAnsi="Times New Roman"/>
          <w:b/>
        </w:rPr>
      </w:pPr>
      <w:r w:rsidRPr="00CE59D6">
        <w:rPr>
          <w:rFonts w:ascii="Times New Roman" w:hAnsi="Times New Roman"/>
          <w:b/>
        </w:rPr>
        <w:t xml:space="preserve">4. Rev. Proc. 89-12 Does Not Apply to Anti-Abuse Rule </w:t>
      </w:r>
    </w:p>
    <w:p w14:paraId="39C5A16B" w14:textId="77CA14F2" w:rsidR="00074A0E" w:rsidRDefault="00074A0E">
      <w:pPr>
        <w:widowControl/>
        <w:spacing w:before="120"/>
        <w:ind w:firstLine="360"/>
        <w:jc w:val="both"/>
        <w:rPr>
          <w:rFonts w:ascii="Times New Roman" w:hAnsi="Times New Roman"/>
        </w:rPr>
      </w:pPr>
      <w:r>
        <w:rPr>
          <w:rFonts w:ascii="Times New Roman" w:hAnsi="Times New Roman"/>
        </w:rPr>
        <w:t>Chesapeake also argues that it would be found to bear the economic risk of loss if the Court would apply a 10-percent net worth requirement. In so arguing, Chesapeake relies on Rev. Proc. 89-12, 1989-1 C.B. 798, which stated that a limited partnership would be deemed to lack limited liability for advance ruling purposes if a corporate general partner of the partnership had a net worth equaling 1</w:t>
      </w:r>
      <w:r w:rsidR="00CE59D6">
        <w:rPr>
          <w:rFonts w:ascii="Times New Roman" w:hAnsi="Times New Roman"/>
        </w:rPr>
        <w:t xml:space="preserve">0 percent or more of </w:t>
      </w:r>
      <w:proofErr w:type="gramStart"/>
      <w:r w:rsidR="00CE59D6">
        <w:rPr>
          <w:rFonts w:ascii="Times New Roman" w:hAnsi="Times New Roman"/>
        </w:rPr>
        <w:t xml:space="preserve">the  </w:t>
      </w:r>
      <w:r>
        <w:rPr>
          <w:rFonts w:ascii="Times New Roman" w:hAnsi="Times New Roman"/>
        </w:rPr>
        <w:t>total</w:t>
      </w:r>
      <w:proofErr w:type="gramEnd"/>
      <w:r>
        <w:rPr>
          <w:rFonts w:ascii="Times New Roman" w:hAnsi="Times New Roman"/>
        </w:rPr>
        <w:t xml:space="preserve"> contributions to the partnership. We decline Chesapeake's invitation to extend the 10-percent net worth test. Requirements for advance ruling purposes have no bearing on whether a partner will be treated as bearing the economic risk of loss for a partnership's liability. There are no mechanical tests. The anti-abuse rule mandates that we consider the facts and circumstances. We decline to establish a bright-line percentage test to determine whether WISCO bore the economic risk of loss with respect to the LLC's liability.</w:t>
      </w:r>
    </w:p>
    <w:p w14:paraId="6DCE5D4F" w14:textId="77777777" w:rsidR="00074A0E" w:rsidRDefault="00074A0E">
      <w:pPr>
        <w:widowControl/>
        <w:rPr>
          <w:rFonts w:ascii="Times New Roman" w:hAnsi="Times New Roman"/>
        </w:rPr>
      </w:pPr>
    </w:p>
    <w:p w14:paraId="20DE9EEE" w14:textId="77777777" w:rsidR="00074A0E" w:rsidRPr="00CE59D6" w:rsidRDefault="00074A0E">
      <w:pPr>
        <w:widowControl/>
        <w:jc w:val="both"/>
        <w:rPr>
          <w:rFonts w:ascii="Times New Roman" w:hAnsi="Times New Roman"/>
          <w:b/>
        </w:rPr>
      </w:pPr>
      <w:r w:rsidRPr="00CE59D6">
        <w:rPr>
          <w:rFonts w:ascii="Times New Roman" w:hAnsi="Times New Roman"/>
          <w:b/>
        </w:rPr>
        <w:t xml:space="preserve">5. Speculative Fraudulent Conveyance Claims </w:t>
      </w:r>
    </w:p>
    <w:p w14:paraId="1783D46C" w14:textId="21CE6A99" w:rsidR="00074A0E" w:rsidRDefault="00074A0E">
      <w:pPr>
        <w:widowControl/>
        <w:spacing w:before="120"/>
        <w:ind w:firstLine="360"/>
        <w:jc w:val="both"/>
        <w:rPr>
          <w:rFonts w:ascii="Times New Roman" w:hAnsi="Times New Roman"/>
        </w:rPr>
      </w:pPr>
      <w:r>
        <w:rPr>
          <w:rFonts w:ascii="Times New Roman" w:hAnsi="Times New Roman"/>
        </w:rPr>
        <w:t>Chesapeake argues alternatively that WISCO bore the economic risk of loss because GP had a right to make fraudulent conveyance claims against Chesapeake and Chesapeake's financial subsidiary Cary Street. Chesapeake contends that such potential claims exposed WISCO to a risk of loss in excess of WISCO's net worth. This argument is flawed on many points. First, a fraudulent conveyance is simply a cause of action, not an obligation. The Court may consider obligations only in allocating recourse liabilities of a partnership. See sec. 1.752-2(b)(3</w:t>
      </w:r>
      <w:r w:rsidR="00CE59D6">
        <w:rPr>
          <w:rFonts w:ascii="Times New Roman" w:hAnsi="Times New Roman"/>
        </w:rPr>
        <w:t xml:space="preserve">). </w:t>
      </w:r>
      <w:r>
        <w:rPr>
          <w:rFonts w:ascii="Times New Roman" w:hAnsi="Times New Roman"/>
        </w:rPr>
        <w:t>Next, Chesapeake's fraudulent conveyance argu</w:t>
      </w:r>
      <w:r>
        <w:rPr>
          <w:rFonts w:ascii="Times New Roman" w:hAnsi="Times New Roman"/>
        </w:rPr>
        <w:lastRenderedPageBreak/>
        <w:t>ment connotes that Chesapeake engaged in a plan to circumvent or avoid the obligation. This argument completely undercuts and overrides Chesapeake's attempt to create an obligation on behalf of Chesapeake and Cary Street. Finally, we would render the anti-abuse rule meaningless by creating an automatic exception for speculative fraudulent conveyance claims. Accordingly, we reject this argument.</w:t>
      </w:r>
    </w:p>
    <w:p w14:paraId="37790369" w14:textId="77777777" w:rsidR="00074A0E" w:rsidRDefault="00074A0E">
      <w:pPr>
        <w:widowControl/>
        <w:spacing w:before="120"/>
        <w:ind w:firstLine="360"/>
        <w:jc w:val="both"/>
        <w:rPr>
          <w:rFonts w:ascii="Times New Roman" w:hAnsi="Times New Roman"/>
        </w:rPr>
      </w:pPr>
      <w:r>
        <w:rPr>
          <w:rFonts w:ascii="Times New Roman" w:hAnsi="Times New Roman"/>
        </w:rPr>
        <w:t>We have carefully considered the facts and circumstances and find that the indemnity agreement should be disregarded because it created no more than a remote possibility that WISCO would actually be liable for payment. Chesapeake used the indemnity to create the appearance that WISCO bore the economic risk of loss for the LLC debt when in substance the risk was borne by GP. We find that WISCO had no economic risk of loss and should not be allocated any part of the debt incurred by the LLC.</w:t>
      </w:r>
    </w:p>
    <w:p w14:paraId="38849442" w14:textId="4622C928" w:rsidR="00074A0E" w:rsidRDefault="00074A0E">
      <w:pPr>
        <w:widowControl/>
        <w:spacing w:before="120"/>
        <w:ind w:firstLine="360"/>
        <w:jc w:val="both"/>
        <w:rPr>
          <w:rFonts w:ascii="Times New Roman" w:hAnsi="Times New Roman"/>
        </w:rPr>
      </w:pPr>
      <w:r>
        <w:rPr>
          <w:rFonts w:ascii="Times New Roman" w:hAnsi="Times New Roman"/>
        </w:rPr>
        <w:t xml:space="preserve">Consequently, the distribution of cash to WISCO does not fit within the debt-financed transfer exception to the disguised sale rules.  </w:t>
      </w:r>
      <w:r w:rsidR="00CE59D6">
        <w:rPr>
          <w:rFonts w:ascii="Times New Roman" w:hAnsi="Times New Roman"/>
        </w:rPr>
        <w:t xml:space="preserve"> </w:t>
      </w:r>
      <w:r>
        <w:rPr>
          <w:rFonts w:ascii="Times New Roman" w:hAnsi="Times New Roman"/>
        </w:rPr>
        <w:t xml:space="preserve"> Instead, we find Chesapeake has failed to rebut the 2-year presumption. The facts and circumstances evince a disguised sale. Accordingly, we conclude that WISCO sold its business assets to GP in 1999, the year it contributed the assets to the LLC, not the year it liquidated its LLC interest.</w:t>
      </w:r>
    </w:p>
    <w:p w14:paraId="51387BE5" w14:textId="77777777" w:rsidR="00074A0E" w:rsidRDefault="00074A0E">
      <w:pPr>
        <w:widowControl/>
        <w:rPr>
          <w:rFonts w:ascii="Times New Roman" w:hAnsi="Times New Roman"/>
        </w:rPr>
      </w:pPr>
    </w:p>
    <w:p w14:paraId="7EF5EAD0" w14:textId="77777777" w:rsidR="00074A0E" w:rsidRPr="00CE59D6" w:rsidRDefault="00074A0E">
      <w:pPr>
        <w:widowControl/>
        <w:jc w:val="both"/>
        <w:rPr>
          <w:rFonts w:ascii="Times New Roman" w:hAnsi="Times New Roman"/>
          <w:b/>
        </w:rPr>
      </w:pPr>
      <w:r w:rsidRPr="00CE59D6">
        <w:rPr>
          <w:rFonts w:ascii="Times New Roman" w:hAnsi="Times New Roman"/>
          <w:b/>
        </w:rPr>
        <w:t xml:space="preserve">II. Whether Chesapeake Is Liable for an Accuracy-Related Penalty Under Section 6662(a) </w:t>
      </w:r>
    </w:p>
    <w:p w14:paraId="3B3E199C" w14:textId="77777777" w:rsidR="00074A0E" w:rsidRDefault="00074A0E">
      <w:pPr>
        <w:widowControl/>
        <w:spacing w:before="120"/>
        <w:ind w:firstLine="360"/>
        <w:jc w:val="both"/>
        <w:rPr>
          <w:rFonts w:ascii="Times New Roman" w:hAnsi="Times New Roman"/>
        </w:rPr>
      </w:pPr>
      <w:r>
        <w:rPr>
          <w:rFonts w:ascii="Times New Roman" w:hAnsi="Times New Roman"/>
        </w:rPr>
        <w:t>We now turn to respondent's determination that Chesapeake is liable for the accuracy-related penalty under section 6662(a) and (b)(2) for a substantial understatement of income tax. Respondent bears the burden of proof for a penalty asserted in an amended answer. See Rule 142(a).</w:t>
      </w:r>
    </w:p>
    <w:p w14:paraId="58694CD0" w14:textId="6BBB72EA" w:rsidR="00074A0E" w:rsidRDefault="00074A0E">
      <w:pPr>
        <w:widowControl/>
        <w:spacing w:before="120"/>
        <w:ind w:firstLine="360"/>
        <w:jc w:val="both"/>
        <w:rPr>
          <w:rFonts w:ascii="Times New Roman" w:hAnsi="Times New Roman"/>
        </w:rPr>
      </w:pPr>
      <w:r>
        <w:rPr>
          <w:rFonts w:ascii="Times New Roman" w:hAnsi="Times New Roman"/>
        </w:rPr>
        <w:t>A substantial understatement of income tax exists for a corporation if the amount of the understatement exceeds the greater of 10 percent of the tax required to be shown on the retur</w:t>
      </w:r>
      <w:r w:rsidR="004E20CC">
        <w:rPr>
          <w:rFonts w:ascii="Times New Roman" w:hAnsi="Times New Roman"/>
        </w:rPr>
        <w:t xml:space="preserve">n, or $10,000. Sec. 6662(d)(1) </w:t>
      </w:r>
      <w:r>
        <w:rPr>
          <w:rFonts w:ascii="Times New Roman" w:hAnsi="Times New Roman"/>
        </w:rPr>
        <w:t>Chesapeake's correct tax for 1999 is $217,576,519, which includes the $183,458,981 deficiency determined in the deficiency notice. Respondent has established the understatement of income tax is substantial as it exceeds both 10 percent of the correct tax ($21,757,651) and $10,000.</w:t>
      </w:r>
    </w:p>
    <w:p w14:paraId="5AB4AAEB" w14:textId="39DB2D9B" w:rsidR="00074A0E" w:rsidRDefault="00074A0E">
      <w:pPr>
        <w:widowControl/>
        <w:spacing w:before="120"/>
        <w:ind w:firstLine="360"/>
        <w:jc w:val="both"/>
        <w:rPr>
          <w:rFonts w:ascii="Times New Roman" w:hAnsi="Times New Roman"/>
        </w:rPr>
      </w:pPr>
      <w:r>
        <w:rPr>
          <w:rFonts w:ascii="Times New Roman" w:hAnsi="Times New Roman"/>
        </w:rPr>
        <w:t>The accuracy-</w:t>
      </w:r>
      <w:proofErr w:type="gramStart"/>
      <w:r>
        <w:rPr>
          <w:rFonts w:ascii="Times New Roman" w:hAnsi="Times New Roman"/>
        </w:rPr>
        <w:t>related  penalty</w:t>
      </w:r>
      <w:proofErr w:type="gramEnd"/>
      <w:r>
        <w:rPr>
          <w:rFonts w:ascii="Times New Roman" w:hAnsi="Times New Roman"/>
        </w:rPr>
        <w:t xml:space="preserve"> under section 6662(a) does not apply, however, to any portion of an underpayment if a taxpayer shows that there was reasonable cause for, and that the taxpayer acted in good faith with respect to, that portion. Sec. 6664(c)(1</w:t>
      </w:r>
      <w:r w:rsidR="004E20CC">
        <w:rPr>
          <w:rFonts w:ascii="Times New Roman" w:hAnsi="Times New Roman"/>
        </w:rPr>
        <w:t xml:space="preserve">). </w:t>
      </w:r>
      <w:r>
        <w:rPr>
          <w:rFonts w:ascii="Times New Roman" w:hAnsi="Times New Roman"/>
        </w:rPr>
        <w:t>We consider the pertinent facts and circumstances, including the taxpayer's efforts to assess his or her proper tax liability, the taxpayer's knowledge and experience and the reliance on the advice of a professional in determining whether the taxpayer acted with reasonable cause and in g</w:t>
      </w:r>
      <w:r w:rsidR="004E20CC">
        <w:rPr>
          <w:rFonts w:ascii="Times New Roman" w:hAnsi="Times New Roman"/>
        </w:rPr>
        <w:t xml:space="preserve">ood faith. Sec. 1.6664-4(b)(1). </w:t>
      </w:r>
      <w:r>
        <w:rPr>
          <w:rFonts w:ascii="Times New Roman" w:hAnsi="Times New Roman"/>
        </w:rPr>
        <w:t xml:space="preserve">Generally, the most important factor is the </w:t>
      </w:r>
      <w:r>
        <w:rPr>
          <w:rFonts w:ascii="Times New Roman" w:hAnsi="Times New Roman"/>
        </w:rPr>
        <w:t>extent of the taxpayer's effort to assess the proper tax liability. Id.</w:t>
      </w:r>
    </w:p>
    <w:p w14:paraId="600DCDAA" w14:textId="2377D0D7" w:rsidR="00074A0E" w:rsidRDefault="00074A0E">
      <w:pPr>
        <w:widowControl/>
        <w:spacing w:before="120"/>
        <w:ind w:firstLine="360"/>
        <w:jc w:val="both"/>
        <w:rPr>
          <w:rFonts w:ascii="Times New Roman" w:hAnsi="Times New Roman"/>
        </w:rPr>
      </w:pPr>
      <w:r>
        <w:rPr>
          <w:rFonts w:ascii="Times New Roman" w:hAnsi="Times New Roman"/>
        </w:rPr>
        <w:t>Reasonable cause has been found when a taxpayer selects a competent tax adviser, supplies the adviser with all relevant information and, in a manner consistent with ordinary business care and prudence, relies on the adviser's professional judgment as to the taxpayer'</w:t>
      </w:r>
      <w:r w:rsidR="004E20CC">
        <w:rPr>
          <w:rFonts w:ascii="Times New Roman" w:hAnsi="Times New Roman"/>
        </w:rPr>
        <w:t>s tax obligations. Sec. 6664(c).</w:t>
      </w:r>
      <w:r>
        <w:rPr>
          <w:rFonts w:ascii="Times New Roman" w:hAnsi="Times New Roman"/>
        </w:rPr>
        <w:t xml:space="preserve"> </w:t>
      </w:r>
      <w:r w:rsidR="00CE59D6">
        <w:rPr>
          <w:rFonts w:ascii="Times New Roman" w:hAnsi="Times New Roman"/>
        </w:rPr>
        <w:t xml:space="preserve"> </w:t>
      </w:r>
      <w:r>
        <w:rPr>
          <w:rFonts w:ascii="Times New Roman" w:hAnsi="Times New Roman"/>
        </w:rPr>
        <w:t>A taxpayer may rely on the advice of any tax adviser, lawyer or accountant. United States v. Boyle, supra at 251.</w:t>
      </w:r>
    </w:p>
    <w:p w14:paraId="0C97D9DD" w14:textId="18245312" w:rsidR="00074A0E" w:rsidRDefault="004E20CC">
      <w:pPr>
        <w:widowControl/>
        <w:spacing w:before="120"/>
        <w:ind w:firstLine="360"/>
        <w:jc w:val="both"/>
        <w:rPr>
          <w:rFonts w:ascii="Times New Roman" w:hAnsi="Times New Roman"/>
        </w:rPr>
      </w:pPr>
      <w:proofErr w:type="gramStart"/>
      <w:r>
        <w:rPr>
          <w:rFonts w:ascii="Times New Roman" w:hAnsi="Times New Roman"/>
        </w:rPr>
        <w:t xml:space="preserve">The </w:t>
      </w:r>
      <w:r w:rsidR="00074A0E">
        <w:rPr>
          <w:rFonts w:ascii="Times New Roman" w:hAnsi="Times New Roman"/>
        </w:rPr>
        <w:t xml:space="preserve"> right</w:t>
      </w:r>
      <w:proofErr w:type="gramEnd"/>
      <w:r w:rsidR="00074A0E">
        <w:rPr>
          <w:rFonts w:ascii="Times New Roman" w:hAnsi="Times New Roman"/>
        </w:rPr>
        <w:t xml:space="preserve"> to rely on professional tax advice, however, is not unlimited. Neither reliance on the advice of a professional tax adviser nor reliance on facts that, unknown to the taxpayer, are incorrect necessarily demonstrates or indicates reasonable cause or good faith. </w:t>
      </w:r>
      <w:r>
        <w:rPr>
          <w:rFonts w:ascii="Times New Roman" w:hAnsi="Times New Roman"/>
        </w:rPr>
        <w:t xml:space="preserve"> </w:t>
      </w:r>
      <w:r w:rsidR="00074A0E">
        <w:rPr>
          <w:rFonts w:ascii="Times New Roman" w:hAnsi="Times New Roman"/>
        </w:rPr>
        <w:t xml:space="preserve"> The advice must not be based on unreasonable factual or legal assumptions and must not unreasonably rely on representations, statements, findings, or agreements of the taxpayer or any other person. Sec. 1.6664-4 (c)(1)(ii)</w:t>
      </w:r>
      <w:r>
        <w:rPr>
          <w:rFonts w:ascii="Times New Roman" w:hAnsi="Times New Roman"/>
        </w:rPr>
        <w:t xml:space="preserve">. </w:t>
      </w:r>
      <w:r w:rsidR="00074A0E">
        <w:rPr>
          <w:rFonts w:ascii="Times New Roman" w:hAnsi="Times New Roman"/>
        </w:rPr>
        <w:t xml:space="preserve">Courts have repeatedly held that it is unreasonable for a taxpayer to rely on a tax adviser actively involved in planning the transaction and tainted by an inherent conflict of interest. </w:t>
      </w:r>
      <w:r>
        <w:rPr>
          <w:rFonts w:ascii="Times New Roman" w:hAnsi="Times New Roman"/>
        </w:rPr>
        <w:t xml:space="preserve"> </w:t>
      </w:r>
      <w:r w:rsidR="00074A0E">
        <w:rPr>
          <w:rFonts w:ascii="Times New Roman" w:hAnsi="Times New Roman"/>
        </w:rPr>
        <w:t xml:space="preserve">A professional tax adviser with a stake in the outcome has such  </w:t>
      </w:r>
      <w:r>
        <w:rPr>
          <w:rFonts w:ascii="Times New Roman" w:hAnsi="Times New Roman"/>
        </w:rPr>
        <w:t xml:space="preserve"> </w:t>
      </w:r>
      <w:r w:rsidR="00074A0E">
        <w:rPr>
          <w:rFonts w:ascii="Times New Roman" w:hAnsi="Times New Roman"/>
        </w:rPr>
        <w:t xml:space="preserve">a conflict of interest. </w:t>
      </w:r>
      <w:r>
        <w:rPr>
          <w:rFonts w:ascii="Times New Roman" w:hAnsi="Times New Roman"/>
        </w:rPr>
        <w:t xml:space="preserve"> </w:t>
      </w:r>
    </w:p>
    <w:p w14:paraId="388DA45D" w14:textId="706014A2" w:rsidR="00074A0E" w:rsidRDefault="00074A0E">
      <w:pPr>
        <w:widowControl/>
        <w:spacing w:before="120"/>
        <w:ind w:firstLine="360"/>
        <w:jc w:val="both"/>
        <w:rPr>
          <w:rFonts w:ascii="Times New Roman" w:hAnsi="Times New Roman"/>
        </w:rPr>
      </w:pPr>
      <w:r>
        <w:rPr>
          <w:rFonts w:ascii="Times New Roman" w:hAnsi="Times New Roman"/>
        </w:rPr>
        <w:t xml:space="preserve">Chesapeake claims it reasonably relied in good faith on PWC's tax advice and "should" opinion and therefore no penalty should be imposed. Respondent contends that Chesapeake unreasonably relied on an opinion riddled with improper assumptions written by a tax adviser with a conflict of interest. We look to whether PWC's advice was reasonable and inquire whether PWC's advice was based on all pertinent facts and circumstances and not on unreasonable factual or legal assumptions. </w:t>
      </w:r>
      <w:r w:rsidR="002C74DA">
        <w:rPr>
          <w:rFonts w:ascii="Times New Roman" w:hAnsi="Times New Roman"/>
        </w:rPr>
        <w:t xml:space="preserve"> </w:t>
      </w:r>
    </w:p>
    <w:p w14:paraId="2CE75CA7" w14:textId="77777777" w:rsidR="00074A0E" w:rsidRDefault="00074A0E">
      <w:pPr>
        <w:widowControl/>
        <w:rPr>
          <w:rFonts w:ascii="Times New Roman" w:hAnsi="Times New Roman"/>
        </w:rPr>
      </w:pPr>
    </w:p>
    <w:p w14:paraId="42DA367A" w14:textId="77777777" w:rsidR="00074A0E" w:rsidRPr="002C74DA" w:rsidRDefault="00074A0E">
      <w:pPr>
        <w:widowControl/>
        <w:jc w:val="both"/>
        <w:rPr>
          <w:rFonts w:ascii="Times New Roman" w:hAnsi="Times New Roman"/>
          <w:b/>
        </w:rPr>
      </w:pPr>
      <w:r w:rsidRPr="002C74DA">
        <w:rPr>
          <w:rFonts w:ascii="Times New Roman" w:hAnsi="Times New Roman"/>
          <w:b/>
        </w:rPr>
        <w:t xml:space="preserve">A. PWC Based Its Advice on Unreasonable Assumptions </w:t>
      </w:r>
    </w:p>
    <w:p w14:paraId="4868CEEC" w14:textId="77777777" w:rsidR="00074A0E" w:rsidRDefault="00074A0E">
      <w:pPr>
        <w:widowControl/>
        <w:spacing w:before="120"/>
        <w:ind w:firstLine="360"/>
        <w:jc w:val="both"/>
        <w:rPr>
          <w:rFonts w:ascii="Times New Roman" w:hAnsi="Times New Roman"/>
        </w:rPr>
      </w:pPr>
      <w:r>
        <w:rPr>
          <w:rFonts w:ascii="Times New Roman" w:hAnsi="Times New Roman"/>
        </w:rPr>
        <w:t>We now focus on whether PWCs advice was reasonable. Chesapeake contends that it relied on legal analysis prescribed in PWCs "should" opinion. Chesapeake submitted a draft, not the original, of the "should" opinion into evidence. We therefore look to the draft opinion to determine whether PWC's advice was reasonable.</w:t>
      </w:r>
    </w:p>
    <w:p w14:paraId="77D6FD16" w14:textId="37A72123" w:rsidR="00074A0E" w:rsidRDefault="00074A0E">
      <w:pPr>
        <w:widowControl/>
        <w:spacing w:before="120"/>
        <w:ind w:firstLine="360"/>
        <w:jc w:val="both"/>
        <w:rPr>
          <w:rFonts w:ascii="Times New Roman" w:hAnsi="Times New Roman"/>
        </w:rPr>
      </w:pPr>
      <w:r>
        <w:rPr>
          <w:rFonts w:ascii="Times New Roman" w:hAnsi="Times New Roman"/>
        </w:rPr>
        <w:t xml:space="preserve">Chesapeake paid PWC an $800,000 flat fee for the opinion, not based on time devoted to preparing the opinion. Mr. Miller testified that he and his team spent hours on the opinion. We find this testimony inconsistent with  </w:t>
      </w:r>
      <w:r w:rsidR="00913257">
        <w:rPr>
          <w:rFonts w:ascii="Times New Roman" w:hAnsi="Times New Roman"/>
        </w:rPr>
        <w:t xml:space="preserve"> </w:t>
      </w:r>
      <w:r>
        <w:rPr>
          <w:rFonts w:ascii="Times New Roman" w:hAnsi="Times New Roman"/>
        </w:rPr>
        <w:t xml:space="preserve"> the opinion that was admitted into evidence. The Court questions how much time could have been devoted to the draft opinion because it is littered with typographical errors, disorganized and incomplete. Moreover, Mr. Miller failed to recognize several parts of the opinion. The Court </w:t>
      </w:r>
      <w:r>
        <w:rPr>
          <w:rFonts w:ascii="Times New Roman" w:hAnsi="Times New Roman"/>
        </w:rPr>
        <w:lastRenderedPageBreak/>
        <w:t>doubts that any firm would have had such a cavalier approach if the firm was being compensated solely for time devoted to rendering the opinion.</w:t>
      </w:r>
    </w:p>
    <w:p w14:paraId="0DB82E87" w14:textId="77777777" w:rsidR="00074A0E" w:rsidRDefault="00074A0E">
      <w:pPr>
        <w:widowControl/>
        <w:spacing w:before="120"/>
        <w:ind w:firstLine="360"/>
        <w:jc w:val="both"/>
        <w:rPr>
          <w:rFonts w:ascii="Times New Roman" w:hAnsi="Times New Roman"/>
        </w:rPr>
      </w:pPr>
      <w:r>
        <w:rPr>
          <w:rFonts w:ascii="Times New Roman" w:hAnsi="Times New Roman"/>
        </w:rPr>
        <w:t xml:space="preserve">In addition, the opinion was riddled with questionable conclusions and unreasonable assumptions. Mr. Miller based his opinion on WISCO maintaining 20 percent of the LLC debt. Mr. Miller had no case law or Code authority to support this percentage, however. He instead relied on an irrelevant revenue procedure as the basis for issuing the "should" opinion. A "should" opinion is the highest level of comfort PWC offers to a client regarding whether the position taken by the client will succeed on the merits. </w:t>
      </w:r>
      <w:r>
        <w:rPr>
          <w:rFonts w:ascii="Times New Roman" w:hAnsi="Times New Roman"/>
          <w:sz w:val="16"/>
          <w:vertAlign w:val="superscript"/>
        </w:rPr>
        <w:t>15</w:t>
      </w:r>
      <w:r>
        <w:rPr>
          <w:rFonts w:ascii="Times New Roman" w:hAnsi="Times New Roman"/>
        </w:rPr>
        <w:t xml:space="preserve"> We find it unreasonable that anyone, let alone an attorney, would issue the </w:t>
      </w:r>
      <w:proofErr w:type="gramStart"/>
      <w:r>
        <w:rPr>
          <w:rFonts w:ascii="Times New Roman" w:hAnsi="Times New Roman"/>
        </w:rPr>
        <w:t>highest level</w:t>
      </w:r>
      <w:proofErr w:type="gramEnd"/>
      <w:r>
        <w:rPr>
          <w:rFonts w:ascii="Times New Roman" w:hAnsi="Times New Roman"/>
        </w:rPr>
        <w:t xml:space="preserve"> opinion a firm offers on such dubious legal reasoning.</w:t>
      </w:r>
    </w:p>
    <w:p w14:paraId="6DDDBC7E" w14:textId="77777777" w:rsidR="00074A0E" w:rsidRDefault="00074A0E">
      <w:pPr>
        <w:widowControl/>
        <w:rPr>
          <w:rFonts w:ascii="Times New Roman" w:hAnsi="Times New Roman"/>
        </w:rPr>
      </w:pPr>
    </w:p>
    <w:p w14:paraId="6E952A9A" w14:textId="1E10BDB9" w:rsidR="00074A0E" w:rsidRDefault="00074A0E">
      <w:pPr>
        <w:widowControl/>
        <w:ind w:left="600"/>
        <w:jc w:val="both"/>
        <w:rPr>
          <w:rFonts w:ascii="Times New Roman" w:hAnsi="Times New Roman"/>
        </w:rPr>
      </w:pPr>
      <w:r>
        <w:rPr>
          <w:rFonts w:ascii="Times New Roman" w:hAnsi="Times New Roman"/>
        </w:rPr>
        <w:t xml:space="preserve">15   Mr. Miller testified that tax practitioners render different levels of opinion based on their comfort that the </w:t>
      </w:r>
      <w:proofErr w:type="gramStart"/>
      <w:r>
        <w:rPr>
          <w:rFonts w:ascii="Times New Roman" w:hAnsi="Times New Roman"/>
        </w:rPr>
        <w:t>legal  conclusions</w:t>
      </w:r>
      <w:proofErr w:type="gramEnd"/>
      <w:r>
        <w:rPr>
          <w:rFonts w:ascii="Times New Roman" w:hAnsi="Times New Roman"/>
        </w:rPr>
        <w:t xml:space="preserve"> contained in the opinion are correct as a matter of law assuming the factual representations and assumptions set forth in the opinion are also correct. A "reasonable basis" opinion has a 33-percent chance of success on the merits. See sec. 1.6662-3(b)(3). A "substantial authority" opinion has a 40-percent chance of success on the merits. See sec. 1.6662-4(d)(2)</w:t>
      </w:r>
      <w:r w:rsidR="00913257">
        <w:rPr>
          <w:rFonts w:ascii="Times New Roman" w:hAnsi="Times New Roman"/>
        </w:rPr>
        <w:t xml:space="preserve">. </w:t>
      </w:r>
      <w:r>
        <w:rPr>
          <w:rFonts w:ascii="Times New Roman" w:hAnsi="Times New Roman"/>
        </w:rPr>
        <w:t>A "more likely than not" opinion has a 51-percent chance of success on the merits. See id. Mr. Miller did not give an exact percentage regarding a "should" opinion, but he testified that it is materially higher than that of a "more likely than not" opinion.</w:t>
      </w:r>
    </w:p>
    <w:p w14:paraId="6B904776" w14:textId="77777777" w:rsidR="00074A0E" w:rsidRDefault="00074A0E">
      <w:pPr>
        <w:widowControl/>
        <w:spacing w:before="120"/>
        <w:ind w:firstLine="360"/>
        <w:jc w:val="both"/>
        <w:rPr>
          <w:rFonts w:ascii="Times New Roman" w:hAnsi="Times New Roman"/>
        </w:rPr>
      </w:pPr>
      <w:r>
        <w:rPr>
          <w:rFonts w:ascii="Times New Roman" w:hAnsi="Times New Roman"/>
        </w:rPr>
        <w:t>We are also nonplused by Mr. Miller's failure to give an understandable response when asked at trial how PWC could issue a "should" opinion if no authority on point existed. He demurred that it was what Chesapeake requested. The only explanation that makes sense to the Court is that no lesser level of comfort would have commanded the $800,000 fixed fee that Chesapeake paid for the opinion.</w:t>
      </w:r>
    </w:p>
    <w:p w14:paraId="19125AE7" w14:textId="128422F2" w:rsidR="00074A0E" w:rsidRDefault="00074A0E">
      <w:pPr>
        <w:widowControl/>
        <w:spacing w:before="120"/>
        <w:ind w:firstLine="360"/>
        <w:jc w:val="both"/>
        <w:rPr>
          <w:rFonts w:ascii="Times New Roman" w:hAnsi="Times New Roman"/>
        </w:rPr>
      </w:pPr>
      <w:r>
        <w:rPr>
          <w:rFonts w:ascii="Times New Roman" w:hAnsi="Times New Roman"/>
        </w:rPr>
        <w:t>We are also troubled by the number of times the draft opinion uses "it appears." For example, it states, "[</w:t>
      </w:r>
      <w:proofErr w:type="spellStart"/>
      <w:r>
        <w:rPr>
          <w:rFonts w:ascii="Times New Roman" w:hAnsi="Times New Roman"/>
        </w:rPr>
        <w:t>i</w:t>
      </w:r>
      <w:proofErr w:type="spellEnd"/>
      <w:r>
        <w:rPr>
          <w:rFonts w:ascii="Times New Roman" w:hAnsi="Times New Roman"/>
        </w:rPr>
        <w:t xml:space="preserve">]n focusing on the language of </w:t>
      </w:r>
      <w:proofErr w:type="gramStart"/>
      <w:r>
        <w:rPr>
          <w:rFonts w:ascii="Times New Roman" w:hAnsi="Times New Roman"/>
        </w:rPr>
        <w:t>the  752</w:t>
      </w:r>
      <w:proofErr w:type="gramEnd"/>
      <w:r>
        <w:rPr>
          <w:rFonts w:ascii="Times New Roman" w:hAnsi="Times New Roman"/>
        </w:rPr>
        <w:t xml:space="preserve"> regs, it appears that such regulation adopts an all or nothing approach." Mr. Miller had no basis for that position other than his interpretation of the regulations. Further, Mr. Miller assumed that the indemnity would be effective and that WISCO would hold assets sufficient to avoid the anti-abuse rule. PWC assumed away the very crux of whether the transaction would qualify as a nontaxable contribution of assets to a partnership. In so doing PWC failed to consider that the indemnity lacked substance. Neither the joint venture agreement nor the indemnity agreement included provisions requiring WISCO to maintain any minimum level of </w:t>
      </w:r>
      <w:r>
        <w:rPr>
          <w:rFonts w:ascii="Times New Roman" w:hAnsi="Times New Roman"/>
        </w:rPr>
        <w:t>capital or assets. WISCO and Chesapeake could also remove WISCO's main asset, the intercompany note, from WISCO's books at any time and for any reason. This possibility gutted any substance for the indemnity.</w:t>
      </w:r>
    </w:p>
    <w:p w14:paraId="70360C15" w14:textId="77777777" w:rsidR="00074A0E" w:rsidRDefault="00074A0E">
      <w:pPr>
        <w:widowControl/>
        <w:spacing w:before="120"/>
        <w:ind w:firstLine="360"/>
        <w:jc w:val="both"/>
        <w:rPr>
          <w:rFonts w:ascii="Times New Roman" w:hAnsi="Times New Roman"/>
        </w:rPr>
      </w:pPr>
      <w:r>
        <w:rPr>
          <w:rFonts w:ascii="Times New Roman" w:hAnsi="Times New Roman"/>
        </w:rPr>
        <w:t>We find that Chesapeake's tax position did not warrant a "should" opinion because of the numerous assumptions and dubious legal conclusions in the haphazard draft opinion that has been admitted into the record. Further, we find it inherently unreasonable for Chesapeake to have relied on an analysis based on the specious legal assumptions.</w:t>
      </w:r>
    </w:p>
    <w:p w14:paraId="647A7C5C" w14:textId="77777777" w:rsidR="00074A0E" w:rsidRDefault="00074A0E">
      <w:pPr>
        <w:widowControl/>
        <w:rPr>
          <w:rFonts w:ascii="Times New Roman" w:hAnsi="Times New Roman"/>
        </w:rPr>
      </w:pPr>
    </w:p>
    <w:p w14:paraId="4A01C3A4" w14:textId="29F8627A" w:rsidR="00074A0E" w:rsidRPr="00913257" w:rsidRDefault="00074A0E">
      <w:pPr>
        <w:widowControl/>
        <w:jc w:val="both"/>
        <w:rPr>
          <w:rFonts w:ascii="Times New Roman" w:hAnsi="Times New Roman"/>
          <w:b/>
        </w:rPr>
      </w:pPr>
      <w:r w:rsidRPr="00913257">
        <w:rPr>
          <w:rFonts w:ascii="Times New Roman" w:hAnsi="Times New Roman"/>
          <w:b/>
        </w:rPr>
        <w:t xml:space="preserve">B. Chesapeake   Lacked Good Faith </w:t>
      </w:r>
    </w:p>
    <w:p w14:paraId="40BB4BD6" w14:textId="77777777" w:rsidR="00074A0E" w:rsidRDefault="00074A0E">
      <w:pPr>
        <w:widowControl/>
        <w:spacing w:before="120"/>
        <w:ind w:firstLine="360"/>
        <w:jc w:val="both"/>
        <w:rPr>
          <w:rFonts w:ascii="Times New Roman" w:hAnsi="Times New Roman"/>
        </w:rPr>
      </w:pPr>
      <w:r>
        <w:rPr>
          <w:rFonts w:ascii="Times New Roman" w:hAnsi="Times New Roman"/>
        </w:rPr>
        <w:t>Moreover, Chesapeake did not act with reasonable cause or in good faith as it relied on Mr. Miller's advice. Chesapeake argues that it had every reason to trust PWCs judgment because of its long-term relationship with the firm. PWC crossed over the line from trusted adviser for prior accounting purposes to advocate for a position with no authority that was based on an opinion with a high price tag--$800,000.</w:t>
      </w:r>
    </w:p>
    <w:p w14:paraId="6C5921BD" w14:textId="541CC4FE" w:rsidR="00074A0E" w:rsidRDefault="00074A0E">
      <w:pPr>
        <w:widowControl/>
        <w:spacing w:before="120"/>
        <w:ind w:firstLine="360"/>
        <w:jc w:val="both"/>
        <w:rPr>
          <w:rFonts w:ascii="Times New Roman" w:hAnsi="Times New Roman"/>
        </w:rPr>
      </w:pPr>
      <w:r>
        <w:rPr>
          <w:rFonts w:ascii="Times New Roman" w:hAnsi="Times New Roman"/>
        </w:rPr>
        <w:t xml:space="preserve">Any advice Chesapeake received was tainted by an inherent conflict of interest. We would be hard pressed to identify which of his hats Mr. Miller was wearing in rendering that tax opinion. There were too many. Mr. Miller not only researched and drafted the tax opinion, but he also "audited" WISCO's and the LLC s assets to make the assumptions in the tax opinion. He made legal assumptions separate from the tax assumptions in the opinion. He reviewed State law to make sure the assumptions were valid regarding whether a partnership was formed. In addition, he was intricately involved in drafting the joint venture agreement, the operating agreement and the indemnity agreement. In essence, Mr. Miller issued an opinion on a transaction he helped plan without the normal  </w:t>
      </w:r>
      <w:r w:rsidR="00913257">
        <w:rPr>
          <w:rFonts w:ascii="Times New Roman" w:hAnsi="Times New Roman"/>
        </w:rPr>
        <w:t xml:space="preserve"> </w:t>
      </w:r>
      <w:r>
        <w:rPr>
          <w:rFonts w:ascii="Times New Roman" w:hAnsi="Times New Roman"/>
        </w:rPr>
        <w:t xml:space="preserve"> give-and-take in negotiating terms with an outside party. We are aware of no terms or conditions that GP required before it would close the transaction. We are aware only of the condition that Chesapeake's board would not close unless it received the "should" opinion. Chesapeake acted unreasonably in relying on the advice of PWC given the inherent and obvious conflict of </w:t>
      </w:r>
      <w:proofErr w:type="gramStart"/>
      <w:r>
        <w:rPr>
          <w:rFonts w:ascii="Times New Roman" w:hAnsi="Times New Roman"/>
        </w:rPr>
        <w:t>interest</w:t>
      </w:r>
      <w:r w:rsidR="00913257">
        <w:rPr>
          <w:rFonts w:ascii="Times New Roman" w:hAnsi="Times New Roman"/>
        </w:rPr>
        <w:t xml:space="preserve"> .</w:t>
      </w:r>
      <w:proofErr w:type="gramEnd"/>
    </w:p>
    <w:p w14:paraId="32703710" w14:textId="6EBE3856" w:rsidR="00074A0E" w:rsidRDefault="00074A0E">
      <w:pPr>
        <w:widowControl/>
        <w:spacing w:before="120"/>
        <w:ind w:firstLine="360"/>
        <w:jc w:val="both"/>
        <w:rPr>
          <w:rFonts w:ascii="Times New Roman" w:hAnsi="Times New Roman"/>
        </w:rPr>
      </w:pPr>
      <w:r>
        <w:rPr>
          <w:rFonts w:ascii="Times New Roman" w:hAnsi="Times New Roman"/>
        </w:rPr>
        <w:t xml:space="preserve">We also find suspect the exorbitant price tag associated with the sole condition of closing. Chesapeake essentially bought an insurance policy as to the taxability of the transaction. PWC received an $800,000 fixed fee for its tax opinion. PWC did not base its fee on an hourly rate plus expenses. The fee was </w:t>
      </w:r>
      <w:proofErr w:type="gramStart"/>
      <w:r>
        <w:rPr>
          <w:rFonts w:ascii="Times New Roman" w:hAnsi="Times New Roman"/>
        </w:rPr>
        <w:t>payable  and</w:t>
      </w:r>
      <w:proofErr w:type="gramEnd"/>
      <w:r>
        <w:rPr>
          <w:rFonts w:ascii="Times New Roman" w:hAnsi="Times New Roman"/>
        </w:rPr>
        <w:t xml:space="preserve"> contingent on the closing of the joint venture transaction. PWC would receive payment only if it issued Chesapeake a "should" opinion on the joint venture transaction. PWC therefore had a large stake in making sure the closing occurred.</w:t>
      </w:r>
    </w:p>
    <w:p w14:paraId="15FD2DC4" w14:textId="77777777" w:rsidR="00074A0E" w:rsidRDefault="00074A0E">
      <w:pPr>
        <w:widowControl/>
        <w:spacing w:before="120"/>
        <w:ind w:firstLine="360"/>
        <w:jc w:val="both"/>
        <w:rPr>
          <w:rFonts w:ascii="Times New Roman" w:hAnsi="Times New Roman"/>
        </w:rPr>
      </w:pPr>
      <w:r>
        <w:rPr>
          <w:rFonts w:ascii="Times New Roman" w:hAnsi="Times New Roman"/>
        </w:rPr>
        <w:lastRenderedPageBreak/>
        <w:t xml:space="preserve">Considering all the facts and circumstances, PWC's opinion looks more like a quid pro quo arrangement than a true tax advisory opinion. If we were to bless the closeness of the relationship, we would be providing carte blanche to promoters to provide a tax opinion as part and parcel of a promotion. Independence of advisers is sacrosanct to good faith reliance. We find that PWC lacked the independence necessary for Chesapeake to establish good faith reliance. We further find that Chesapeake did not act with reasonable cause or in good faith in relying on PWC's </w:t>
      </w:r>
      <w:r>
        <w:rPr>
          <w:rFonts w:ascii="Times New Roman" w:hAnsi="Times New Roman"/>
        </w:rPr>
        <w:t xml:space="preserve">opinion. We sustain respondent's determination that Chesapeake is liable for the accuracy-related penalty under section 6662(b)(2) for 1999. </w:t>
      </w:r>
      <w:r>
        <w:rPr>
          <w:rFonts w:ascii="Times New Roman" w:hAnsi="Times New Roman"/>
          <w:sz w:val="16"/>
          <w:vertAlign w:val="superscript"/>
        </w:rPr>
        <w:t>16</w:t>
      </w:r>
    </w:p>
    <w:p w14:paraId="2CD18096" w14:textId="77777777" w:rsidR="00074A0E" w:rsidRDefault="00074A0E">
      <w:pPr>
        <w:widowControl/>
        <w:rPr>
          <w:rFonts w:ascii="Times New Roman" w:hAnsi="Times New Roman"/>
        </w:rPr>
      </w:pPr>
    </w:p>
    <w:p w14:paraId="7C3EBFCC" w14:textId="24C4B8F5" w:rsidR="00074A0E" w:rsidRDefault="00074A0E">
      <w:pPr>
        <w:widowControl/>
        <w:ind w:left="600"/>
        <w:jc w:val="both"/>
        <w:rPr>
          <w:rFonts w:ascii="Times New Roman" w:hAnsi="Times New Roman"/>
        </w:rPr>
      </w:pPr>
      <w:r>
        <w:rPr>
          <w:rFonts w:ascii="Times New Roman" w:hAnsi="Times New Roman"/>
        </w:rPr>
        <w:t xml:space="preserve">16   This holding should not be interpreted as requiring taxpayers to obtain a second tax opinion to qualify for the reasonable reliance exception under sec. 6664(c). Rather, we hold that taxpayers may not reasonably rely on an adviser tainted by an inherent  </w:t>
      </w:r>
      <w:r w:rsidR="00E059C9">
        <w:rPr>
          <w:rFonts w:ascii="Times New Roman" w:hAnsi="Times New Roman"/>
        </w:rPr>
        <w:t xml:space="preserve"> </w:t>
      </w:r>
      <w:r>
        <w:rPr>
          <w:rFonts w:ascii="Times New Roman" w:hAnsi="Times New Roman"/>
        </w:rPr>
        <w:t>conflict of interest the taxpayer had reason to know of.</w:t>
      </w:r>
    </w:p>
    <w:p w14:paraId="6C0757FC" w14:textId="77777777" w:rsidR="00074A0E" w:rsidRDefault="00074A0E">
      <w:pPr>
        <w:widowControl/>
        <w:spacing w:before="120"/>
        <w:ind w:firstLine="360"/>
        <w:jc w:val="both"/>
        <w:rPr>
          <w:rFonts w:ascii="Times New Roman" w:hAnsi="Times New Roman"/>
        </w:rPr>
        <w:sectPr w:rsidR="00074A0E">
          <w:headerReference w:type="default" r:id="rId8"/>
          <w:type w:val="continuous"/>
          <w:pgSz w:w="12240" w:h="15840"/>
          <w:pgMar w:top="1728" w:right="1296" w:bottom="1296" w:left="1296" w:header="720" w:footer="720" w:gutter="0"/>
          <w:cols w:num="2" w:space="432"/>
          <w:noEndnote/>
        </w:sectPr>
      </w:pPr>
    </w:p>
    <w:p w14:paraId="70C75754" w14:textId="77777777" w:rsidR="00074A0E" w:rsidRDefault="00074A0E">
      <w:pPr>
        <w:widowControl/>
        <w:rPr>
          <w:rFonts w:ascii="Times New Roman" w:hAnsi="Times New Roman"/>
        </w:rPr>
      </w:pPr>
    </w:p>
    <w:sectPr w:rsidR="00074A0E">
      <w:headerReference w:type="default" r:id="rId9"/>
      <w:type w:val="continuous"/>
      <w:pgSz w:w="12240" w:h="15840"/>
      <w:pgMar w:top="1728" w:right="1296" w:bottom="1296" w:left="129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EF8248" w14:textId="77777777" w:rsidR="00FE60A0" w:rsidRDefault="00FE60A0">
      <w:r>
        <w:separator/>
      </w:r>
    </w:p>
  </w:endnote>
  <w:endnote w:type="continuationSeparator" w:id="0">
    <w:p w14:paraId="64A5FE6D" w14:textId="77777777" w:rsidR="00FE60A0" w:rsidRDefault="00FE6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EDA983" w14:textId="77777777" w:rsidR="00FE60A0" w:rsidRDefault="00FE60A0">
      <w:r>
        <w:separator/>
      </w:r>
    </w:p>
  </w:footnote>
  <w:footnote w:type="continuationSeparator" w:id="0">
    <w:p w14:paraId="3C97322D" w14:textId="77777777" w:rsidR="00FE60A0" w:rsidRDefault="00FE60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89D4C" w14:textId="77777777" w:rsidR="00074A0E" w:rsidRDefault="00074A0E">
    <w:pPr>
      <w:widowControl/>
      <w:jc w:val="right"/>
      <w:rPr>
        <w:rFonts w:ascii="Times New Roman" w:hAnsi="Times New Roman"/>
      </w:rPr>
    </w:pPr>
    <w:r>
      <w:rPr>
        <w:rFonts w:ascii="Times New Roman" w:hAnsi="Times New Roman"/>
      </w:rPr>
      <w:t xml:space="preserve">Page </w:t>
    </w:r>
    <w:r>
      <w:rPr>
        <w:rFonts w:ascii="Times New Roman" w:hAnsi="Times New Roman"/>
      </w:rPr>
      <w:pgNum/>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85E50" w14:textId="77777777" w:rsidR="00074A0E" w:rsidRDefault="00074A0E">
    <w:pPr>
      <w:widowControl/>
      <w:jc w:val="right"/>
      <w:rPr>
        <w:rFonts w:ascii="Times New Roman" w:hAnsi="Times New Roman"/>
      </w:rPr>
    </w:pPr>
    <w:r>
      <w:rPr>
        <w:rFonts w:ascii="Times New Roman" w:hAnsi="Times New Roman"/>
      </w:rPr>
      <w:t xml:space="preserve">Page </w:t>
    </w:r>
    <w:r>
      <w:rPr>
        <w:rFonts w:ascii="Times New Roman" w:hAnsi="Times New Roman"/>
      </w:rPr>
      <w:pgNum/>
    </w:r>
  </w:p>
  <w:p w14:paraId="39B6EAB2" w14:textId="77777777" w:rsidR="00074A0E" w:rsidRDefault="00074A0E">
    <w:pPr>
      <w:widowControl/>
      <w:suppressAutoHyphens/>
      <w:jc w:val="center"/>
      <w:rPr>
        <w:rFonts w:ascii="Times New Roman" w:hAnsi="Times New Roman"/>
      </w:rPr>
    </w:pPr>
    <w:r>
      <w:rPr>
        <w:rFonts w:ascii="Times New Roman" w:hAnsi="Times New Roman"/>
      </w:rPr>
      <w:t>2010 U.S. Tax Ct. LEXIS 25, *; 135 T.C. No. 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4982D8" w14:textId="71B3CFCB" w:rsidR="00074A0E" w:rsidRDefault="00074A0E" w:rsidP="00913257">
    <w:pPr>
      <w:widowControl/>
      <w:jc w:val="right"/>
      <w:rPr>
        <w:rFonts w:ascii="Times New Roman" w:hAnsi="Times New Roman"/>
      </w:rPr>
    </w:pPr>
    <w:r>
      <w:rPr>
        <w:rFonts w:ascii="Times New Roman" w:hAnsi="Times New Roman"/>
      </w:rPr>
      <w:t xml:space="preserve">Page </w:t>
    </w:r>
    <w:r>
      <w:rPr>
        <w:rFonts w:ascii="Times New Roman" w:hAnsi="Times New Roman"/>
      </w:rPr>
      <w:pgNum/>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E3899" w14:textId="77777777" w:rsidR="00074A0E" w:rsidRDefault="00074A0E">
    <w:pPr>
      <w:widowControl/>
      <w:rPr>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342"/>
    <w:rsid w:val="00074A0E"/>
    <w:rsid w:val="000E50E3"/>
    <w:rsid w:val="002C74DA"/>
    <w:rsid w:val="002D6E21"/>
    <w:rsid w:val="002D75D3"/>
    <w:rsid w:val="003F0877"/>
    <w:rsid w:val="004E20CC"/>
    <w:rsid w:val="00551342"/>
    <w:rsid w:val="00594482"/>
    <w:rsid w:val="005F43F7"/>
    <w:rsid w:val="00770FE4"/>
    <w:rsid w:val="008140E4"/>
    <w:rsid w:val="00867F84"/>
    <w:rsid w:val="008D4E9E"/>
    <w:rsid w:val="00913257"/>
    <w:rsid w:val="00982175"/>
    <w:rsid w:val="00C830DD"/>
    <w:rsid w:val="00CD538D"/>
    <w:rsid w:val="00CE59D6"/>
    <w:rsid w:val="00E059C9"/>
    <w:rsid w:val="00EA05E1"/>
    <w:rsid w:val="00FE60A0"/>
    <w:rsid w:val="00FF513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4E41E0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3257"/>
    <w:pPr>
      <w:tabs>
        <w:tab w:val="center" w:pos="4680"/>
        <w:tab w:val="right" w:pos="9360"/>
      </w:tabs>
    </w:pPr>
  </w:style>
  <w:style w:type="character" w:customStyle="1" w:styleId="HeaderChar">
    <w:name w:val="Header Char"/>
    <w:basedOn w:val="DefaultParagraphFont"/>
    <w:link w:val="Header"/>
    <w:uiPriority w:val="99"/>
    <w:rsid w:val="00913257"/>
    <w:rPr>
      <w:rFonts w:ascii="Courier" w:hAnsi="Courier"/>
    </w:rPr>
  </w:style>
  <w:style w:type="paragraph" w:styleId="Footer">
    <w:name w:val="footer"/>
    <w:basedOn w:val="Normal"/>
    <w:link w:val="FooterChar"/>
    <w:uiPriority w:val="99"/>
    <w:unhideWhenUsed/>
    <w:rsid w:val="00913257"/>
    <w:pPr>
      <w:tabs>
        <w:tab w:val="center" w:pos="4680"/>
        <w:tab w:val="right" w:pos="9360"/>
      </w:tabs>
    </w:pPr>
  </w:style>
  <w:style w:type="character" w:customStyle="1" w:styleId="FooterChar">
    <w:name w:val="Footer Char"/>
    <w:basedOn w:val="DefaultParagraphFont"/>
    <w:link w:val="Footer"/>
    <w:uiPriority w:val="99"/>
    <w:rsid w:val="00913257"/>
    <w:rPr>
      <w:rFonts w:ascii="Courier"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6823</Words>
  <Characters>36743</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J Colon</cp:lastModifiedBy>
  <cp:revision>2</cp:revision>
  <dcterms:created xsi:type="dcterms:W3CDTF">2021-04-20T14:30:00Z</dcterms:created>
  <dcterms:modified xsi:type="dcterms:W3CDTF">2021-04-20T14:30:00Z</dcterms:modified>
</cp:coreProperties>
</file>