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119" w:rsidRDefault="000F3119" w:rsidP="000F3119">
      <w:pPr>
        <w:widowControl w:val="0"/>
        <w:autoSpaceDE w:val="0"/>
        <w:autoSpaceDN w:val="0"/>
        <w:adjustRightInd w:val="0"/>
        <w:ind w:left="720" w:firstLine="720"/>
        <w:rPr>
          <w:rFonts w:ascii="Times New Roman" w:hAnsi="Times New Roman"/>
          <w:color w:val="000000"/>
        </w:rPr>
      </w:pPr>
      <w:bookmarkStart w:id="0" w:name="_GoBack"/>
      <w:bookmarkEnd w:id="0"/>
      <w:r>
        <w:rPr>
          <w:rFonts w:ascii="Times New Roman" w:hAnsi="Times New Roman"/>
          <w:color w:val="000000"/>
          <w:sz w:val="20"/>
        </w:rPr>
        <w:t>United States Tax Court</w:t>
      </w:r>
    </w:p>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STANLEY C. ORRISCH AND GERTA E. ORRISCH, PETITIONERS</w:t>
      </w:r>
    </w:p>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v.</w:t>
      </w:r>
    </w:p>
    <w:p w:rsidR="000F3119" w:rsidRDefault="000F3119" w:rsidP="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CIR</w:t>
      </w: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FEATHERSTON, Judge:</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Respondent determined deficiencies in petitioners' income tax for 1966 and 1967 in the respective amounts of $2,814.19 and $3,018.11. The only issue for decision is whether an amendment to a partnership agreement all</w:t>
      </w:r>
      <w:r>
        <w:rPr>
          <w:rFonts w:ascii="Times New Roman" w:hAnsi="Times New Roman"/>
          <w:color w:val="000000"/>
          <w:sz w:val="20"/>
        </w:rPr>
        <w:t>o</w:t>
      </w:r>
      <w:r>
        <w:rPr>
          <w:rFonts w:ascii="Times New Roman" w:hAnsi="Times New Roman"/>
          <w:color w:val="000000"/>
          <w:sz w:val="20"/>
        </w:rPr>
        <w:t>cating to petitioners the entire amount of the depreciation deduction allowable on two buildings owned by the par</w:t>
      </w:r>
      <w:r>
        <w:rPr>
          <w:rFonts w:ascii="Times New Roman" w:hAnsi="Times New Roman"/>
          <w:color w:val="000000"/>
          <w:sz w:val="20"/>
        </w:rPr>
        <w:t>t</w:t>
      </w:r>
      <w:r>
        <w:rPr>
          <w:rFonts w:ascii="Times New Roman" w:hAnsi="Times New Roman"/>
          <w:color w:val="000000"/>
          <w:sz w:val="20"/>
        </w:rPr>
        <w:t xml:space="preserve">nership was made for the principal purpose of avoidance of tax within the meaning of </w:t>
      </w:r>
      <w:hyperlink r:id="rId8" w:history="1">
        <w:r>
          <w:rPr>
            <w:rFonts w:ascii="Times New Roman" w:hAnsi="Times New Roman"/>
            <w:color w:val="0000FF"/>
            <w:sz w:val="20"/>
            <w:u w:val="single"/>
          </w:rPr>
          <w:t>section 704(b)</w:t>
        </w:r>
      </w:hyperlink>
      <w:bookmarkStart w:id="1" w:name="Document1zzF00111971290157"/>
      <w:bookmarkEnd w:id="1"/>
      <w:r>
        <w:rPr>
          <w:rFonts w:ascii="Times New Roman" w:hAnsi="Times New Roman"/>
          <w:color w:val="000000"/>
        </w:rPr>
        <w:t>.</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FINDINGS OF FACT</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 xml:space="preserve">Stanley C. Orrisch (hereinafter sometimes referred to as Orrisch) and Gerta E. Orrisch were husband and wife until a judgment of </w:t>
      </w:r>
      <w:r>
        <w:rPr>
          <w:rFonts w:ascii="Times New Roman" w:hAnsi="Times New Roman"/>
          <w:b/>
          <w:bCs/>
          <w:color w:val="000000"/>
          <w:sz w:val="20"/>
        </w:rPr>
        <w:t>*396</w:t>
      </w:r>
      <w:r>
        <w:rPr>
          <w:rFonts w:ascii="Times New Roman" w:hAnsi="Times New Roman"/>
          <w:color w:val="000000"/>
          <w:sz w:val="20"/>
        </w:rPr>
        <w:t xml:space="preserve"> divorce was entered by the S</w:t>
      </w:r>
      <w:r>
        <w:rPr>
          <w:rFonts w:ascii="Times New Roman" w:hAnsi="Times New Roman"/>
          <w:color w:val="000000"/>
          <w:sz w:val="20"/>
        </w:rPr>
        <w:t>u</w:t>
      </w:r>
      <w:r>
        <w:rPr>
          <w:rFonts w:ascii="Times New Roman" w:hAnsi="Times New Roman"/>
          <w:color w:val="000000"/>
          <w:sz w:val="20"/>
        </w:rPr>
        <w:t>perior Court of San Mateo County, Calif. on May 22, 1969. They filed joint Federal income tax returns for 1966 and 1967 with the district director of internal revenue, San Francisco, Calif. At the time they filed their petition, they were legal residents of Burlingame, Calif.</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In May of 1963, Dominick J. and Elaine J. Crisafi (her</w:t>
      </w:r>
      <w:r>
        <w:rPr>
          <w:rFonts w:ascii="Times New Roman" w:hAnsi="Times New Roman"/>
          <w:color w:val="000000"/>
          <w:sz w:val="20"/>
        </w:rPr>
        <w:t>e</w:t>
      </w:r>
      <w:r>
        <w:rPr>
          <w:rFonts w:ascii="Times New Roman" w:hAnsi="Times New Roman"/>
          <w:color w:val="000000"/>
          <w:sz w:val="20"/>
        </w:rPr>
        <w:t>inafter the Crisafis) and petitioners formed a partnership to purchase and operate two apartment houses, one loca</w:t>
      </w:r>
      <w:r>
        <w:rPr>
          <w:rFonts w:ascii="Times New Roman" w:hAnsi="Times New Roman"/>
          <w:color w:val="000000"/>
          <w:sz w:val="20"/>
        </w:rPr>
        <w:t>t</w:t>
      </w:r>
      <w:r>
        <w:rPr>
          <w:rFonts w:ascii="Times New Roman" w:hAnsi="Times New Roman"/>
          <w:color w:val="000000"/>
          <w:sz w:val="20"/>
        </w:rPr>
        <w:t>ed at 1255 Taylor Street, San Francisco, and the other at 600 Ansel Road, Burlingame, Calif. The cost of the Ta</w:t>
      </w:r>
      <w:r>
        <w:rPr>
          <w:rFonts w:ascii="Times New Roman" w:hAnsi="Times New Roman"/>
          <w:color w:val="000000"/>
          <w:sz w:val="20"/>
        </w:rPr>
        <w:t>y</w:t>
      </w:r>
      <w:r>
        <w:rPr>
          <w:rFonts w:ascii="Times New Roman" w:hAnsi="Times New Roman"/>
          <w:color w:val="000000"/>
          <w:sz w:val="20"/>
        </w:rPr>
        <w:t>lor Street property was $229,011.08, and of the Ansel Road property was $155,974.90. The purchase of each property was financed principally by a secured loan. Pet</w:t>
      </w:r>
      <w:r>
        <w:rPr>
          <w:rFonts w:ascii="Times New Roman" w:hAnsi="Times New Roman"/>
          <w:color w:val="000000"/>
          <w:sz w:val="20"/>
        </w:rPr>
        <w:t>i</w:t>
      </w:r>
      <w:r>
        <w:rPr>
          <w:rFonts w:ascii="Times New Roman" w:hAnsi="Times New Roman"/>
          <w:color w:val="000000"/>
          <w:sz w:val="20"/>
        </w:rPr>
        <w:t>tioners and the Crisafis initially contributed to the partne</w:t>
      </w:r>
      <w:r>
        <w:rPr>
          <w:rFonts w:ascii="Times New Roman" w:hAnsi="Times New Roman"/>
          <w:color w:val="000000"/>
          <w:sz w:val="20"/>
        </w:rPr>
        <w:t>r</w:t>
      </w:r>
      <w:r>
        <w:rPr>
          <w:rFonts w:ascii="Times New Roman" w:hAnsi="Times New Roman"/>
          <w:color w:val="000000"/>
          <w:sz w:val="20"/>
        </w:rPr>
        <w:t>ship cash in the amounts of $26,500 and $12,500, respe</w:t>
      </w:r>
      <w:r>
        <w:rPr>
          <w:rFonts w:ascii="Times New Roman" w:hAnsi="Times New Roman"/>
          <w:color w:val="000000"/>
          <w:sz w:val="20"/>
        </w:rPr>
        <w:t>c</w:t>
      </w:r>
      <w:r>
        <w:rPr>
          <w:rFonts w:ascii="Times New Roman" w:hAnsi="Times New Roman"/>
          <w:color w:val="000000"/>
          <w:sz w:val="20"/>
        </w:rPr>
        <w:t>tively. During 1964 and 1965 petitioners and the Crisafis each contributed additional cash in the amounts of $8,800. Under the partnership agreement, which was not in wri</w:t>
      </w:r>
      <w:r>
        <w:rPr>
          <w:rFonts w:ascii="Times New Roman" w:hAnsi="Times New Roman"/>
          <w:color w:val="000000"/>
          <w:sz w:val="20"/>
        </w:rPr>
        <w:t>t</w:t>
      </w:r>
      <w:r>
        <w:rPr>
          <w:rFonts w:ascii="Times New Roman" w:hAnsi="Times New Roman"/>
          <w:color w:val="000000"/>
          <w:sz w:val="20"/>
        </w:rPr>
        <w:t>ing, they agreed to share equally the profits and losses from the venture.</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During each of the years 1963, 1964, and 1965, the par</w:t>
      </w:r>
      <w:r>
        <w:rPr>
          <w:rFonts w:ascii="Times New Roman" w:hAnsi="Times New Roman"/>
          <w:color w:val="000000"/>
          <w:sz w:val="20"/>
        </w:rPr>
        <w:t>t</w:t>
      </w:r>
      <w:r>
        <w:rPr>
          <w:rFonts w:ascii="Times New Roman" w:hAnsi="Times New Roman"/>
          <w:color w:val="000000"/>
          <w:sz w:val="20"/>
        </w:rPr>
        <w:t>nership suffered losses, attributable in part to the acceler</w:t>
      </w:r>
      <w:r>
        <w:rPr>
          <w:rFonts w:ascii="Times New Roman" w:hAnsi="Times New Roman"/>
          <w:color w:val="000000"/>
          <w:sz w:val="20"/>
        </w:rPr>
        <w:t>a</w:t>
      </w:r>
      <w:r>
        <w:rPr>
          <w:rFonts w:ascii="Times New Roman" w:hAnsi="Times New Roman"/>
          <w:color w:val="000000"/>
          <w:sz w:val="20"/>
        </w:rPr>
        <w:t>tion of depreciation- the deduction was computed on the basis of 150 percent of straight-line depreciation. The amounts of the depreciation deductions, the reported loss for each of the 3 years as reflected in the partnership r</w:t>
      </w:r>
      <w:r>
        <w:rPr>
          <w:rFonts w:ascii="Times New Roman" w:hAnsi="Times New Roman"/>
          <w:color w:val="000000"/>
          <w:sz w:val="20"/>
        </w:rPr>
        <w:t>e</w:t>
      </w:r>
      <w:r>
        <w:rPr>
          <w:rFonts w:ascii="Times New Roman" w:hAnsi="Times New Roman"/>
          <w:color w:val="000000"/>
          <w:sz w:val="20"/>
        </w:rPr>
        <w:t>turns, and the amounts of each partner's share of the los</w:t>
      </w:r>
      <w:r>
        <w:rPr>
          <w:rFonts w:ascii="Times New Roman" w:hAnsi="Times New Roman"/>
          <w:color w:val="000000"/>
          <w:sz w:val="20"/>
        </w:rPr>
        <w:t>s</w:t>
      </w:r>
      <w:r>
        <w:rPr>
          <w:rFonts w:ascii="Times New Roman" w:hAnsi="Times New Roman"/>
          <w:color w:val="000000"/>
          <w:sz w:val="20"/>
        </w:rPr>
        <w:t>es are as follows:</w:t>
      </w:r>
    </w:p>
    <w:p w:rsidR="000F3119" w:rsidRDefault="000F3119">
      <w:pPr>
        <w:widowControl w:val="0"/>
        <w:autoSpaceDE w:val="0"/>
        <w:autoSpaceDN w:val="0"/>
        <w:adjustRightInd w:val="0"/>
        <w:jc w:val="both"/>
        <w:rPr>
          <w:rFonts w:ascii="Times New Roman" w:hAnsi="Times New Roman"/>
        </w:rPr>
        <w:sectPr w:rsidR="000F3119">
          <w:headerReference w:type="default" r:id="rId9"/>
          <w:footerReference w:type="default" r:id="rId10"/>
          <w:type w:val="continuous"/>
          <w:pgSz w:w="12240" w:h="15840"/>
          <w:pgMar w:top="2016" w:right="1080" w:bottom="1800" w:left="1080" w:header="720" w:footer="720" w:gutter="0"/>
          <w:cols w:num="2" w:space="720"/>
          <w:noEndnote/>
        </w:sectPr>
      </w:pPr>
    </w:p>
    <w:p w:rsidR="000F3119" w:rsidRDefault="000F3119">
      <w:pPr>
        <w:widowControl w:val="0"/>
        <w:autoSpaceDE w:val="0"/>
        <w:autoSpaceDN w:val="0"/>
        <w:adjustRightInd w:val="0"/>
        <w:rPr>
          <w:rFonts w:ascii="Times New Roman" w:hAnsi="Times New Roman"/>
          <w:color w:val="000000"/>
        </w:rPr>
      </w:pPr>
    </w:p>
    <w:tbl>
      <w:tblPr>
        <w:tblW w:w="0" w:type="auto"/>
        <w:tblInd w:w="28" w:type="dxa"/>
        <w:tblLayout w:type="fixed"/>
        <w:tblCellMar>
          <w:left w:w="0" w:type="dxa"/>
          <w:right w:w="0" w:type="dxa"/>
        </w:tblCellMar>
        <w:tblLook w:val="0000" w:firstRow="0" w:lastRow="0" w:firstColumn="0" w:lastColumn="0" w:noHBand="0" w:noVBand="0"/>
      </w:tblPr>
      <w:tblGrid>
        <w:gridCol w:w="2520"/>
        <w:gridCol w:w="2520"/>
        <w:gridCol w:w="2520"/>
        <w:gridCol w:w="2520"/>
      </w:tblGrid>
      <w:tr w:rsidR="000F3119">
        <w:tblPrEx>
          <w:tblCellMar>
            <w:top w:w="0" w:type="dxa"/>
            <w:left w:w="0" w:type="dxa"/>
            <w:bottom w:w="0" w:type="dxa"/>
            <w:right w:w="0" w:type="dxa"/>
          </w:tblCellMar>
        </w:tblPrEx>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Each partner's</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Depreciation</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share of the</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Year</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deducted</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Total loss</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losses-50</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percent of the</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total loss</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1963</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$9,886.20</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$9,716.14</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$4,858.07</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1964</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21,051.95</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17,812.33</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vertAlign w:val="superscript"/>
              </w:rPr>
              <w:t>1</w:t>
            </w:r>
            <w:r>
              <w:rPr>
                <w:rFonts w:ascii="Times New Roman" w:hAnsi="Times New Roman"/>
                <w:color w:val="000000"/>
                <w:sz w:val="20"/>
              </w:rPr>
              <w:t xml:space="preserve"> 8,906.17</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1965</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19,894.24</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18,952.59</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vertAlign w:val="superscript"/>
              </w:rPr>
              <w:t>1</w:t>
            </w:r>
            <w:r>
              <w:rPr>
                <w:rFonts w:ascii="Times New Roman" w:hAnsi="Times New Roman"/>
                <w:color w:val="000000"/>
                <w:sz w:val="20"/>
              </w:rPr>
              <w:t xml:space="preserve"> 9,476.30</w:t>
            </w:r>
          </w:p>
        </w:tc>
      </w:tr>
    </w:tbl>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ind w:left="720"/>
        <w:jc w:val="both"/>
        <w:rPr>
          <w:rFonts w:ascii="Times New Roman" w:hAnsi="Times New Roman"/>
          <w:color w:val="000000"/>
        </w:rPr>
      </w:pPr>
      <w:bookmarkStart w:id="2" w:name="Document1zzfnid87"/>
      <w:bookmarkEnd w:id="2"/>
      <w:r>
        <w:rPr>
          <w:rFonts w:ascii="Times New Roman" w:hAnsi="Times New Roman"/>
          <w:color w:val="000000"/>
          <w:sz w:val="20"/>
        </w:rPr>
        <w:t>FN1 The amounts of the losses allocated to the Crisafis for 1964 and 1965 were actually $8,906.</w:t>
      </w:r>
      <w:r>
        <w:rPr>
          <w:rFonts w:ascii="Times New Roman" w:hAnsi="Times New Roman"/>
          <w:color w:val="000000"/>
          <w:sz w:val="20"/>
          <w:u w:val="single"/>
        </w:rPr>
        <w:t>16</w:t>
      </w:r>
      <w:r>
        <w:rPr>
          <w:rFonts w:ascii="Times New Roman" w:hAnsi="Times New Roman"/>
          <w:color w:val="000000"/>
          <w:sz w:val="20"/>
        </w:rPr>
        <w:t xml:space="preserve"> and $9,476.</w:t>
      </w:r>
      <w:r>
        <w:rPr>
          <w:rFonts w:ascii="Times New Roman" w:hAnsi="Times New Roman"/>
          <w:color w:val="000000"/>
          <w:sz w:val="20"/>
          <w:u w:val="single"/>
        </w:rPr>
        <w:t>29</w:t>
      </w:r>
      <w:r>
        <w:rPr>
          <w:rFonts w:ascii="Times New Roman" w:hAnsi="Times New Roman"/>
          <w:color w:val="000000"/>
          <w:sz w:val="20"/>
        </w:rPr>
        <w:t>, respectively.</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rPr>
        <w:sectPr w:rsidR="000F3119">
          <w:type w:val="continuous"/>
          <w:pgSz w:w="12240" w:h="15840"/>
          <w:pgMar w:top="2016" w:right="1080" w:bottom="1800" w:left="1080" w:header="720" w:footer="720" w:gutter="0"/>
          <w:cols w:space="720"/>
          <w:noEndnote/>
        </w:sect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lastRenderedPageBreak/>
        <w:t>Petitioners and the Crisafis respectively reported in their individual income tax returns for these years the partne</w:t>
      </w:r>
      <w:r>
        <w:rPr>
          <w:rFonts w:ascii="Times New Roman" w:hAnsi="Times New Roman"/>
          <w:color w:val="000000"/>
          <w:sz w:val="20"/>
        </w:rPr>
        <w:t>r</w:t>
      </w:r>
      <w:r>
        <w:rPr>
          <w:rFonts w:ascii="Times New Roman" w:hAnsi="Times New Roman"/>
          <w:color w:val="000000"/>
          <w:sz w:val="20"/>
        </w:rPr>
        <w:t>ship losses allocated to them.</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Petitioners enjoyed substantial amounts of income from several sources, the principal one being a nautical equi</w:t>
      </w:r>
      <w:r>
        <w:rPr>
          <w:rFonts w:ascii="Times New Roman" w:hAnsi="Times New Roman"/>
          <w:color w:val="000000"/>
          <w:sz w:val="20"/>
        </w:rPr>
        <w:t>p</w:t>
      </w:r>
      <w:r>
        <w:rPr>
          <w:rFonts w:ascii="Times New Roman" w:hAnsi="Times New Roman"/>
          <w:color w:val="000000"/>
          <w:sz w:val="20"/>
        </w:rPr>
        <w:t xml:space="preserve">ment sales and repair business. In their joint income tax returns for 1963, 1964, and 1965, petitioners reported </w:t>
      </w:r>
      <w:r>
        <w:rPr>
          <w:rFonts w:ascii="Times New Roman" w:hAnsi="Times New Roman"/>
          <w:color w:val="000000"/>
          <w:sz w:val="20"/>
        </w:rPr>
        <w:lastRenderedPageBreak/>
        <w:t>taxable income in the respective amounts of $10,462.70, $5,898.85, and $50,332, together with taxes thereon in the amounts of $2,320.30, $1,059.80, and $12,834.</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Crisafis were also engaged in other business endea</w:t>
      </w:r>
      <w:r>
        <w:rPr>
          <w:rFonts w:ascii="Times New Roman" w:hAnsi="Times New Roman"/>
          <w:color w:val="000000"/>
          <w:sz w:val="20"/>
        </w:rPr>
        <w:t>v</w:t>
      </w:r>
      <w:r>
        <w:rPr>
          <w:rFonts w:ascii="Times New Roman" w:hAnsi="Times New Roman"/>
          <w:color w:val="000000"/>
          <w:sz w:val="20"/>
        </w:rPr>
        <w:t>ors, principally an insurance brokerage business. They owned other real property, however, from which they realized losses, attributable largely tosubstantial depreci</w:t>
      </w:r>
      <w:r>
        <w:rPr>
          <w:rFonts w:ascii="Times New Roman" w:hAnsi="Times New Roman"/>
          <w:color w:val="000000"/>
          <w:sz w:val="20"/>
        </w:rPr>
        <w:t>a</w:t>
      </w:r>
      <w:r>
        <w:rPr>
          <w:rFonts w:ascii="Times New Roman" w:hAnsi="Times New Roman"/>
          <w:color w:val="000000"/>
          <w:sz w:val="20"/>
        </w:rPr>
        <w:lastRenderedPageBreak/>
        <w:t>tion deductions. In their joint income tax returns for 1963, 1964, and 1965, they reported no net taxable income.</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Early in 1966, petitioners and the Crisafis orally agreed that, for 1966 and subsequent years, the entire amount of the partnership's depreciation deductions would be sp</w:t>
      </w:r>
      <w:r>
        <w:rPr>
          <w:rFonts w:ascii="Times New Roman" w:hAnsi="Times New Roman"/>
          <w:color w:val="000000"/>
          <w:sz w:val="20"/>
        </w:rPr>
        <w:t>e</w:t>
      </w:r>
      <w:r>
        <w:rPr>
          <w:rFonts w:ascii="Times New Roman" w:hAnsi="Times New Roman"/>
          <w:color w:val="000000"/>
          <w:sz w:val="20"/>
        </w:rPr>
        <w:t>cially allocated to petitioners, and that the gain or loss from the partnership's business, computed without regard to any deduction for depreciation, would be divided equally. They further agreed that, in the event the partne</w:t>
      </w:r>
      <w:r>
        <w:rPr>
          <w:rFonts w:ascii="Times New Roman" w:hAnsi="Times New Roman"/>
          <w:color w:val="000000"/>
          <w:sz w:val="20"/>
        </w:rPr>
        <w:t>r</w:t>
      </w:r>
      <w:r>
        <w:rPr>
          <w:rFonts w:ascii="Times New Roman" w:hAnsi="Times New Roman"/>
          <w:color w:val="000000"/>
          <w:sz w:val="20"/>
        </w:rPr>
        <w:t>ship property was sold at a gain, the specially allocated depreciation would be ‘charged back’ to petitioner's cap</w:t>
      </w:r>
      <w:r>
        <w:rPr>
          <w:rFonts w:ascii="Times New Roman" w:hAnsi="Times New Roman"/>
          <w:color w:val="000000"/>
          <w:sz w:val="20"/>
        </w:rPr>
        <w:t>i</w:t>
      </w:r>
      <w:r>
        <w:rPr>
          <w:rFonts w:ascii="Times New Roman" w:hAnsi="Times New Roman"/>
          <w:color w:val="000000"/>
          <w:sz w:val="20"/>
        </w:rPr>
        <w:t>tal account and petitioner would pay the tax on the gain attributable thereto.</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operation results of the partnership for 1966 and 1967 as reflected in the partnership returns were as follows:</w:t>
      </w:r>
    </w:p>
    <w:p w:rsidR="000F3119" w:rsidRDefault="000F3119">
      <w:pPr>
        <w:widowControl w:val="0"/>
        <w:autoSpaceDE w:val="0"/>
        <w:autoSpaceDN w:val="0"/>
        <w:adjustRightInd w:val="0"/>
        <w:jc w:val="both"/>
        <w:rPr>
          <w:rFonts w:ascii="Times New Roman" w:hAnsi="Times New Roman"/>
        </w:rPr>
        <w:sectPr w:rsidR="000F3119">
          <w:type w:val="continuous"/>
          <w:pgSz w:w="12240" w:h="15840"/>
          <w:pgMar w:top="2016" w:right="1080" w:bottom="1800" w:left="1080" w:header="720" w:footer="720" w:gutter="0"/>
          <w:cols w:num="2" w:space="720"/>
          <w:noEndnote/>
        </w:sectPr>
      </w:pPr>
    </w:p>
    <w:p w:rsidR="000F3119" w:rsidRDefault="000F3119">
      <w:pPr>
        <w:widowControl w:val="0"/>
        <w:autoSpaceDE w:val="0"/>
        <w:autoSpaceDN w:val="0"/>
        <w:adjustRightInd w:val="0"/>
        <w:rPr>
          <w:rFonts w:ascii="Times New Roman" w:hAnsi="Times New Roman"/>
          <w:color w:val="000000"/>
        </w:rPr>
      </w:pPr>
    </w:p>
    <w:tbl>
      <w:tblPr>
        <w:tblW w:w="0" w:type="auto"/>
        <w:tblInd w:w="28" w:type="dxa"/>
        <w:tblLayout w:type="fixed"/>
        <w:tblCellMar>
          <w:left w:w="0" w:type="dxa"/>
          <w:right w:w="0" w:type="dxa"/>
        </w:tblCellMar>
        <w:tblLook w:val="0000" w:firstRow="0" w:lastRow="0" w:firstColumn="0" w:lastColumn="0" w:noHBand="0" w:noVBand="0"/>
      </w:tblPr>
      <w:tblGrid>
        <w:gridCol w:w="2520"/>
        <w:gridCol w:w="2520"/>
        <w:gridCol w:w="2520"/>
        <w:gridCol w:w="2520"/>
      </w:tblGrid>
      <w:tr w:rsidR="000F3119">
        <w:tblPrEx>
          <w:tblCellMar>
            <w:top w:w="0" w:type="dxa"/>
            <w:left w:w="0" w:type="dxa"/>
            <w:bottom w:w="0" w:type="dxa"/>
            <w:right w:w="0" w:type="dxa"/>
          </w:tblCellMar>
        </w:tblPrEx>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Depreciation</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Loss (including</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Gain (or loss)</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Year</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deducted</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depreciation)</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without regard</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to depreciation</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1966</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$18,412.00</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$19,396.00</w:t>
            </w:r>
          </w:p>
        </w:tc>
        <w:tc>
          <w:tcPr>
            <w:tcW w:w="252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($984.00)</w:t>
            </w:r>
          </w:p>
        </w:tc>
      </w:tr>
      <w:tr w:rsidR="000F3119">
        <w:tblPrEx>
          <w:tblCellMar>
            <w:top w:w="0" w:type="dxa"/>
            <w:left w:w="0" w:type="dxa"/>
            <w:bottom w:w="0" w:type="dxa"/>
            <w:right w:w="0" w:type="dxa"/>
          </w:tblCellMar>
        </w:tblPrEx>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1967</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17,180.75</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jc w:val="right"/>
              <w:rPr>
                <w:rFonts w:ascii="Times New Roman" w:hAnsi="Times New Roman"/>
                <w:color w:val="000000"/>
              </w:rPr>
            </w:pPr>
            <w:r>
              <w:rPr>
                <w:rFonts w:ascii="Times New Roman" w:hAnsi="Times New Roman"/>
                <w:color w:val="000000"/>
                <w:sz w:val="20"/>
              </w:rPr>
              <w:t>16,560.78</w:t>
            </w:r>
          </w:p>
        </w:tc>
        <w:tc>
          <w:tcPr>
            <w:tcW w:w="252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619.97</w:t>
            </w:r>
          </w:p>
        </w:tc>
      </w:tr>
    </w:tbl>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rPr>
        <w:sectPr w:rsidR="000F3119">
          <w:type w:val="continuous"/>
          <w:pgSz w:w="12240" w:h="15840"/>
          <w:pgMar w:top="2016" w:right="1080" w:bottom="1800" w:left="1080" w:header="720" w:footer="720" w:gutter="0"/>
          <w:cols w:space="720"/>
          <w:noEndnote/>
        </w:sect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partnership returns for these show that, taking into account the special arrangement as to depreciation, losses in the amounts of $18,904 and $16,870.76 were allocated to petitioners for 1966 and 1967, respectively, and pet</w:t>
      </w:r>
      <w:r>
        <w:rPr>
          <w:rFonts w:ascii="Times New Roman" w:hAnsi="Times New Roman"/>
          <w:color w:val="000000"/>
          <w:sz w:val="20"/>
        </w:rPr>
        <w:t>i</w:t>
      </w:r>
      <w:r>
        <w:rPr>
          <w:rFonts w:ascii="Times New Roman" w:hAnsi="Times New Roman"/>
          <w:color w:val="000000"/>
          <w:sz w:val="20"/>
        </w:rPr>
        <w:t>tioners claimed these amounts as deductions in their joint income tax returns for those years. The partnership r</w:t>
      </w:r>
      <w:r>
        <w:rPr>
          <w:rFonts w:ascii="Times New Roman" w:hAnsi="Times New Roman"/>
          <w:color w:val="000000"/>
          <w:sz w:val="20"/>
        </w:rPr>
        <w:t>e</w:t>
      </w:r>
      <w:r>
        <w:rPr>
          <w:rFonts w:ascii="Times New Roman" w:hAnsi="Times New Roman"/>
          <w:color w:val="000000"/>
          <w:sz w:val="20"/>
        </w:rPr>
        <w:t>turns reported distributions to the Crisafis in the form of a $492 loss for 1966 and a $309.98 gain for 1967. The Crisafis' joint income tax returns reflected that they had no net taxable income for either 1966 or 1967.</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net capital contributions, allocations of profits, losses and depreciation, and ending balances of the capital a</w:t>
      </w:r>
      <w:r>
        <w:rPr>
          <w:rFonts w:ascii="Times New Roman" w:hAnsi="Times New Roman"/>
          <w:color w:val="000000"/>
          <w:sz w:val="20"/>
        </w:rPr>
        <w:t>c</w:t>
      </w:r>
      <w:r>
        <w:rPr>
          <w:rFonts w:ascii="Times New Roman" w:hAnsi="Times New Roman"/>
          <w:color w:val="000000"/>
          <w:sz w:val="20"/>
        </w:rPr>
        <w:t>counts, of the Orrisch-Crisafi partnership from May 1963 through December 31, 1967, were as follows:</w:t>
      </w:r>
    </w:p>
    <w:p w:rsidR="000F3119" w:rsidRDefault="000F3119">
      <w:pPr>
        <w:widowControl w:val="0"/>
        <w:autoSpaceDE w:val="0"/>
        <w:autoSpaceDN w:val="0"/>
        <w:adjustRightInd w:val="0"/>
        <w:jc w:val="both"/>
        <w:rPr>
          <w:rFonts w:ascii="Times New Roman" w:hAnsi="Times New Roman"/>
        </w:rPr>
        <w:sectPr w:rsidR="000F3119">
          <w:type w:val="continuous"/>
          <w:pgSz w:w="12240" w:h="15840"/>
          <w:pgMar w:top="2016" w:right="1080" w:bottom="1800" w:left="1080" w:header="720" w:footer="720" w:gutter="0"/>
          <w:cols w:num="2" w:space="720"/>
          <w:noEndnote/>
        </w:sectPr>
      </w:pPr>
    </w:p>
    <w:p w:rsidR="000F3119" w:rsidRDefault="000F3119">
      <w:pPr>
        <w:widowControl w:val="0"/>
        <w:autoSpaceDE w:val="0"/>
        <w:autoSpaceDN w:val="0"/>
        <w:adjustRightInd w:val="0"/>
        <w:rPr>
          <w:rFonts w:ascii="Times New Roman" w:hAnsi="Times New Roman"/>
          <w:color w:val="000000"/>
        </w:rPr>
      </w:pPr>
    </w:p>
    <w:tbl>
      <w:tblPr>
        <w:tblW w:w="0" w:type="auto"/>
        <w:tblInd w:w="28" w:type="dxa"/>
        <w:tblLayout w:type="fixed"/>
        <w:tblCellMar>
          <w:left w:w="0" w:type="dxa"/>
          <w:right w:w="0" w:type="dxa"/>
        </w:tblCellMar>
        <w:tblLook w:val="0000" w:firstRow="0" w:lastRow="0" w:firstColumn="0" w:lastColumn="0" w:noHBand="0" w:noVBand="0"/>
      </w:tblPr>
      <w:tblGrid>
        <w:gridCol w:w="3427"/>
        <w:gridCol w:w="3427"/>
        <w:gridCol w:w="3240"/>
      </w:tblGrid>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Excess of capital contributions over withdrawals during 1963</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$26,655.55</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$12,655.54</w:t>
            </w:r>
          </w:p>
        </w:tc>
      </w:tr>
      <w:tr w:rsidR="000F3119">
        <w:tblPrEx>
          <w:tblCellMar>
            <w:top w:w="0" w:type="dxa"/>
            <w:left w:w="0" w:type="dxa"/>
            <w:bottom w:w="0" w:type="dxa"/>
            <w:right w:w="0" w:type="dxa"/>
          </w:tblCellMar>
        </w:tblPrEx>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Allocation of 1963 loss</w:t>
            </w:r>
          </w:p>
        </w:tc>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(4,858.07)</w:t>
            </w:r>
          </w:p>
        </w:tc>
        <w:tc>
          <w:tcPr>
            <w:tcW w:w="324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(4,858.07)</w:t>
            </w:r>
          </w:p>
        </w:tc>
      </w:tr>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Balance 12/31/63</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21,797.48</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7,797.47</w:t>
            </w:r>
          </w:p>
        </w:tc>
      </w:tr>
      <w:tr w:rsidR="000F3119">
        <w:tblPrEx>
          <w:tblCellMar>
            <w:top w:w="0" w:type="dxa"/>
            <w:left w:w="0" w:type="dxa"/>
            <w:bottom w:w="0" w:type="dxa"/>
            <w:right w:w="0" w:type="dxa"/>
          </w:tblCellMar>
        </w:tblPrEx>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Excess of capital contributions over withdrawals during 1964</w:t>
            </w:r>
          </w:p>
        </w:tc>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4,537.50</w:t>
            </w:r>
          </w:p>
        </w:tc>
        <w:tc>
          <w:tcPr>
            <w:tcW w:w="3240"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3,537.50</w:t>
            </w:r>
          </w:p>
        </w:tc>
      </w:tr>
      <w:tr w:rsidR="000F3119">
        <w:tblPrEx>
          <w:tblCellMar>
            <w:top w:w="0" w:type="dxa"/>
            <w:left w:w="0" w:type="dxa"/>
            <w:bottom w:w="0" w:type="dxa"/>
            <w:right w:w="0" w:type="dxa"/>
          </w:tblCellMar>
        </w:tblPrEx>
        <w:tc>
          <w:tcPr>
            <w:tcW w:w="3427"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Allocation of 1964 loss</w:t>
            </w:r>
          </w:p>
        </w:tc>
        <w:tc>
          <w:tcPr>
            <w:tcW w:w="3427"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(8,906.17)</w:t>
            </w:r>
          </w:p>
        </w:tc>
        <w:tc>
          <w:tcPr>
            <w:tcW w:w="3240" w:type="dxa"/>
            <w:tcBorders>
              <w:top w:val="nil"/>
              <w:left w:val="nil"/>
              <w:bottom w:val="single" w:sz="8" w:space="0" w:color="auto"/>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(8,906.16)</w:t>
            </w:r>
          </w:p>
        </w:tc>
      </w:tr>
      <w:tr w:rsidR="000F3119">
        <w:tblPrEx>
          <w:tblCellMar>
            <w:top w:w="0" w:type="dxa"/>
            <w:left w:w="0" w:type="dxa"/>
            <w:bottom w:w="0" w:type="dxa"/>
            <w:right w:w="0" w:type="dxa"/>
          </w:tblCellMar>
        </w:tblPrEx>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Balance 12/31/64</w:t>
            </w:r>
          </w:p>
        </w:tc>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17,428.81</w:t>
            </w:r>
          </w:p>
        </w:tc>
        <w:tc>
          <w:tcPr>
            <w:tcW w:w="3240"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2,428.81</w:t>
            </w:r>
          </w:p>
        </w:tc>
      </w:tr>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Excess of capital contributions over withdrawals during 1965</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4,337.50</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5,337.50</w:t>
            </w:r>
          </w:p>
        </w:tc>
      </w:tr>
      <w:tr w:rsidR="000F3119">
        <w:tblPrEx>
          <w:tblCellMar>
            <w:top w:w="0" w:type="dxa"/>
            <w:left w:w="0" w:type="dxa"/>
            <w:bottom w:w="0" w:type="dxa"/>
            <w:right w:w="0" w:type="dxa"/>
          </w:tblCellMar>
        </w:tblPrEx>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Allocation of 1965 loss</w:t>
            </w:r>
          </w:p>
        </w:tc>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(9,476.30)</w:t>
            </w:r>
          </w:p>
        </w:tc>
        <w:tc>
          <w:tcPr>
            <w:tcW w:w="324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(9,476.29)</w:t>
            </w:r>
          </w:p>
        </w:tc>
      </w:tr>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Balance 12/31/65</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12,290.01</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(1,790.98)</w:t>
            </w:r>
          </w:p>
        </w:tc>
      </w:tr>
      <w:tr w:rsidR="000F3119">
        <w:tblPrEx>
          <w:tblCellMar>
            <w:top w:w="0" w:type="dxa"/>
            <w:left w:w="0" w:type="dxa"/>
            <w:bottom w:w="0" w:type="dxa"/>
            <w:right w:w="0" w:type="dxa"/>
          </w:tblCellMar>
        </w:tblPrEx>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Excess of capital contributions over withdrawals during 1966</w:t>
            </w:r>
          </w:p>
        </w:tc>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$2,610.00</w:t>
            </w:r>
          </w:p>
        </w:tc>
        <w:tc>
          <w:tcPr>
            <w:tcW w:w="3240"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$6,018.00</w:t>
            </w:r>
          </w:p>
        </w:tc>
      </w:tr>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Allocation of 1966 loss before depreci</w:t>
            </w:r>
            <w:r>
              <w:rPr>
                <w:rFonts w:ascii="Times New Roman" w:hAnsi="Times New Roman"/>
                <w:color w:val="000000"/>
                <w:sz w:val="20"/>
              </w:rPr>
              <w:t>a</w:t>
            </w:r>
            <w:r>
              <w:rPr>
                <w:rFonts w:ascii="Times New Roman" w:hAnsi="Times New Roman"/>
                <w:color w:val="000000"/>
                <w:sz w:val="20"/>
              </w:rPr>
              <w:t>tion</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(492.00)</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(492.00)</w:t>
            </w:r>
          </w:p>
        </w:tc>
      </w:tr>
      <w:tr w:rsidR="000F3119">
        <w:tblPrEx>
          <w:tblCellMar>
            <w:top w:w="0" w:type="dxa"/>
            <w:left w:w="0" w:type="dxa"/>
            <w:bottom w:w="0" w:type="dxa"/>
            <w:right w:w="0" w:type="dxa"/>
          </w:tblCellMar>
        </w:tblPrEx>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Allocation of depreciation</w:t>
            </w:r>
          </w:p>
        </w:tc>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(18,412.00)</w:t>
            </w:r>
          </w:p>
        </w:tc>
        <w:tc>
          <w:tcPr>
            <w:tcW w:w="324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0</w:t>
            </w:r>
          </w:p>
        </w:tc>
      </w:tr>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Balance 12/31/66</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(4,003.99)</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3,816.02</w:t>
            </w:r>
          </w:p>
        </w:tc>
      </w:tr>
      <w:tr w:rsidR="000F3119">
        <w:tblPrEx>
          <w:tblCellMar>
            <w:top w:w="0" w:type="dxa"/>
            <w:left w:w="0" w:type="dxa"/>
            <w:bottom w:w="0" w:type="dxa"/>
            <w:right w:w="0" w:type="dxa"/>
          </w:tblCellMar>
        </w:tblPrEx>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Excess of withdrawals over capital co</w:t>
            </w:r>
            <w:r>
              <w:rPr>
                <w:rFonts w:ascii="Times New Roman" w:hAnsi="Times New Roman"/>
                <w:color w:val="000000"/>
                <w:sz w:val="20"/>
              </w:rPr>
              <w:t>n</w:t>
            </w:r>
            <w:r>
              <w:rPr>
                <w:rFonts w:ascii="Times New Roman" w:hAnsi="Times New Roman"/>
                <w:color w:val="000000"/>
                <w:sz w:val="20"/>
              </w:rPr>
              <w:t>tributions during 1967</w:t>
            </w:r>
          </w:p>
        </w:tc>
        <w:tc>
          <w:tcPr>
            <w:tcW w:w="3427"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(4,312.36)</w:t>
            </w:r>
          </w:p>
        </w:tc>
        <w:tc>
          <w:tcPr>
            <w:tcW w:w="3240" w:type="dxa"/>
            <w:tcBorders>
              <w:top w:val="nil"/>
              <w:left w:val="nil"/>
              <w:bottom w:val="nil"/>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(3,720.35)</w:t>
            </w:r>
          </w:p>
        </w:tc>
      </w:tr>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Allocation of 1967 profit before depreci</w:t>
            </w:r>
            <w:r>
              <w:rPr>
                <w:rFonts w:ascii="Times New Roman" w:hAnsi="Times New Roman"/>
                <w:color w:val="000000"/>
                <w:sz w:val="20"/>
              </w:rPr>
              <w:t>a</w:t>
            </w:r>
            <w:r>
              <w:rPr>
                <w:rFonts w:ascii="Times New Roman" w:hAnsi="Times New Roman"/>
                <w:color w:val="000000"/>
                <w:sz w:val="20"/>
              </w:rPr>
              <w:t>tion</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309.99</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309.98</w:t>
            </w:r>
          </w:p>
        </w:tc>
      </w:tr>
      <w:tr w:rsidR="000F3119">
        <w:tblPrEx>
          <w:tblCellMar>
            <w:top w:w="0" w:type="dxa"/>
            <w:left w:w="0" w:type="dxa"/>
            <w:bottom w:w="0" w:type="dxa"/>
            <w:right w:w="0" w:type="dxa"/>
          </w:tblCellMar>
        </w:tblPrEx>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Allocation of depreciation</w:t>
            </w:r>
          </w:p>
        </w:tc>
        <w:tc>
          <w:tcPr>
            <w:tcW w:w="3427"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(17,180.75)</w:t>
            </w:r>
          </w:p>
        </w:tc>
        <w:tc>
          <w:tcPr>
            <w:tcW w:w="3240" w:type="dxa"/>
            <w:tcBorders>
              <w:top w:val="nil"/>
              <w:left w:val="nil"/>
              <w:bottom w:val="single" w:sz="8" w:space="0" w:color="auto"/>
              <w:right w:val="nil"/>
            </w:tcBorders>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0</w:t>
            </w:r>
          </w:p>
        </w:tc>
      </w:tr>
      <w:tr w:rsidR="000F3119">
        <w:tblPrEx>
          <w:tblCellMar>
            <w:top w:w="0" w:type="dxa"/>
            <w:left w:w="0" w:type="dxa"/>
            <w:bottom w:w="0" w:type="dxa"/>
            <w:right w:w="0" w:type="dxa"/>
          </w:tblCellMar>
        </w:tblPrEx>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Balance 12/31/67</w:t>
            </w:r>
          </w:p>
        </w:tc>
        <w:tc>
          <w:tcPr>
            <w:tcW w:w="3427"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(25,187.11)</w:t>
            </w:r>
          </w:p>
        </w:tc>
        <w:tc>
          <w:tcPr>
            <w:tcW w:w="3240" w:type="dxa"/>
            <w:tcBorders>
              <w:top w:val="nil"/>
              <w:left w:val="nil"/>
              <w:bottom w:val="nil"/>
              <w:right w:val="nil"/>
            </w:tcBorders>
            <w:shd w:val="clear" w:color="auto" w:fill="CCCCCC"/>
            <w:tcMar>
              <w:top w:w="28" w:type="dxa"/>
              <w:left w:w="28" w:type="dxa"/>
              <w:bottom w:w="28" w:type="dxa"/>
              <w:right w:w="28" w:type="dxa"/>
            </w:tcMar>
          </w:tcPr>
          <w:p w:rsidR="000F3119" w:rsidRDefault="000F3119">
            <w:pPr>
              <w:widowControl w:val="0"/>
              <w:autoSpaceDE w:val="0"/>
              <w:autoSpaceDN w:val="0"/>
              <w:adjustRightInd w:val="0"/>
              <w:rPr>
                <w:rFonts w:ascii="Times New Roman" w:hAnsi="Times New Roman"/>
                <w:color w:val="000000"/>
              </w:rPr>
            </w:pPr>
            <w:r>
              <w:rPr>
                <w:rFonts w:ascii="Times New Roman" w:hAnsi="Times New Roman"/>
                <w:color w:val="000000"/>
                <w:sz w:val="20"/>
              </w:rPr>
              <w:t xml:space="preserve"> 405.65</w:t>
            </w:r>
          </w:p>
        </w:tc>
      </w:tr>
    </w:tbl>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rPr>
        <w:sectPr w:rsidR="000F3119">
          <w:type w:val="continuous"/>
          <w:pgSz w:w="12240" w:h="15840"/>
          <w:pgMar w:top="2016" w:right="1080" w:bottom="1800" w:left="1080" w:header="720" w:footer="720" w:gutter="0"/>
          <w:cols w:space="720"/>
          <w:noEndnote/>
        </w:sect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In May of 1968, before petitioners Stanley C. Orrisch and Greta E. Orrisch were divorced, they entered into a mar</w:t>
      </w:r>
      <w:r>
        <w:rPr>
          <w:rFonts w:ascii="Times New Roman" w:hAnsi="Times New Roman"/>
          <w:color w:val="000000"/>
          <w:sz w:val="20"/>
        </w:rPr>
        <w:t>i</w:t>
      </w:r>
      <w:r>
        <w:rPr>
          <w:rFonts w:ascii="Times New Roman" w:hAnsi="Times New Roman"/>
          <w:color w:val="000000"/>
          <w:sz w:val="20"/>
        </w:rPr>
        <w:t>tal property settlement agreement which, as part of par</w:t>
      </w:r>
      <w:r>
        <w:rPr>
          <w:rFonts w:ascii="Times New Roman" w:hAnsi="Times New Roman"/>
          <w:color w:val="000000"/>
          <w:sz w:val="20"/>
        </w:rPr>
        <w:t>a</w:t>
      </w:r>
      <w:r>
        <w:rPr>
          <w:rFonts w:ascii="Times New Roman" w:hAnsi="Times New Roman"/>
          <w:color w:val="000000"/>
          <w:sz w:val="20"/>
        </w:rPr>
        <w:t>graph 8, contained the following:</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(c) The parties recognize that each of said parcels of real property is encumbered by loans and requires certain maintenance, upkeep and repair and certain other expen</w:t>
      </w:r>
      <w:r>
        <w:rPr>
          <w:rFonts w:ascii="Times New Roman" w:hAnsi="Times New Roman"/>
          <w:color w:val="000000"/>
          <w:sz w:val="20"/>
        </w:rPr>
        <w:t>s</w:t>
      </w:r>
      <w:r>
        <w:rPr>
          <w:rFonts w:ascii="Times New Roman" w:hAnsi="Times New Roman"/>
          <w:color w:val="000000"/>
          <w:sz w:val="20"/>
        </w:rPr>
        <w:t>es for the operation thereof. The parties further unde</w:t>
      </w:r>
      <w:r>
        <w:rPr>
          <w:rFonts w:ascii="Times New Roman" w:hAnsi="Times New Roman"/>
          <w:color w:val="000000"/>
          <w:sz w:val="20"/>
        </w:rPr>
        <w:t>r</w:t>
      </w:r>
      <w:r>
        <w:rPr>
          <w:rFonts w:ascii="Times New Roman" w:hAnsi="Times New Roman"/>
          <w:color w:val="000000"/>
          <w:sz w:val="20"/>
        </w:rPr>
        <w:t>stand that at the present time neither of said parcels of real property produces sufficient cash flow to meet loan pa</w:t>
      </w:r>
      <w:r>
        <w:rPr>
          <w:rFonts w:ascii="Times New Roman" w:hAnsi="Times New Roman"/>
          <w:color w:val="000000"/>
          <w:sz w:val="20"/>
        </w:rPr>
        <w:t>y</w:t>
      </w:r>
      <w:r>
        <w:rPr>
          <w:rFonts w:ascii="Times New Roman" w:hAnsi="Times New Roman"/>
          <w:color w:val="000000"/>
          <w:sz w:val="20"/>
        </w:rPr>
        <w:t>ments and the other expenses above referred to. For this reason, husband agrees that from the date of this agre</w:t>
      </w:r>
      <w:r>
        <w:rPr>
          <w:rFonts w:ascii="Times New Roman" w:hAnsi="Times New Roman"/>
          <w:color w:val="000000"/>
          <w:sz w:val="20"/>
        </w:rPr>
        <w:t>e</w:t>
      </w:r>
      <w:r>
        <w:rPr>
          <w:rFonts w:ascii="Times New Roman" w:hAnsi="Times New Roman"/>
          <w:color w:val="000000"/>
          <w:sz w:val="20"/>
        </w:rPr>
        <w:t>ment forward, so long as they shall own or hold either or both of said parcels of real property, he (as between the parties hereto) shall be responsible for providing from time to time any money required to meet said loan pa</w:t>
      </w:r>
      <w:r>
        <w:rPr>
          <w:rFonts w:ascii="Times New Roman" w:hAnsi="Times New Roman"/>
          <w:color w:val="000000"/>
          <w:sz w:val="20"/>
        </w:rPr>
        <w:t>y</w:t>
      </w:r>
      <w:r>
        <w:rPr>
          <w:rFonts w:ascii="Times New Roman" w:hAnsi="Times New Roman"/>
          <w:color w:val="000000"/>
          <w:sz w:val="20"/>
        </w:rPr>
        <w:t>ments or expenses. Husband further agrees to hold wife free and harmless of and from any losses or claims in connection with either or both of said parcels of real property. Upon the sale or disposition of either or both of said parcels of real property, the parties hereto will equa</w:t>
      </w:r>
      <w:r>
        <w:rPr>
          <w:rFonts w:ascii="Times New Roman" w:hAnsi="Times New Roman"/>
          <w:color w:val="000000"/>
          <w:sz w:val="20"/>
        </w:rPr>
        <w:t>l</w:t>
      </w:r>
      <w:r>
        <w:rPr>
          <w:rFonts w:ascii="Times New Roman" w:hAnsi="Times New Roman"/>
          <w:color w:val="000000"/>
          <w:sz w:val="20"/>
        </w:rPr>
        <w:t>ly divide the profits or proceeds of such sale or dispos</w:t>
      </w:r>
      <w:r>
        <w:rPr>
          <w:rFonts w:ascii="Times New Roman" w:hAnsi="Times New Roman"/>
          <w:color w:val="000000"/>
          <w:sz w:val="20"/>
        </w:rPr>
        <w:t>i</w:t>
      </w:r>
      <w:r>
        <w:rPr>
          <w:rFonts w:ascii="Times New Roman" w:hAnsi="Times New Roman"/>
          <w:color w:val="000000"/>
          <w:sz w:val="20"/>
        </w:rPr>
        <w:t>tion, provided that from such profits or proceeds husband shall be first reimbursed for such moneys as he may have advanced for the parties' joint benefit for either or both of said parcels of real property as hereinabove provided.</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(d) In consideration of the foregoing, wife agrees that she will not deduct on her Federal and State income tax r</w:t>
      </w:r>
      <w:r>
        <w:rPr>
          <w:rFonts w:ascii="Times New Roman" w:hAnsi="Times New Roman"/>
          <w:color w:val="000000"/>
          <w:sz w:val="20"/>
        </w:rPr>
        <w:t>e</w:t>
      </w:r>
      <w:r>
        <w:rPr>
          <w:rFonts w:ascii="Times New Roman" w:hAnsi="Times New Roman"/>
          <w:color w:val="000000"/>
          <w:sz w:val="20"/>
        </w:rPr>
        <w:t>turns any depreciation allowable by reason of the owne</w:t>
      </w:r>
      <w:r>
        <w:rPr>
          <w:rFonts w:ascii="Times New Roman" w:hAnsi="Times New Roman"/>
          <w:color w:val="000000"/>
          <w:sz w:val="20"/>
        </w:rPr>
        <w:t>r</w:t>
      </w:r>
      <w:r>
        <w:rPr>
          <w:rFonts w:ascii="Times New Roman" w:hAnsi="Times New Roman"/>
          <w:color w:val="000000"/>
          <w:sz w:val="20"/>
        </w:rPr>
        <w:t>ship of the said 2 parcels of real property. Wife makes no representation or warranty as to the propriety of husband's taking on his income tax returns the depreciation that would be otherwise allowable to her. Husband is i</w:t>
      </w:r>
      <w:r>
        <w:rPr>
          <w:rFonts w:ascii="Times New Roman" w:hAnsi="Times New Roman"/>
          <w:color w:val="000000"/>
          <w:sz w:val="20"/>
        </w:rPr>
        <w:t>n</w:t>
      </w:r>
      <w:r>
        <w:rPr>
          <w:rFonts w:ascii="Times New Roman" w:hAnsi="Times New Roman"/>
          <w:color w:val="000000"/>
          <w:sz w:val="20"/>
        </w:rPr>
        <w:t>formed and advised that this would be property by reason of the burdens of the ownership assumed by him under this paragraph. Upon the sale or other disposition of either or both of said parcels of real property, each party hereto shall be responsible for reporting on his or her respective income tax returns one-half of the capital gain or loss, if any, realized from such sale or disposition.</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By an agreement dated May 12, 1969, the foregoing pr</w:t>
      </w:r>
      <w:r>
        <w:rPr>
          <w:rFonts w:ascii="Times New Roman" w:hAnsi="Times New Roman"/>
          <w:color w:val="000000"/>
          <w:sz w:val="20"/>
        </w:rPr>
        <w:t>o</w:t>
      </w:r>
      <w:r>
        <w:rPr>
          <w:rFonts w:ascii="Times New Roman" w:hAnsi="Times New Roman"/>
          <w:color w:val="000000"/>
          <w:sz w:val="20"/>
        </w:rPr>
        <w:t>visions were modified as follows:</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(c) The parties recognize that each of said parcels of real property is encumbered by loans and requires certain maintenance, upkeep and repair and certain other expen</w:t>
      </w:r>
      <w:r>
        <w:rPr>
          <w:rFonts w:ascii="Times New Roman" w:hAnsi="Times New Roman"/>
          <w:color w:val="000000"/>
          <w:sz w:val="20"/>
        </w:rPr>
        <w:t>s</w:t>
      </w:r>
      <w:r>
        <w:rPr>
          <w:rFonts w:ascii="Times New Roman" w:hAnsi="Times New Roman"/>
          <w:color w:val="000000"/>
          <w:sz w:val="20"/>
        </w:rPr>
        <w:t>es for the operation thereof. The parties further unde</w:t>
      </w:r>
      <w:r>
        <w:rPr>
          <w:rFonts w:ascii="Times New Roman" w:hAnsi="Times New Roman"/>
          <w:color w:val="000000"/>
          <w:sz w:val="20"/>
        </w:rPr>
        <w:t>r</w:t>
      </w:r>
      <w:r>
        <w:rPr>
          <w:rFonts w:ascii="Times New Roman" w:hAnsi="Times New Roman"/>
          <w:color w:val="000000"/>
          <w:sz w:val="20"/>
        </w:rPr>
        <w:t>stand that at the present time neither of said parcels of real property produces sufficient cash flow to meet loan pa</w:t>
      </w:r>
      <w:r>
        <w:rPr>
          <w:rFonts w:ascii="Times New Roman" w:hAnsi="Times New Roman"/>
          <w:color w:val="000000"/>
          <w:sz w:val="20"/>
        </w:rPr>
        <w:t>y</w:t>
      </w:r>
      <w:r>
        <w:rPr>
          <w:rFonts w:ascii="Times New Roman" w:hAnsi="Times New Roman"/>
          <w:color w:val="000000"/>
          <w:sz w:val="20"/>
        </w:rPr>
        <w:t>ments and the other expenses above referred to. Co</w:t>
      </w:r>
      <w:r>
        <w:rPr>
          <w:rFonts w:ascii="Times New Roman" w:hAnsi="Times New Roman"/>
          <w:color w:val="000000"/>
          <w:sz w:val="20"/>
        </w:rPr>
        <w:t>m</w:t>
      </w:r>
      <w:r>
        <w:rPr>
          <w:rFonts w:ascii="Times New Roman" w:hAnsi="Times New Roman"/>
          <w:color w:val="000000"/>
          <w:sz w:val="20"/>
        </w:rPr>
        <w:t>mencing</w:t>
      </w:r>
      <w:r>
        <w:rPr>
          <w:rFonts w:ascii="Times New Roman" w:hAnsi="Times New Roman"/>
          <w:b/>
          <w:bCs/>
          <w:color w:val="000000"/>
          <w:sz w:val="20"/>
        </w:rPr>
        <w:t xml:space="preserve"> </w:t>
      </w:r>
      <w:r>
        <w:rPr>
          <w:rFonts w:ascii="Times New Roman" w:hAnsi="Times New Roman"/>
          <w:color w:val="000000"/>
          <w:sz w:val="20"/>
        </w:rPr>
        <w:t>with the calendar year 1969, the parties hereto shall contribute equally to their collective share of the money required to meet said loan payments or expenses. Except as otherwise provided herein, the parties shall each report on their federal and state income tax returns one-half of their collective share of the income and one-half of their collective share of the deductions, including (but not limited to) depreciation, arising from or related to said property. Upon the sale or other disposition of either or both of said parcels of real property, each party shall be responsible for reporting on his or her respective income tax returns his or her share of the gain or loss, if any, rea</w:t>
      </w:r>
      <w:r>
        <w:rPr>
          <w:rFonts w:ascii="Times New Roman" w:hAnsi="Times New Roman"/>
          <w:color w:val="000000"/>
          <w:sz w:val="20"/>
        </w:rPr>
        <w:t>l</w:t>
      </w:r>
      <w:r>
        <w:rPr>
          <w:rFonts w:ascii="Times New Roman" w:hAnsi="Times New Roman"/>
          <w:color w:val="000000"/>
          <w:sz w:val="20"/>
        </w:rPr>
        <w:t>ized from such sale or disposition, and for purposes of computing the same, all depreciation taken by Husband with respect to said property in the calendar year 1968 shall only reduce the basis of Husband in said property and not the basis of Wife.</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In the notice of deficiency, respondent determined that the special allocation of the depreciation deduction provided by the amendment to the partnership agreement ‘was made with the principal purpose of avoidance of income taxes' and should, therefore, be disregarded. Partnership losses for 1966 and 1967, adjusted to reflect a correction of the amount of depreciation allowable, were allocated equally between the partners.</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ULTIMATE FINDING OF FACT</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principal purpose of the special allocation to petitio</w:t>
      </w:r>
      <w:r>
        <w:rPr>
          <w:rFonts w:ascii="Times New Roman" w:hAnsi="Times New Roman"/>
          <w:color w:val="000000"/>
          <w:sz w:val="20"/>
        </w:rPr>
        <w:t>n</w:t>
      </w:r>
      <w:r>
        <w:rPr>
          <w:rFonts w:ascii="Times New Roman" w:hAnsi="Times New Roman"/>
          <w:color w:val="000000"/>
          <w:sz w:val="20"/>
        </w:rPr>
        <w:t>ers of all of the deductions for depreciation taken by the Orrisch-Crisafi partnership for 1966 and 1967 was the avoidance of income tax.</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center"/>
        <w:rPr>
          <w:rFonts w:ascii="Times New Roman" w:hAnsi="Times New Roman"/>
          <w:color w:val="000000"/>
        </w:rPr>
      </w:pPr>
      <w:r>
        <w:rPr>
          <w:rFonts w:ascii="Times New Roman" w:hAnsi="Times New Roman"/>
          <w:color w:val="000000"/>
          <w:sz w:val="20"/>
        </w:rPr>
        <w:t>OPINION</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only issue presented for decision is whether tax effect can be given the agreement between petitioners and the Crisafis that, beginning with 1966, all the partnership's depreciation deductions were to be allocated to petitioners for their use in computing their individual income tax liabilities. In our view, the answer must be in the negative and the amounts of each of the partners' deductions for the depreciation of partnership property must be determined in accordance with the ratio used generally in computing their distributive shares of the partnership's profits and losses.</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 xml:space="preserve">Among the important innovations of the 1954 Code are limited provisions for flexibility in arrangements for the sharing of income, losses, and deductions arising from business activities conducted through partnerships. The authority for special allocations of such items appears in </w:t>
      </w:r>
      <w:hyperlink r:id="rId11" w:history="1">
        <w:r>
          <w:rPr>
            <w:rFonts w:ascii="Times New Roman" w:hAnsi="Times New Roman"/>
            <w:color w:val="0000FF"/>
            <w:sz w:val="20"/>
            <w:u w:val="single"/>
          </w:rPr>
          <w:t>section 704(a)</w:t>
        </w:r>
      </w:hyperlink>
      <w:r>
        <w:rPr>
          <w:rFonts w:ascii="Times New Roman" w:hAnsi="Times New Roman"/>
          <w:color w:val="000000"/>
          <w:sz w:val="20"/>
        </w:rPr>
        <w:t>,</w:t>
      </w:r>
      <w:bookmarkStart w:id="3" w:name="Document1zzF00221971290157"/>
      <w:bookmarkEnd w:id="3"/>
      <w:r>
        <w:rPr>
          <w:rFonts w:ascii="Times New Roman" w:hAnsi="Times New Roman"/>
          <w:color w:val="000000"/>
          <w:sz w:val="20"/>
        </w:rPr>
        <w:t xml:space="preserve"> which provides that a partner's share of any item of income, gain, loss, deduction, or credit shall be determined</w:t>
      </w:r>
      <w:r>
        <w:rPr>
          <w:rFonts w:ascii="Times New Roman" w:hAnsi="Times New Roman"/>
          <w:b/>
          <w:bCs/>
          <w:color w:val="000000"/>
          <w:sz w:val="20"/>
        </w:rPr>
        <w:t xml:space="preserve"> </w:t>
      </w:r>
      <w:r>
        <w:rPr>
          <w:rFonts w:ascii="Times New Roman" w:hAnsi="Times New Roman"/>
          <w:color w:val="000000"/>
          <w:sz w:val="20"/>
        </w:rPr>
        <w:t xml:space="preserve">by the partnership agreement. That rule is coupled with a limitation in </w:t>
      </w:r>
      <w:hyperlink r:id="rId12" w:history="1">
        <w:r>
          <w:rPr>
            <w:rFonts w:ascii="Times New Roman" w:hAnsi="Times New Roman"/>
            <w:color w:val="0000FF"/>
            <w:sz w:val="20"/>
            <w:u w:val="single"/>
          </w:rPr>
          <w:t>section 704(b)</w:t>
        </w:r>
      </w:hyperlink>
      <w:r>
        <w:rPr>
          <w:rFonts w:ascii="Times New Roman" w:hAnsi="Times New Roman"/>
          <w:color w:val="000000"/>
          <w:sz w:val="20"/>
        </w:rPr>
        <w:t>,</w:t>
      </w:r>
      <w:bookmarkStart w:id="4" w:name="Document1zzF00441971290157"/>
      <w:bookmarkEnd w:id="4"/>
      <w:r>
        <w:rPr>
          <w:rFonts w:ascii="Times New Roman" w:hAnsi="Times New Roman"/>
          <w:color w:val="000000"/>
          <w:sz w:val="20"/>
        </w:rPr>
        <w:t xml:space="preserve"> however, which states that a special allocation of an item will be disregarded if its ‘principal purpose’ is the avoidance or evasion of Federal income tax. In case a special allocation is disregarded, the partner's share of the item is to be d</w:t>
      </w:r>
      <w:r>
        <w:rPr>
          <w:rFonts w:ascii="Times New Roman" w:hAnsi="Times New Roman"/>
          <w:color w:val="000000"/>
          <w:sz w:val="20"/>
        </w:rPr>
        <w:t>e</w:t>
      </w:r>
      <w:r>
        <w:rPr>
          <w:rFonts w:ascii="Times New Roman" w:hAnsi="Times New Roman"/>
          <w:color w:val="000000"/>
          <w:sz w:val="20"/>
        </w:rPr>
        <w:t>termined in accordance with the ratio by which the par</w:t>
      </w:r>
      <w:r>
        <w:rPr>
          <w:rFonts w:ascii="Times New Roman" w:hAnsi="Times New Roman"/>
          <w:color w:val="000000"/>
          <w:sz w:val="20"/>
        </w:rPr>
        <w:t>t</w:t>
      </w:r>
      <w:r>
        <w:rPr>
          <w:rFonts w:ascii="Times New Roman" w:hAnsi="Times New Roman"/>
          <w:color w:val="000000"/>
          <w:sz w:val="20"/>
        </w:rPr>
        <w:t xml:space="preserve">ners divide the general profits or losses of the partnership. </w:t>
      </w:r>
      <w:hyperlink r:id="rId13" w:history="1">
        <w:r>
          <w:rPr>
            <w:rFonts w:ascii="Times New Roman" w:hAnsi="Times New Roman"/>
            <w:color w:val="0000FF"/>
            <w:sz w:val="20"/>
            <w:u w:val="single"/>
          </w:rPr>
          <w:t>Sec. 1.704-1(b)(2), Income Tax Regs</w:t>
        </w:r>
      </w:hyperlink>
      <w:r>
        <w:rPr>
          <w:rFonts w:ascii="Times New Roman" w:hAnsi="Times New Roman"/>
          <w:color w:val="000000"/>
          <w:sz w:val="20"/>
        </w:rPr>
        <w:t>.</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report of the Senate Committee on Finance accomp</w:t>
      </w:r>
      <w:r>
        <w:rPr>
          <w:rFonts w:ascii="Times New Roman" w:hAnsi="Times New Roman"/>
          <w:color w:val="000000"/>
          <w:sz w:val="20"/>
        </w:rPr>
        <w:t>a</w:t>
      </w:r>
      <w:r>
        <w:rPr>
          <w:rFonts w:ascii="Times New Roman" w:hAnsi="Times New Roman"/>
          <w:color w:val="000000"/>
          <w:sz w:val="20"/>
        </w:rPr>
        <w:t xml:space="preserve">nying the bill finally enacted as the 1954 Code (S. Rept. No. 1622, to accompany H.R. 8300 (Pub.L.No. 591), 83d Cong., 2d Sess., p. 379 (1954)) explained the tax-avoidance restriction prescribed by </w:t>
      </w:r>
      <w:hyperlink r:id="rId14" w:history="1">
        <w:r>
          <w:rPr>
            <w:rFonts w:ascii="Times New Roman" w:hAnsi="Times New Roman"/>
            <w:color w:val="0000FF"/>
            <w:sz w:val="20"/>
            <w:u w:val="single"/>
          </w:rPr>
          <w:t>section 704(b)</w:t>
        </w:r>
      </w:hyperlink>
      <w:r>
        <w:rPr>
          <w:rFonts w:ascii="Times New Roman" w:hAnsi="Times New Roman"/>
          <w:color w:val="000000"/>
          <w:sz w:val="20"/>
        </w:rPr>
        <w:t xml:space="preserve"> as fo</w:t>
      </w:r>
      <w:r>
        <w:rPr>
          <w:rFonts w:ascii="Times New Roman" w:hAnsi="Times New Roman"/>
          <w:color w:val="000000"/>
          <w:sz w:val="20"/>
        </w:rPr>
        <w:t>l</w:t>
      </w:r>
      <w:r>
        <w:rPr>
          <w:rFonts w:ascii="Times New Roman" w:hAnsi="Times New Roman"/>
          <w:color w:val="000000"/>
          <w:sz w:val="20"/>
        </w:rPr>
        <w:t>lows:</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Subsection (b) * * * provides that if the principal purpose of any provision in the partnership agreement dealing with a partner's distributive share of a particular item is to avoid or evade the Federal income tax, the partner's di</w:t>
      </w:r>
      <w:r>
        <w:rPr>
          <w:rFonts w:ascii="Times New Roman" w:hAnsi="Times New Roman"/>
          <w:color w:val="000000"/>
          <w:sz w:val="20"/>
        </w:rPr>
        <w:t>s</w:t>
      </w:r>
      <w:r>
        <w:rPr>
          <w:rFonts w:ascii="Times New Roman" w:hAnsi="Times New Roman"/>
          <w:color w:val="000000"/>
          <w:sz w:val="20"/>
        </w:rPr>
        <w:t>tributive share of that item shall be redetermined in a</w:t>
      </w:r>
      <w:r>
        <w:rPr>
          <w:rFonts w:ascii="Times New Roman" w:hAnsi="Times New Roman"/>
          <w:color w:val="000000"/>
          <w:sz w:val="20"/>
        </w:rPr>
        <w:t>c</w:t>
      </w:r>
      <w:r>
        <w:rPr>
          <w:rFonts w:ascii="Times New Roman" w:hAnsi="Times New Roman"/>
          <w:color w:val="000000"/>
          <w:sz w:val="20"/>
        </w:rPr>
        <w:t>cordance with his distributive share of partnership income or loss described in section 702(a)(9) (i.e., the ratio used by the partners for dividing general profits or losses). * * *</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Where, however, a provision in a partnership agreement for a special allocation of certain items has substantial economic effect and is not merely a device for reducing the taxes of certain partners without actually affecting their shares of partnership income, then such a provision will be recognized for tax purposes. * * *</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 xml:space="preserve">This reference to ‘substantial economic effect’ did not appear in the House Ways and Means Committee report (H. Rept. No. 1337, to accompany H.R. 8300 (Pub.L.No. 591), 83d Cong., 2d Sess., p. A223 (1954)) discussing </w:t>
      </w:r>
      <w:hyperlink r:id="rId15" w:history="1">
        <w:r>
          <w:rPr>
            <w:rFonts w:ascii="Times New Roman" w:hAnsi="Times New Roman"/>
            <w:color w:val="0000FF"/>
            <w:sz w:val="20"/>
            <w:u w:val="single"/>
          </w:rPr>
          <w:t>section 704(b)</w:t>
        </w:r>
      </w:hyperlink>
      <w:r>
        <w:rPr>
          <w:rFonts w:ascii="Times New Roman" w:hAnsi="Times New Roman"/>
          <w:color w:val="000000"/>
          <w:sz w:val="20"/>
        </w:rPr>
        <w:t xml:space="preserve">, and was apparently added in the Senate Finance Committee to allay fears that special allocations of income or deductions would be denied effect in every case where the allocation resulted in a reduction in the income tax liabilities of one or more of the partners. The statement is an affirmation that special allocations are ordinarily to be recognized if they have business validity apart from their tax consequences. </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In resolving the question whether the principal purpose of a provision in a partnership agreement is the avoidance or evasion of Federal income tax, all the facts and circu</w:t>
      </w:r>
      <w:r>
        <w:rPr>
          <w:rFonts w:ascii="Times New Roman" w:hAnsi="Times New Roman"/>
          <w:color w:val="000000"/>
          <w:sz w:val="20"/>
        </w:rPr>
        <w:t>m</w:t>
      </w:r>
      <w:r>
        <w:rPr>
          <w:rFonts w:ascii="Times New Roman" w:hAnsi="Times New Roman"/>
          <w:color w:val="000000"/>
          <w:sz w:val="20"/>
        </w:rPr>
        <w:t xml:space="preserve">stances in relation to the provision must be taken into account. </w:t>
      </w:r>
      <w:hyperlink r:id="rId16" w:history="1">
        <w:r>
          <w:rPr>
            <w:rFonts w:ascii="Times New Roman" w:hAnsi="Times New Roman"/>
            <w:color w:val="0000FF"/>
            <w:sz w:val="20"/>
            <w:u w:val="single"/>
          </w:rPr>
          <w:t>Section 1.704-1(b)(2), Income Tax Regs</w:t>
        </w:r>
      </w:hyperlink>
      <w:r>
        <w:rPr>
          <w:rFonts w:ascii="Times New Roman" w:hAnsi="Times New Roman"/>
          <w:color w:val="000000"/>
          <w:sz w:val="20"/>
        </w:rPr>
        <w:t>., lists the following as relevant circumstances to be considered:</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Whether the partnership or a partner individually has a business purpose for the allocation; whether the allocation has ‘substantial economic effect’, that is, whether the a</w:t>
      </w:r>
      <w:r>
        <w:rPr>
          <w:rFonts w:ascii="Times New Roman" w:hAnsi="Times New Roman"/>
          <w:color w:val="000000"/>
          <w:sz w:val="20"/>
        </w:rPr>
        <w:t>l</w:t>
      </w:r>
      <w:r>
        <w:rPr>
          <w:rFonts w:ascii="Times New Roman" w:hAnsi="Times New Roman"/>
          <w:color w:val="000000"/>
          <w:sz w:val="20"/>
        </w:rPr>
        <w:t>location may actually affect the dollar amount of the par</w:t>
      </w:r>
      <w:r>
        <w:rPr>
          <w:rFonts w:ascii="Times New Roman" w:hAnsi="Times New Roman"/>
          <w:color w:val="000000"/>
          <w:sz w:val="20"/>
        </w:rPr>
        <w:t>t</w:t>
      </w:r>
      <w:r>
        <w:rPr>
          <w:rFonts w:ascii="Times New Roman" w:hAnsi="Times New Roman"/>
          <w:color w:val="000000"/>
          <w:sz w:val="20"/>
        </w:rPr>
        <w:t>ners' shares of the total partnership income or loss ind</w:t>
      </w:r>
      <w:r>
        <w:rPr>
          <w:rFonts w:ascii="Times New Roman" w:hAnsi="Times New Roman"/>
          <w:color w:val="000000"/>
          <w:sz w:val="20"/>
        </w:rPr>
        <w:t>e</w:t>
      </w:r>
      <w:r>
        <w:rPr>
          <w:rFonts w:ascii="Times New Roman" w:hAnsi="Times New Roman"/>
          <w:color w:val="000000"/>
          <w:sz w:val="20"/>
        </w:rPr>
        <w:t>pendently of tax consequences; whether related items of income, gain, loss, deduction, or credit from the same source are subject to the same allocation; whether the allocation was made without recognition of normal bus</w:t>
      </w:r>
      <w:r>
        <w:rPr>
          <w:rFonts w:ascii="Times New Roman" w:hAnsi="Times New Roman"/>
          <w:color w:val="000000"/>
          <w:sz w:val="20"/>
        </w:rPr>
        <w:t>i</w:t>
      </w:r>
      <w:r>
        <w:rPr>
          <w:rFonts w:ascii="Times New Roman" w:hAnsi="Times New Roman"/>
          <w:color w:val="000000"/>
          <w:sz w:val="20"/>
        </w:rPr>
        <w:t>ness factors and only after the amount of the specially allocated item could reasonably be estimated; the duration of the allocation; and the overall tax consequences of the allocation. * * *</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Applying these standards, we do not think the special allocation of depreciation in the present case can be given effect.</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The evidence is persuasive that the special allocation of depreciation was adopted for a tax-avoidance rather than a business purpose. Depreciation was the only item which was adjusted by the parties; both the income from the buildings and the expenses incurred in their operation, maintenance, and repair were allocated to the partners equally. Since the deduction for depreciation does not vary from year to year with the fortunes of the business, the parties obviously knew what the tax effect of the sp</w:t>
      </w:r>
      <w:r>
        <w:rPr>
          <w:rFonts w:ascii="Times New Roman" w:hAnsi="Times New Roman"/>
          <w:color w:val="000000"/>
          <w:sz w:val="20"/>
        </w:rPr>
        <w:t>e</w:t>
      </w:r>
      <w:r>
        <w:rPr>
          <w:rFonts w:ascii="Times New Roman" w:hAnsi="Times New Roman"/>
          <w:color w:val="000000"/>
          <w:sz w:val="20"/>
        </w:rPr>
        <w:t>cial allocation would be at the time they adopted it. Fu</w:t>
      </w:r>
      <w:r>
        <w:rPr>
          <w:rFonts w:ascii="Times New Roman" w:hAnsi="Times New Roman"/>
          <w:color w:val="000000"/>
          <w:sz w:val="20"/>
        </w:rPr>
        <w:t>r</w:t>
      </w:r>
      <w:r>
        <w:rPr>
          <w:rFonts w:ascii="Times New Roman" w:hAnsi="Times New Roman"/>
          <w:color w:val="000000"/>
          <w:sz w:val="20"/>
        </w:rPr>
        <w:t>thermore, as shown by our Findings, petitioners had large amounts of income which would be offset by the add</w:t>
      </w:r>
      <w:r>
        <w:rPr>
          <w:rFonts w:ascii="Times New Roman" w:hAnsi="Times New Roman"/>
          <w:color w:val="000000"/>
          <w:sz w:val="20"/>
        </w:rPr>
        <w:t>i</w:t>
      </w:r>
      <w:r>
        <w:rPr>
          <w:rFonts w:ascii="Times New Roman" w:hAnsi="Times New Roman"/>
          <w:color w:val="000000"/>
          <w:sz w:val="20"/>
        </w:rPr>
        <w:t>tional deduction for depreciation; the Crisafis, in contrast, had no taxable income from which to subtract the partne</w:t>
      </w:r>
      <w:r>
        <w:rPr>
          <w:rFonts w:ascii="Times New Roman" w:hAnsi="Times New Roman"/>
          <w:color w:val="000000"/>
          <w:sz w:val="20"/>
        </w:rPr>
        <w:t>r</w:t>
      </w:r>
      <w:r>
        <w:rPr>
          <w:rFonts w:ascii="Times New Roman" w:hAnsi="Times New Roman"/>
          <w:color w:val="000000"/>
          <w:sz w:val="20"/>
        </w:rPr>
        <w:t>ship depreciation deductions, and, due to depreciation deductions which they were obtaining with respect to other housing projects, could expect to have no taxable income in the near future. On the other hand, the insul</w:t>
      </w:r>
      <w:r>
        <w:rPr>
          <w:rFonts w:ascii="Times New Roman" w:hAnsi="Times New Roman"/>
          <w:color w:val="000000"/>
          <w:sz w:val="20"/>
        </w:rPr>
        <w:t>a</w:t>
      </w:r>
      <w:r>
        <w:rPr>
          <w:rFonts w:ascii="Times New Roman" w:hAnsi="Times New Roman"/>
          <w:color w:val="000000"/>
          <w:sz w:val="20"/>
        </w:rPr>
        <w:t>tion of the Crisafis from at least part of a potential capital gains tax was an obvious tax advantage. The inference is unmistakably clear that the agreement did not reflect normal business considerations but was designed primar</w:t>
      </w:r>
      <w:r>
        <w:rPr>
          <w:rFonts w:ascii="Times New Roman" w:hAnsi="Times New Roman"/>
          <w:color w:val="000000"/>
          <w:sz w:val="20"/>
        </w:rPr>
        <w:t>i</w:t>
      </w:r>
      <w:r>
        <w:rPr>
          <w:rFonts w:ascii="Times New Roman" w:hAnsi="Times New Roman"/>
          <w:color w:val="000000"/>
          <w:sz w:val="20"/>
        </w:rPr>
        <w:t>ly to minimize the overall tax liabilities of the partners.</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Petitioners urge that the special allocation of the depreci</w:t>
      </w:r>
      <w:r>
        <w:rPr>
          <w:rFonts w:ascii="Times New Roman" w:hAnsi="Times New Roman"/>
          <w:color w:val="000000"/>
          <w:sz w:val="20"/>
        </w:rPr>
        <w:t>a</w:t>
      </w:r>
      <w:r>
        <w:rPr>
          <w:rFonts w:ascii="Times New Roman" w:hAnsi="Times New Roman"/>
          <w:color w:val="000000"/>
          <w:sz w:val="20"/>
        </w:rPr>
        <w:t>tion deduction was adopted in order to equalize the capital accounts of the partners, correcting a disparity ($14,000) in the amounts initially contributed to the partnership by them ($26,500) and the Crisafis ($12,500). But the ev</w:t>
      </w:r>
      <w:r>
        <w:rPr>
          <w:rFonts w:ascii="Times New Roman" w:hAnsi="Times New Roman"/>
          <w:color w:val="000000"/>
          <w:sz w:val="20"/>
        </w:rPr>
        <w:t>i</w:t>
      </w:r>
      <w:r>
        <w:rPr>
          <w:rFonts w:ascii="Times New Roman" w:hAnsi="Times New Roman"/>
          <w:color w:val="000000"/>
          <w:sz w:val="20"/>
        </w:rPr>
        <w:t>dence does not support this contention. Under the special allocation agreement, petitioners were to be entitled, in computing their individual income tax liabilities, to d</w:t>
      </w:r>
      <w:r>
        <w:rPr>
          <w:rFonts w:ascii="Times New Roman" w:hAnsi="Times New Roman"/>
          <w:color w:val="000000"/>
          <w:sz w:val="20"/>
        </w:rPr>
        <w:t>e</w:t>
      </w:r>
      <w:r>
        <w:rPr>
          <w:rFonts w:ascii="Times New Roman" w:hAnsi="Times New Roman"/>
          <w:color w:val="000000"/>
          <w:sz w:val="20"/>
        </w:rPr>
        <w:t>duct the full amount of the depreciation realized on the partnership property. For 1966, as an example, petitioners were allocated a sum ($18,904) equal to the depreciation on the partnership property ($18,412) plus one-half of the net loss computed without regard to depreciation ($492). The other one-half of the net loss was, of course, allocated to the Crisafis. Petitioners' allocation ($18,904) was then applied to reduce their capital account. The depreciation specially allocated to petitioners ($18,412) in 1966 alone exceeded the amount of the disparity in the contributions. Indeed, at the end of 1967, petitioners' capital account showed a deficit of $25,187.11 compared with a positive balance of $405.65 in the Crisafis' account. By the time the partnership's properties are fully depreciated, the amount of the reduction in petitioners' capital account will approximate the remaining basis for the buildings as of the end of 1967. The Crisafis' capital account will be a</w:t>
      </w:r>
      <w:r>
        <w:rPr>
          <w:rFonts w:ascii="Times New Roman" w:hAnsi="Times New Roman"/>
          <w:color w:val="000000"/>
          <w:sz w:val="20"/>
        </w:rPr>
        <w:t>d</w:t>
      </w:r>
      <w:r>
        <w:rPr>
          <w:rFonts w:ascii="Times New Roman" w:hAnsi="Times New Roman"/>
          <w:color w:val="000000"/>
          <w:sz w:val="20"/>
        </w:rPr>
        <w:t xml:space="preserve">justed only for contributions, withdrawals, gain or loss, without regard to depreciation, and similar adjustments for these factors will also be made in petitioners' capital account. Thus, rather than correcting an imbalance in the capital accounts of the partners, the special allocation of depreciation will create a vastly greater imbalance than existed at the end of 1966. In the light of these facts, we find it incredible that equalization of the capital accounts was the objective of the special allocation. </w:t>
      </w:r>
      <w:bookmarkStart w:id="5" w:name="Document1zzF00551971290157"/>
      <w:bookmarkEnd w:id="5"/>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Petitioners rely primarily on the argument that the alloc</w:t>
      </w:r>
      <w:r>
        <w:rPr>
          <w:rFonts w:ascii="Times New Roman" w:hAnsi="Times New Roman"/>
          <w:color w:val="000000"/>
          <w:sz w:val="20"/>
        </w:rPr>
        <w:t>a</w:t>
      </w:r>
      <w:r>
        <w:rPr>
          <w:rFonts w:ascii="Times New Roman" w:hAnsi="Times New Roman"/>
          <w:color w:val="000000"/>
          <w:sz w:val="20"/>
        </w:rPr>
        <w:t>tion has ‘substantial economic effect’ in that it is reflected in the capital accounts of the partners. Referring to the material quoted above from the report of the Senate Committee on Finance, they contend that this alone is sufficient to show that the special allocation served a business rather than a tax-avoidance purpose.</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According to the regulations, an allocation has economic effect if it ‘may actually affect the dollar amount of the partners' shares of the total partnership income or loss independently of tax consequences.'</w:t>
      </w:r>
      <w:r>
        <w:rPr>
          <w:rFonts w:ascii="Times New Roman" w:hAnsi="Times New Roman"/>
          <w:color w:val="000000"/>
        </w:rPr>
        <w:t xml:space="preserve"> </w:t>
      </w:r>
      <w:r>
        <w:rPr>
          <w:rFonts w:ascii="Times New Roman" w:hAnsi="Times New Roman"/>
          <w:color w:val="000000"/>
          <w:sz w:val="20"/>
        </w:rPr>
        <w:t>The agreement in this case provided not only for the allocation of depreciation to petitioners but also for gain on the sale of the partne</w:t>
      </w:r>
      <w:r>
        <w:rPr>
          <w:rFonts w:ascii="Times New Roman" w:hAnsi="Times New Roman"/>
          <w:color w:val="000000"/>
          <w:sz w:val="20"/>
        </w:rPr>
        <w:t>r</w:t>
      </w:r>
      <w:r>
        <w:rPr>
          <w:rFonts w:ascii="Times New Roman" w:hAnsi="Times New Roman"/>
          <w:color w:val="000000"/>
          <w:sz w:val="20"/>
        </w:rPr>
        <w:t>ship property to be ‘changed back’ to them. The charge back would cause the gain, for tax purposes, to be alloca</w:t>
      </w:r>
      <w:r>
        <w:rPr>
          <w:rFonts w:ascii="Times New Roman" w:hAnsi="Times New Roman"/>
          <w:color w:val="000000"/>
          <w:sz w:val="20"/>
        </w:rPr>
        <w:t>t</w:t>
      </w:r>
      <w:r>
        <w:rPr>
          <w:rFonts w:ascii="Times New Roman" w:hAnsi="Times New Roman"/>
          <w:color w:val="000000"/>
          <w:sz w:val="20"/>
        </w:rPr>
        <w:t>ed on the books entirely to petitioners to the extent of the special allocation of depreciation, and their capital a</w:t>
      </w:r>
      <w:r>
        <w:rPr>
          <w:rFonts w:ascii="Times New Roman" w:hAnsi="Times New Roman"/>
          <w:color w:val="000000"/>
          <w:sz w:val="20"/>
        </w:rPr>
        <w:t>c</w:t>
      </w:r>
      <w:r>
        <w:rPr>
          <w:rFonts w:ascii="Times New Roman" w:hAnsi="Times New Roman"/>
          <w:color w:val="000000"/>
          <w:sz w:val="20"/>
        </w:rPr>
        <w:t>count would be correspondingly increased. The remainder of the gain, if any, would be shared equally by the par</w:t>
      </w:r>
      <w:r>
        <w:rPr>
          <w:rFonts w:ascii="Times New Roman" w:hAnsi="Times New Roman"/>
          <w:color w:val="000000"/>
          <w:sz w:val="20"/>
        </w:rPr>
        <w:t>t</w:t>
      </w:r>
      <w:r>
        <w:rPr>
          <w:rFonts w:ascii="Times New Roman" w:hAnsi="Times New Roman"/>
          <w:color w:val="000000"/>
          <w:sz w:val="20"/>
        </w:rPr>
        <w:t>ners. If the gain on the sale were to equal or exceed the depreciation specially allocated to petitioners, the increase in their capital account caused by the charge back would exactly equal the depreciation deductions previously a</w:t>
      </w:r>
      <w:r>
        <w:rPr>
          <w:rFonts w:ascii="Times New Roman" w:hAnsi="Times New Roman"/>
          <w:color w:val="000000"/>
          <w:sz w:val="20"/>
        </w:rPr>
        <w:t>l</w:t>
      </w:r>
      <w:r>
        <w:rPr>
          <w:rFonts w:ascii="Times New Roman" w:hAnsi="Times New Roman"/>
          <w:color w:val="000000"/>
          <w:sz w:val="20"/>
        </w:rPr>
        <w:t>lowed to them and the proceeds of the sale of the property would be divided equally. In such circumstances, the only effect of the allocation would be a trade of tax cons</w:t>
      </w:r>
      <w:r>
        <w:rPr>
          <w:rFonts w:ascii="Times New Roman" w:hAnsi="Times New Roman"/>
          <w:color w:val="000000"/>
          <w:sz w:val="20"/>
        </w:rPr>
        <w:t>e</w:t>
      </w:r>
      <w:r>
        <w:rPr>
          <w:rFonts w:ascii="Times New Roman" w:hAnsi="Times New Roman"/>
          <w:color w:val="000000"/>
          <w:sz w:val="20"/>
        </w:rPr>
        <w:t>quences, i.e., the Crisafis would relinquish a current d</w:t>
      </w:r>
      <w:r>
        <w:rPr>
          <w:rFonts w:ascii="Times New Roman" w:hAnsi="Times New Roman"/>
          <w:color w:val="000000"/>
          <w:sz w:val="20"/>
        </w:rPr>
        <w:t>e</w:t>
      </w:r>
      <w:r>
        <w:rPr>
          <w:rFonts w:ascii="Times New Roman" w:hAnsi="Times New Roman"/>
          <w:color w:val="000000"/>
          <w:sz w:val="20"/>
        </w:rPr>
        <w:t>preciation deduction in exchange for exoneration from all or part of the capital gains tax when the property is sold, and petitioner would enjoy a larger current depreciation deduction but would assume a larger ultimate capital gains tax liability. Quite clearly, if the property is sold at a gain, the special allocation will affect only the tax liabil</w:t>
      </w:r>
      <w:r>
        <w:rPr>
          <w:rFonts w:ascii="Times New Roman" w:hAnsi="Times New Roman"/>
          <w:color w:val="000000"/>
          <w:sz w:val="20"/>
        </w:rPr>
        <w:t>i</w:t>
      </w:r>
      <w:r>
        <w:rPr>
          <w:rFonts w:ascii="Times New Roman" w:hAnsi="Times New Roman"/>
          <w:color w:val="000000"/>
          <w:sz w:val="20"/>
        </w:rPr>
        <w:t>ties of the partners and will have no other economic e</w:t>
      </w:r>
      <w:r>
        <w:rPr>
          <w:rFonts w:ascii="Times New Roman" w:hAnsi="Times New Roman"/>
          <w:color w:val="000000"/>
          <w:sz w:val="20"/>
        </w:rPr>
        <w:t>f</w:t>
      </w:r>
      <w:r>
        <w:rPr>
          <w:rFonts w:ascii="Times New Roman" w:hAnsi="Times New Roman"/>
          <w:color w:val="000000"/>
          <w:sz w:val="20"/>
        </w:rPr>
        <w:t>fect.</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To find any economic effect of the special allocation agreement aside from its tax consequences, we must, therefore, look to see who is to bear the economic burden of the depreciation if the buildings should be sold for a sum less than their original cost. There is not one syllable of evidence bearing directly on this crucial point. We have noted, however, that when the buildings are fully depreciated, petitioners' capital account will have a def</w:t>
      </w:r>
      <w:r>
        <w:rPr>
          <w:rFonts w:ascii="Times New Roman" w:hAnsi="Times New Roman"/>
          <w:color w:val="000000"/>
          <w:sz w:val="20"/>
        </w:rPr>
        <w:t>i</w:t>
      </w:r>
      <w:r>
        <w:rPr>
          <w:rFonts w:ascii="Times New Roman" w:hAnsi="Times New Roman"/>
          <w:color w:val="000000"/>
          <w:sz w:val="20"/>
        </w:rPr>
        <w:t>cit, or there will be a disparity in the capital accounts, approximately equal to the undepreciated basis of the buildings as of the beginning of 1966.</w:t>
      </w:r>
      <w:bookmarkStart w:id="6" w:name="Document1zzF00771971290157"/>
      <w:bookmarkEnd w:id="6"/>
      <w:r>
        <w:rPr>
          <w:rFonts w:ascii="Times New Roman" w:hAnsi="Times New Roman"/>
          <w:color w:val="000000"/>
          <w:sz w:val="20"/>
        </w:rPr>
        <w:t xml:space="preserve"> Under normal a</w:t>
      </w:r>
      <w:r>
        <w:rPr>
          <w:rFonts w:ascii="Times New Roman" w:hAnsi="Times New Roman"/>
          <w:color w:val="000000"/>
          <w:sz w:val="20"/>
        </w:rPr>
        <w:t>c</w:t>
      </w:r>
      <w:r>
        <w:rPr>
          <w:rFonts w:ascii="Times New Roman" w:hAnsi="Times New Roman"/>
          <w:color w:val="000000"/>
          <w:sz w:val="20"/>
        </w:rPr>
        <w:t>counting procedures, if the building were sold at a gain less than the amount of such disparity petitioner would either be required to contribute to the partnership a sum equal to the remaining deficit in their capital account after the gain on the sale had been added back or would be entitled to receive a proportionately smaller share of the partnership assets on liquidation. Based on the record as a whole, we do not think the partners ever agreed to such an arrangement. On dissolution, we think the partners co</w:t>
      </w:r>
      <w:r>
        <w:rPr>
          <w:rFonts w:ascii="Times New Roman" w:hAnsi="Times New Roman"/>
          <w:color w:val="000000"/>
          <w:sz w:val="20"/>
        </w:rPr>
        <w:t>n</w:t>
      </w:r>
      <w:r>
        <w:rPr>
          <w:rFonts w:ascii="Times New Roman" w:hAnsi="Times New Roman"/>
          <w:color w:val="000000"/>
          <w:sz w:val="20"/>
        </w:rPr>
        <w:t>templated an equal division of the partnership assets which would be adjusted only for disparities in cash co</w:t>
      </w:r>
      <w:r>
        <w:rPr>
          <w:rFonts w:ascii="Times New Roman" w:hAnsi="Times New Roman"/>
          <w:color w:val="000000"/>
          <w:sz w:val="20"/>
        </w:rPr>
        <w:t>n</w:t>
      </w:r>
      <w:r>
        <w:rPr>
          <w:rFonts w:ascii="Times New Roman" w:hAnsi="Times New Roman"/>
          <w:color w:val="000000"/>
          <w:sz w:val="20"/>
        </w:rPr>
        <w:t>tributions or withdrawals.</w:t>
      </w:r>
      <w:bookmarkStart w:id="7" w:name="Document1zzF00881971290157"/>
      <w:bookmarkEnd w:id="7"/>
      <w:r>
        <w:rPr>
          <w:rFonts w:ascii="Times New Roman" w:hAnsi="Times New Roman"/>
          <w:color w:val="000000"/>
          <w:sz w:val="20"/>
        </w:rPr>
        <w:t xml:space="preserve"> Certainly there is no evidence to show otherwise. That being true, the special allocation does not ‘actually affect the dollar amount of the partners' share of the total partnership income or loss independen</w:t>
      </w:r>
      <w:r>
        <w:rPr>
          <w:rFonts w:ascii="Times New Roman" w:hAnsi="Times New Roman"/>
          <w:color w:val="000000"/>
          <w:sz w:val="20"/>
        </w:rPr>
        <w:t>t</w:t>
      </w:r>
      <w:r>
        <w:rPr>
          <w:rFonts w:ascii="Times New Roman" w:hAnsi="Times New Roman"/>
          <w:color w:val="000000"/>
          <w:sz w:val="20"/>
        </w:rPr>
        <w:t>ly of tax consequences' within the meaning of the regul</w:t>
      </w:r>
      <w:r>
        <w:rPr>
          <w:rFonts w:ascii="Times New Roman" w:hAnsi="Times New Roman"/>
          <w:color w:val="000000"/>
          <w:sz w:val="20"/>
        </w:rPr>
        <w:t>a</w:t>
      </w:r>
      <w:r>
        <w:rPr>
          <w:rFonts w:ascii="Times New Roman" w:hAnsi="Times New Roman"/>
          <w:color w:val="000000"/>
          <w:sz w:val="20"/>
        </w:rPr>
        <w:t>tion referred to above.</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Our interpretation of the partnership agreement is su</w:t>
      </w:r>
      <w:r>
        <w:rPr>
          <w:rFonts w:ascii="Times New Roman" w:hAnsi="Times New Roman"/>
          <w:color w:val="000000"/>
          <w:sz w:val="20"/>
        </w:rPr>
        <w:t>p</w:t>
      </w:r>
      <w:r>
        <w:rPr>
          <w:rFonts w:ascii="Times New Roman" w:hAnsi="Times New Roman"/>
          <w:color w:val="000000"/>
          <w:sz w:val="20"/>
        </w:rPr>
        <w:t>ported by an analysis of a somewhat similar agreement, quoted in material part in our Findings, which petitioners made as part of a marital property settlement agreement in 1968. Under this agreement, Orrisch was entitled to d</w:t>
      </w:r>
      <w:r>
        <w:rPr>
          <w:rFonts w:ascii="Times New Roman" w:hAnsi="Times New Roman"/>
          <w:color w:val="000000"/>
          <w:sz w:val="20"/>
        </w:rPr>
        <w:t>e</w:t>
      </w:r>
      <w:r>
        <w:rPr>
          <w:rFonts w:ascii="Times New Roman" w:hAnsi="Times New Roman"/>
          <w:color w:val="000000"/>
          <w:sz w:val="20"/>
        </w:rPr>
        <w:t>duct all the depreciation for 1968 in computing his i</w:t>
      </w:r>
      <w:r>
        <w:rPr>
          <w:rFonts w:ascii="Times New Roman" w:hAnsi="Times New Roman"/>
          <w:color w:val="000000"/>
          <w:sz w:val="20"/>
        </w:rPr>
        <w:t>n</w:t>
      </w:r>
      <w:r>
        <w:rPr>
          <w:rFonts w:ascii="Times New Roman" w:hAnsi="Times New Roman"/>
          <w:color w:val="000000"/>
          <w:sz w:val="20"/>
        </w:rPr>
        <w:t>come tax liability, and his wife was to deduct none; but on the sale of the property they were to first reimburse O</w:t>
      </w:r>
      <w:r>
        <w:rPr>
          <w:rFonts w:ascii="Times New Roman" w:hAnsi="Times New Roman"/>
          <w:color w:val="000000"/>
          <w:sz w:val="20"/>
        </w:rPr>
        <w:t>r</w:t>
      </w:r>
      <w:r>
        <w:rPr>
          <w:rFonts w:ascii="Times New Roman" w:hAnsi="Times New Roman"/>
          <w:color w:val="000000"/>
          <w:sz w:val="20"/>
        </w:rPr>
        <w:t>risch for ‘such moneys as he may have advanced,‘ and then divide the balance of the ‘profits or proceeds' of the sale equally, each party to report one-half of the capital gain or loss on his income tax return. In the 1969 amen</w:t>
      </w:r>
      <w:r>
        <w:rPr>
          <w:rFonts w:ascii="Times New Roman" w:hAnsi="Times New Roman"/>
          <w:color w:val="000000"/>
          <w:sz w:val="20"/>
        </w:rPr>
        <w:t>d</w:t>
      </w:r>
      <w:r>
        <w:rPr>
          <w:rFonts w:ascii="Times New Roman" w:hAnsi="Times New Roman"/>
          <w:color w:val="000000"/>
          <w:sz w:val="20"/>
        </w:rPr>
        <w:t>ment to this agreement the unequal allocation of the d</w:t>
      </w:r>
      <w:r>
        <w:rPr>
          <w:rFonts w:ascii="Times New Roman" w:hAnsi="Times New Roman"/>
          <w:color w:val="000000"/>
          <w:sz w:val="20"/>
        </w:rPr>
        <w:t>e</w:t>
      </w:r>
      <w:r>
        <w:rPr>
          <w:rFonts w:ascii="Times New Roman" w:hAnsi="Times New Roman"/>
          <w:color w:val="000000"/>
          <w:sz w:val="20"/>
        </w:rPr>
        <w:t>preciation deduction was discontinued, and a provision similar to the partnership ‘charge back’ was added, i.e., while the proceeds of the sale were to be divided equally, only Orrisch's basis was to be reduced by the depreciation allowed for 1968 so that he would pay taxes on a larger portion of the gain realized on the sale. Significantly, in both this agreement and the partnership agreement, as we interpret it, each party's share of the sales proceeds was determined independently from his share of the depreci</w:t>
      </w:r>
      <w:r>
        <w:rPr>
          <w:rFonts w:ascii="Times New Roman" w:hAnsi="Times New Roman"/>
          <w:color w:val="000000"/>
          <w:sz w:val="20"/>
        </w:rPr>
        <w:t>a</w:t>
      </w:r>
      <w:r>
        <w:rPr>
          <w:rFonts w:ascii="Times New Roman" w:hAnsi="Times New Roman"/>
          <w:color w:val="000000"/>
          <w:sz w:val="20"/>
        </w:rPr>
        <w:t>tion deduction.</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In the light of all the evidence we have found as an ult</w:t>
      </w:r>
      <w:r>
        <w:rPr>
          <w:rFonts w:ascii="Times New Roman" w:hAnsi="Times New Roman"/>
          <w:color w:val="000000"/>
          <w:sz w:val="20"/>
        </w:rPr>
        <w:t>i</w:t>
      </w:r>
      <w:r>
        <w:rPr>
          <w:rFonts w:ascii="Times New Roman" w:hAnsi="Times New Roman"/>
          <w:color w:val="000000"/>
          <w:sz w:val="20"/>
        </w:rPr>
        <w:t>mate fact that the ‘principal purpose’ of the special alloc</w:t>
      </w:r>
      <w:r>
        <w:rPr>
          <w:rFonts w:ascii="Times New Roman" w:hAnsi="Times New Roman"/>
          <w:color w:val="000000"/>
          <w:sz w:val="20"/>
        </w:rPr>
        <w:t>a</w:t>
      </w:r>
      <w:r>
        <w:rPr>
          <w:rFonts w:ascii="Times New Roman" w:hAnsi="Times New Roman"/>
          <w:color w:val="000000"/>
          <w:sz w:val="20"/>
        </w:rPr>
        <w:t xml:space="preserve">tion agreement was tax avoidance within the meaning of </w:t>
      </w:r>
      <w:hyperlink r:id="rId17" w:history="1">
        <w:r>
          <w:rPr>
            <w:rFonts w:ascii="Times New Roman" w:hAnsi="Times New Roman"/>
            <w:color w:val="0000FF"/>
            <w:sz w:val="20"/>
            <w:u w:val="single"/>
          </w:rPr>
          <w:t>section 704(b)</w:t>
        </w:r>
      </w:hyperlink>
      <w:r>
        <w:rPr>
          <w:rFonts w:ascii="Times New Roman" w:hAnsi="Times New Roman"/>
          <w:color w:val="000000"/>
          <w:sz w:val="20"/>
        </w:rPr>
        <w:t>. Accordingly, the deduction for depreci</w:t>
      </w:r>
      <w:r>
        <w:rPr>
          <w:rFonts w:ascii="Times New Roman" w:hAnsi="Times New Roman"/>
          <w:color w:val="000000"/>
          <w:sz w:val="20"/>
        </w:rPr>
        <w:t>a</w:t>
      </w:r>
      <w:r>
        <w:rPr>
          <w:rFonts w:ascii="Times New Roman" w:hAnsi="Times New Roman"/>
          <w:color w:val="000000"/>
          <w:sz w:val="20"/>
        </w:rPr>
        <w:t>tion for 1966 and 1967 must be allocated between the parties in the same manner as other deductions.</w:t>
      </w:r>
    </w:p>
    <w:p w:rsidR="000F3119" w:rsidRDefault="000F3119">
      <w:pPr>
        <w:widowControl w:val="0"/>
        <w:autoSpaceDE w:val="0"/>
        <w:autoSpaceDN w:val="0"/>
        <w:adjustRightInd w:val="0"/>
        <w:rPr>
          <w:rFonts w:ascii="Times New Roman" w:hAnsi="Times New Roman"/>
          <w:color w:val="000000"/>
        </w:rPr>
      </w:pPr>
    </w:p>
    <w:p w:rsidR="000F3119" w:rsidRDefault="000F3119">
      <w:pPr>
        <w:widowControl w:val="0"/>
        <w:autoSpaceDE w:val="0"/>
        <w:autoSpaceDN w:val="0"/>
        <w:adjustRightInd w:val="0"/>
        <w:jc w:val="both"/>
        <w:rPr>
          <w:rFonts w:ascii="Times New Roman" w:hAnsi="Times New Roman"/>
          <w:color w:val="000000"/>
        </w:rPr>
      </w:pPr>
      <w:r>
        <w:rPr>
          <w:rFonts w:ascii="Times New Roman" w:hAnsi="Times New Roman"/>
          <w:color w:val="000000"/>
          <w:sz w:val="20"/>
        </w:rPr>
        <w:t>Decision will be entered for the respondent.</w:t>
      </w:r>
    </w:p>
    <w:p w:rsidR="000F3119" w:rsidRDefault="000F3119">
      <w:pPr>
        <w:widowControl w:val="0"/>
        <w:autoSpaceDE w:val="0"/>
        <w:autoSpaceDN w:val="0"/>
        <w:adjustRightInd w:val="0"/>
        <w:rPr>
          <w:rFonts w:ascii="Times New Roman" w:hAnsi="Times New Roman"/>
        </w:rPr>
      </w:pPr>
    </w:p>
    <w:sectPr w:rsidR="000F3119">
      <w:type w:val="continuous"/>
      <w:pgSz w:w="12240" w:h="15840"/>
      <w:pgMar w:top="2016" w:right="1080" w:bottom="1800" w:left="1080" w:header="720" w:footer="720" w:gutter="0"/>
      <w:cols w:num="2"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119" w:rsidRDefault="000F3119">
      <w:r>
        <w:separator/>
      </w:r>
    </w:p>
  </w:endnote>
  <w:endnote w:type="continuationSeparator" w:id="0">
    <w:p w:rsidR="000F3119" w:rsidRDefault="000F3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119" w:rsidRDefault="000F3119">
    <w:pPr>
      <w:widowControl w:val="0"/>
      <w:autoSpaceDE w:val="0"/>
      <w:autoSpaceDN w:val="0"/>
      <w:adjustRightInd w:val="0"/>
      <w:jc w:val="center"/>
      <w:rPr>
        <w:rFonts w:ascii="Arial" w:hAnsi="Arial" w:cs="Arial"/>
        <w:color w:val="000000"/>
      </w:rPr>
    </w:pPr>
    <w:r>
      <w:rPr>
        <w:rFonts w:ascii="Times New Roman" w:hAnsi="Times New Roman"/>
        <w:color w:val="000000"/>
        <w:sz w:val="20"/>
      </w:rPr>
      <w:t>© 2010 Thomson Reuters. No Claim to Orig. US Gov. Works.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119" w:rsidRDefault="000F3119">
      <w:r>
        <w:separator/>
      </w:r>
    </w:p>
  </w:footnote>
  <w:footnote w:type="continuationSeparator" w:id="0">
    <w:p w:rsidR="000F3119" w:rsidRDefault="000F31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57FC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66D"/>
    <w:rsid w:val="000F3119"/>
    <w:rsid w:val="00A57FC9"/>
    <w:rsid w:val="00FD26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heme="minorHAnsi" w:eastAsiaTheme="minorEastAsia" w:hAnsiTheme="minorHAns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F3119"/>
    <w:pPr>
      <w:tabs>
        <w:tab w:val="center" w:pos="4320"/>
        <w:tab w:val="right" w:pos="8640"/>
      </w:tabs>
    </w:pPr>
  </w:style>
  <w:style w:type="character" w:customStyle="1" w:styleId="HeaderChar">
    <w:name w:val="Header Char"/>
    <w:basedOn w:val="DefaultParagraphFont"/>
    <w:link w:val="Header"/>
    <w:uiPriority w:val="99"/>
    <w:semiHidden/>
    <w:locked/>
    <w:rsid w:val="000F3119"/>
    <w:rPr>
      <w:rFonts w:asciiTheme="minorHAnsi" w:eastAsiaTheme="minorEastAsia" w:hAnsiTheme="minorHAnsi" w:cs="Times New Roman"/>
      <w:sz w:val="24"/>
    </w:rPr>
  </w:style>
  <w:style w:type="paragraph" w:styleId="Footer">
    <w:name w:val="footer"/>
    <w:basedOn w:val="Normal"/>
    <w:link w:val="FooterChar"/>
    <w:uiPriority w:val="99"/>
    <w:semiHidden/>
    <w:rsid w:val="000F3119"/>
    <w:pPr>
      <w:tabs>
        <w:tab w:val="center" w:pos="4320"/>
        <w:tab w:val="right" w:pos="8640"/>
      </w:tabs>
    </w:pPr>
  </w:style>
  <w:style w:type="character" w:customStyle="1" w:styleId="FooterChar">
    <w:name w:val="Footer Char"/>
    <w:basedOn w:val="DefaultParagraphFont"/>
    <w:link w:val="Footer"/>
    <w:uiPriority w:val="99"/>
    <w:semiHidden/>
    <w:locked/>
    <w:rsid w:val="000F3119"/>
    <w:rPr>
      <w:rFonts w:asciiTheme="minorHAnsi" w:eastAsiaTheme="minorEastAsia" w:hAnsiTheme="minorHAnsi"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heme="minorHAnsi" w:eastAsiaTheme="minorEastAsia" w:hAnsiTheme="minorHAns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F3119"/>
    <w:pPr>
      <w:tabs>
        <w:tab w:val="center" w:pos="4320"/>
        <w:tab w:val="right" w:pos="8640"/>
      </w:tabs>
    </w:pPr>
  </w:style>
  <w:style w:type="character" w:customStyle="1" w:styleId="HeaderChar">
    <w:name w:val="Header Char"/>
    <w:basedOn w:val="DefaultParagraphFont"/>
    <w:link w:val="Header"/>
    <w:uiPriority w:val="99"/>
    <w:semiHidden/>
    <w:locked/>
    <w:rsid w:val="000F3119"/>
    <w:rPr>
      <w:rFonts w:asciiTheme="minorHAnsi" w:eastAsiaTheme="minorEastAsia" w:hAnsiTheme="minorHAnsi" w:cs="Times New Roman"/>
      <w:sz w:val="24"/>
    </w:rPr>
  </w:style>
  <w:style w:type="paragraph" w:styleId="Footer">
    <w:name w:val="footer"/>
    <w:basedOn w:val="Normal"/>
    <w:link w:val="FooterChar"/>
    <w:uiPriority w:val="99"/>
    <w:semiHidden/>
    <w:rsid w:val="000F3119"/>
    <w:pPr>
      <w:tabs>
        <w:tab w:val="center" w:pos="4320"/>
        <w:tab w:val="right" w:pos="8640"/>
      </w:tabs>
    </w:pPr>
  </w:style>
  <w:style w:type="character" w:customStyle="1" w:styleId="FooterChar">
    <w:name w:val="Footer Char"/>
    <w:basedOn w:val="DefaultParagraphFont"/>
    <w:link w:val="Footer"/>
    <w:uiPriority w:val="99"/>
    <w:semiHidden/>
    <w:locked/>
    <w:rsid w:val="000F3119"/>
    <w:rPr>
      <w:rFonts w:asciiTheme="minorHAnsi" w:eastAsiaTheme="minorEastAsia" w:hAnsiTheme="minorHAns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stlaw.com/Find/Default.wl?rs=dfa1.0&amp;vr=2.0&amp;DB=1012823&amp;DocName=26USCAS704&amp;FindType=L&amp;ReferencePositionType=T&amp;ReferencePosition=SP_8b3b0000958a4" TargetMode="External"/><Relationship Id="rId12" Type="http://schemas.openxmlformats.org/officeDocument/2006/relationships/hyperlink" Target="http://www.westlaw.com/Find/Default.wl?rs=dfa1.0&amp;vr=2.0&amp;DB=1012823&amp;DocName=26USCAS704&amp;FindType=L&amp;ReferencePositionType=T&amp;ReferencePosition=SP_a83b000018c76" TargetMode="External"/><Relationship Id="rId13" Type="http://schemas.openxmlformats.org/officeDocument/2006/relationships/hyperlink" Target="http://www.westlaw.com/Find/Default.wl?rs=dfa1.0&amp;vr=2.0&amp;DB=1016188&amp;DocName=26CFRS1.704-1&amp;FindType=L&amp;ReferencePositionType=T&amp;ReferencePosition=SP_c0ae00006c482" TargetMode="External"/><Relationship Id="rId14" Type="http://schemas.openxmlformats.org/officeDocument/2006/relationships/hyperlink" Target="http://www.westlaw.com/Find/Default.wl?rs=dfa1.0&amp;vr=2.0&amp;DB=1012823&amp;DocName=26USCAS704&amp;FindType=L&amp;ReferencePositionType=T&amp;ReferencePosition=SP_a83b000018c76" TargetMode="External"/><Relationship Id="rId15" Type="http://schemas.openxmlformats.org/officeDocument/2006/relationships/hyperlink" Target="http://www.westlaw.com/Find/Default.wl?rs=dfa1.0&amp;vr=2.0&amp;DB=1012823&amp;DocName=26USCAS704&amp;FindType=L&amp;ReferencePositionType=T&amp;ReferencePosition=SP_a83b000018c76" TargetMode="External"/><Relationship Id="rId16" Type="http://schemas.openxmlformats.org/officeDocument/2006/relationships/hyperlink" Target="http://www.westlaw.com/Find/Default.wl?rs=dfa1.0&amp;vr=2.0&amp;DB=1016188&amp;DocName=26CFRS1.704-1&amp;FindType=L&amp;ReferencePositionType=T&amp;ReferencePosition=SP_c0ae00006c482" TargetMode="External"/><Relationship Id="rId17" Type="http://schemas.openxmlformats.org/officeDocument/2006/relationships/hyperlink" Target="http://www.westlaw.com/Find/Default.wl?rs=dfa1.0&amp;vr=2.0&amp;DB=1012823&amp;DocName=26USCAS704&amp;FindType=L&amp;ReferencePositionType=T&amp;ReferencePosition=SP_a83b000018c7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stlaw.com/Find/Default.wl?rs=dfa1.0&amp;vr=2.0&amp;DB=1012823&amp;DocName=26USCAS704&amp;FindType=L&amp;ReferencePositionType=T&amp;ReferencePosition=SP_a83b000018c76"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3680</Words>
  <Characters>20981</Characters>
  <Application>Microsoft Macintosh Word</Application>
  <DocSecurity>0</DocSecurity>
  <Lines>174</Lines>
  <Paragraphs>49</Paragraphs>
  <ScaleCrop>false</ScaleCrop>
  <Company/>
  <LinksUpToDate>false</LinksUpToDate>
  <CharactersWithSpaces>24612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10.8.3.1.V2</dc:creator>
  <cp:keywords/>
  <dc:description/>
  <cp:lastModifiedBy>Jeffrey Colon</cp:lastModifiedBy>
  <cp:revision>2</cp:revision>
  <dcterms:created xsi:type="dcterms:W3CDTF">2015-01-24T01:35:00Z</dcterms:created>
  <dcterms:modified xsi:type="dcterms:W3CDTF">2015-01-24T01:35:00Z</dcterms:modified>
</cp:coreProperties>
</file>