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JAVA-10 – Métodos 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y4uvg1l42ce6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sobre Métodos em Java: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de Soma Simples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soma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dois números inteiros como parâmetros e retorne a soma deles. Em seguida,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peça ao usuário dois números, chame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soma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exiba o resultado.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Verificar Paridade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ehPar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 número inteiro como parâmetro e retorne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o número for par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for ímpar. Teste o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Calcular Fatorial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fatorial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 número inteiro como parâmetro e retorne o fatorial desse número. Utilize o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calcular o fatorial de um número fornecido pelo usuário.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Inverter String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inverterString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uma string como parâmetro e retorne a string invertida. Teste o método com várias strings diferentes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Calcular a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calcularMedia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três números decimais como parâmetros e retorne a média desses números. Chame o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calcular a média de três números fornecidos pelo usuário.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Contar Vogais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contarVogais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uma string como parâmetro e retorne o número de vogais na string. Teste o método com diferentes strings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Encontrar o Maior Número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maiorNumero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três números inteiros como parâmetros e retorne o maior deles. Utilize o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determinar o maior entre três números fornecidos pelo usuário.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Verificar Número Primo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ehPrimo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 número inteiro como parâmetro e retorne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o número for primo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caso contrário. Teste o método com vários números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Converter Celsius para Fahrenheit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converterCelsiusParaFahrenheit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uma temperatura em Celsius como parâmetro e retorne a temperatura correspondente em Fahrenheit. Chame o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converter várias temperaturas.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Método para Calcular Potência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calcularPotencia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dois números inteiros, base e expoente, e retorne o resultado de base elevado ao expoente. Utilize o método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calcular a potência de diferentes valores.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qGR4u7rpX22QE/yyg73UAe2saQ==">CgMxLjAyDmgueTR1dmcxbDQyY2U2OAByITFudmtycVZvWkR1Ri1WTWFpU3ZSUGdRa2cwa19NRDFScw==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