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WEB-JAVA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0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f4qbp4iwiak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Springboot sem relacionamento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Tarefas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Crie um projeto CRUD para gerenciar tarefas (To-Do List). A entidade "Tarefa" deve ter atributos como título, descrição, data de vencimento e status.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Inventário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Desenvolva um sistema CRUD para gerenciar um inventário de produtos. A entidade "Produto" deve incluir atributos como nome, descrição, quantidade e preço.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Clientes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Implemente um sistema CRUD para o cadastro e gerenciamento de clientes. A entidade "Cliente" deve ter atributos como nome, e-mail, telefone e endereço.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Funcionários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Proponha um projeto CRUD para gerenciar informações de funcionários. A entidade "Funcionário" deve incluir atributos como nome, cargo, data de contratação e salário.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Livros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Desenvolva um sistema CRUD para gerenciar uma biblioteca com a entidade "Livro". Inclua atributos como título, autor, ano de publicação e gênero.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Reservas de Hotel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Crie um projeto CRUD para gerenciar reservas em um hotel. A entidade "Reserva" deve ter atributos como nome do hóspede, data de entrada, data de saída e tipo de quarto.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Eventos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Implemente um sistema CRUD para gerenciar eventos. A entidade "Evento" deve incluir atributos como nome, data, local e descrição.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Cursos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Desenvolva um projeto CRUD para um sistema de gestão de cursos. A entidade "Curso" deve ter atributos como título, descrição, duração e instrutor.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Despesas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Proponha um projeto CRUD para gerenciar despesas pessoais ou de uma empresa. A entidade "Despesa" deve incluir atributos como categoria, valor, data e descrição.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Produtos para E-commerce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Crie um sistema CRUD para gerenciar produtos em um e-commerce. A entidade "Produto" deve ter atributos como nome, descrição, preço, categoria e imagem.</w:t>
      </w:r>
    </w:p>
    <w:p w:rsidR="00000000" w:rsidDel="00000000" w:rsidP="00000000" w:rsidRDefault="00000000" w:rsidRPr="00000000" w14:paraId="00000021">
      <w:pPr>
        <w:spacing w:after="0" w:befor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qSAHfZOQ7uOl5WjDPSQVwZbaMw==">CgMxLjAyDmgubmY0cWJwNGl3aWFrOAByITFuMFZuR01wUUphSTByWkhDcTk5M2YybE9idGY3YUExNA==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