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0">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jmcascalheira@ualg.pt</w:t>
        </w:r>
      </w:hyperlink>
    </w:p>
    <w:p>
      <w:pPr>
        <w:pStyle w:val="Date"/>
      </w:pPr>
      <w:r>
        <w:t xml:space="preserve">2018-06-05</w:t>
      </w:r>
    </w:p>
    <w:p>
      <w:pPr>
        <w:pStyle w:val="Compact"/>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in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w:t>
      </w:r>
      <w:r>
        <w:t xml:space="preserve"> </w:t>
      </w:r>
      <w:r>
        <w:t xml:space="preserv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Upper</w:t>
      </w:r>
      <w:r>
        <w:t xml:space="preserve"> </w:t>
      </w:r>
      <w:r>
        <w:t xml:space="preserve">Paleolithic</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2" w:name="the-archaeological-use-of-short-term-occupation"/>
      <w:r>
        <w:t xml:space="preserve">The archaeological use of</w:t>
      </w:r>
      <w:r>
        <w:t xml:space="preserve"> </w:t>
      </w:r>
      <w:r>
        <w:t xml:space="preserve">‘</w:t>
      </w:r>
      <w:r>
        <w:t xml:space="preserve">Short-term occupation</w:t>
      </w:r>
      <w:r>
        <w:t xml:space="preserve">’</w:t>
      </w:r>
      <w:bookmarkEnd w:id="22"/>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w:t>
      </w:r>
      <w:r>
        <w:t xml:space="preserve"> </w:t>
      </w:r>
      <w:r>
        <w:t xml:space="preserve">(sensu Binford 1981)</w:t>
      </w:r>
      <w:r>
        <w:t xml:space="preserve"> </w:t>
      </w:r>
      <w:r>
        <w:t xml:space="preserve">in the last half century, including such specialized disciplines as Ethnoarchaeology, Geoarchaeology or Zooarchaeology, have greatly helped us to understand, not only the archaeological material culture, but also site formation processes</w:t>
      </w:r>
      <w:r>
        <w:t xml:space="preserve"> </w:t>
      </w:r>
      <w:r>
        <w:t xml:space="preserve">(e.g. Schiffer 1983, 1987)</w:t>
      </w:r>
      <w:r>
        <w:t xml:space="preserve"> </w:t>
      </w:r>
      <w:r>
        <w:t xml:space="preserve">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their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w:t>
      </w:r>
      <w:r>
        <w:t xml:space="preserve"> </w:t>
      </w:r>
      <w:r>
        <w:t xml:space="preserve">(e.g. Porraz 2009; Rios-Garaizar 2016; Picin 2017)</w:t>
      </w:r>
      <w:r>
        <w:t xml:space="preserve">. Most times, it is, in one way or another, related to work on settlement patterns, starting with the classic Binford’ studies on the Nunamiut settlement system and related discussion of site structuring and intra-site spatial organization</w:t>
      </w:r>
      <w:r>
        <w:t xml:space="preserve"> </w:t>
      </w:r>
      <w:r>
        <w:t xml:space="preserve">(e.g. Binford 1978a, 1978b, 1982)</w:t>
      </w:r>
      <w:r>
        <w:t xml:space="preserve">, as well as on hunter-gatherer mobility research</w:t>
      </w:r>
      <w:r>
        <w:t xml:space="preserve"> </w:t>
      </w:r>
      <w:r>
        <w:t xml:space="preserve">(e.g. Binford 1980; Kuhn 1992; Kelly 1995; Amick 1996; Barton and Riel-Salvatore 2014; Nishiaki and Akazawa 2015)</w:t>
      </w:r>
      <w:r>
        <w:t xml:space="preserve">.</w:t>
      </w:r>
    </w:p>
    <w:p>
      <w:pPr>
        <w:pStyle w:val="BodyText"/>
      </w:pPr>
      <w:r>
        <w:t xml:space="preserve">In 1972,</w:t>
      </w:r>
      <w:r>
        <w:t xml:space="preserve"> </w:t>
      </w:r>
      <w:r>
        <w:t xml:space="preserve">Sahlins (1972)</w:t>
      </w:r>
      <w:r>
        <w:t xml:space="preserve"> </w:t>
      </w:r>
      <w:r>
        <w:t xml:space="preserve">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w:t>
      </w:r>
      <w:r>
        <w:t xml:space="preserve"> </w:t>
      </w:r>
      <w:r>
        <w:t xml:space="preserve">(1977)</w:t>
      </w:r>
      <w:r>
        <w:t xml:space="preserve"> </w:t>
      </w:r>
      <w:r>
        <w:t xml:space="preserve">stated, the duration of occupation of a group in a specific ecological context will affect both the quantity and nature of the archaeological record visible at a site. The issue, then, is to juggle a series of variables, including duration of occupation and population size, and to make sense of the results, so the concept is clear and used in a meaningful manner.</w:t>
      </w:r>
    </w:p>
    <w:p>
      <w:pPr>
        <w:pStyle w:val="BodyText"/>
      </w:pPr>
      <w:r>
        <w:t xml:space="preserve">As Moncel and Rivals</w:t>
      </w:r>
      <w:r>
        <w:t xml:space="preserve"> </w:t>
      </w:r>
      <w:r>
        <w:t xml:space="preserve">(2011)</w:t>
      </w:r>
      <w:r>
        <w:t xml:space="preserve"> </w:t>
      </w:r>
      <w:r>
        <w:t xml:space="preserve">have argued, it is not always easy to make a distinction between long-term and short-term occupations. While ethnographically this distinction might be easy to demonstrate, although most certainly corresponding to a continuum as both Yellen</w:t>
      </w:r>
      <w:r>
        <w:t xml:space="preserve"> </w:t>
      </w:r>
      <w:r>
        <w:t xml:space="preserve">(1977)</w:t>
      </w:r>
      <w:r>
        <w:t xml:space="preserve"> </w:t>
      </w:r>
      <w:r>
        <w:t xml:space="preserve">and Binford</w:t>
      </w:r>
      <w:r>
        <w:t xml:space="preserve"> </w:t>
      </w:r>
      <w:r>
        <w:t xml:space="preserve">(1978a)</w:t>
      </w:r>
      <w:r>
        <w:t xml:space="preserve"> </w:t>
      </w:r>
      <w:r>
        <w:t xml:space="preserve">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w:t>
      </w:r>
      <w:r>
        <w:t xml:space="preserve"> </w:t>
      </w:r>
      <w:r>
        <w:t xml:space="preserve">(e.g. Grove 2009)</w:t>
      </w:r>
      <w:r>
        <w:t xml:space="preserve">,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TableCaption"/>
      </w:pPr>
      <w:r>
        <w:t xml:space="preserve">Table 1 Traditional criteria for estimation of duration of occupation</w:t>
      </w:r>
    </w:p>
    <w:tbl>
      <w:tblPr>
        <w:tblStyle w:val="Table"/>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w:t>
      </w:r>
      <w:r>
        <w:t xml:space="preserve"> </w:t>
      </w:r>
      <w:r>
        <w:t xml:space="preserve">(e.g. Madsen et al. 2006; Porraz 2009; Crassard et al. 2013; Rios-Garaizar 2016; Bretzke et al. 2017; Terradillos-Bernal et al. 2017)</w:t>
      </w:r>
      <w:r>
        <w:t xml:space="preserve">. Other studies have furthered improved those concepts, with both descriptions of criteria and their application</w:t>
      </w:r>
      <w:r>
        <w:t xml:space="preserve"> </w:t>
      </w:r>
      <w:r>
        <w:t xml:space="preserve">(e.g. Barton 1990; Dillehay et al. 2011; Nishiaki and Akazawa 2015; Clark and Barton 2017)</w:t>
      </w:r>
      <w:r>
        <w:t xml:space="preserve">.</w:t>
      </w:r>
    </w:p>
    <w:p>
      <w:pPr>
        <w:pStyle w:val="BodyText"/>
      </w:pPr>
      <w:r>
        <w:t xml:space="preserve">In Binford’s seminal framework there are clear definitions of site typology</w:t>
      </w:r>
      <w:r>
        <w:t xml:space="preserve"> </w:t>
      </w:r>
      <w:r>
        <w:t xml:space="preserve">(Binford 1980)</w:t>
      </w:r>
      <w:r>
        <w:t xml:space="preserve"> </w:t>
      </w:r>
      <w:r>
        <w:t xml:space="preserve">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 10)</w:t>
      </w:r>
      <w:r>
        <w:t xml:space="preserve">.</w:t>
      </w:r>
    </w:p>
    <w:p>
      <w:pPr>
        <w:pStyle w:val="BodyText"/>
      </w:pPr>
      <w:r>
        <w:t xml:space="preserve">Another good example of site nomenclature is that of Dillehay et al.</w:t>
      </w:r>
      <w:r>
        <w:t xml:space="preserve"> </w:t>
      </w:r>
      <w:r>
        <w:t xml:space="preserve">(2011)</w:t>
      </w:r>
      <w:r>
        <w:t xml:space="preserve"> </w:t>
      </w:r>
      <w:r>
        <w:t xml:space="preserve">for the foraging-farming transition in the Andes. The authors indicate the presence of a very diverse and expanded site typology</w:t>
      </w:r>
      <w:r>
        <w:t xml:space="preserve"> </w:t>
      </w:r>
      <w:r>
        <w:t xml:space="preserve">(Dillehay et al. 2011: 36-40)</w:t>
      </w:r>
      <w:r>
        <w:t xml:space="preserve">,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p>
    <w:p>
      <w:pPr>
        <w:pStyle w:val="BodyText"/>
      </w:pP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 12)</w:t>
      </w:r>
      <w:r>
        <w:t xml:space="preserve">. However, as Binford also argued, there is considerable variability in the duration of each stay in each site and the type of mobility pattern present</w:t>
      </w:r>
      <w:r>
        <w:t xml:space="preserve"> </w:t>
      </w:r>
      <w:r>
        <w:t xml:space="preserve">(Binford 1980)</w:t>
      </w:r>
      <w:r>
        <w:t xml:space="preserve">, and thus each site may have been used for different functions and durations</w:t>
      </w:r>
      <w:r>
        <w:t xml:space="preserve"> </w:t>
      </w:r>
      <w:r>
        <w:t xml:space="preserve">(Binford 1982)</w:t>
      </w:r>
      <w:r>
        <w:t xml:space="preserve">, with a direct impact on the archaeological visibility of sites and their respective duration cycle. Barton and colleagues</w:t>
      </w:r>
      <w:r>
        <w:t xml:space="preserve"> </w:t>
      </w:r>
      <w:r>
        <w:t xml:space="preserve">(Riel-Salvatore and Barton 2004; Barton and Riel-Salvatore 2014; Clark and Barton 2017)</w:t>
      </w:r>
      <w:r>
        <w:t xml:space="preserve">,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 “expedient</w:t>
      </w:r>
      <w:r>
        <w:t xml:space="preserve">”</w:t>
      </w:r>
      <w:r>
        <w:t xml:space="preserve"> </w:t>
      </w:r>
      <w:r>
        <w:t xml:space="preserve">and</w:t>
      </w:r>
      <w:r>
        <w:t xml:space="preserve"> </w:t>
      </w:r>
      <w:r>
        <w:t xml:space="preserve">“</w:t>
      </w:r>
      <w:r>
        <w:t xml:space="preserve">curated</w:t>
      </w:r>
      <w:r>
        <w:t xml:space="preserve">”</w:t>
      </w:r>
      <w:r>
        <w:t xml:space="preserve"> </w:t>
      </w:r>
      <w:r>
        <w:t xml:space="preserve">do not reflect individual site-occupation events”</w:t>
      </w:r>
      <w:r>
        <w:t xml:space="preserve"> </w:t>
      </w:r>
      <w:r>
        <w:t xml:space="preserve">(Riel-Salvatore and Barton 2007: 62)</w:t>
      </w:r>
      <w:r>
        <w:t xml:space="preserve">. They also assume that expedient assemblages often accumulate at more intensively occupied sites, while curated assemblages more usually derive from short-term occupations.</w:t>
      </w:r>
    </w:p>
    <w:p>
      <w:pPr>
        <w:pStyle w:val="BodyText"/>
      </w:pP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3" w:name="materials-and-methods"/>
      <w:r>
        <w:t xml:space="preserve">Materials and Methods</w:t>
      </w:r>
      <w:bookmarkEnd w:id="23"/>
    </w:p>
    <w:p>
      <w:pPr>
        <w:pStyle w:val="Heading2"/>
      </w:pPr>
      <w:bookmarkStart w:id="24" w:name="case-studies"/>
      <w:r>
        <w:t xml:space="preserve">Case studies</w:t>
      </w:r>
      <w:bookmarkEnd w:id="24"/>
    </w:p>
    <w:p>
      <w:pPr>
        <w:pStyle w:val="FirstParagraph"/>
      </w:pPr>
      <w:r>
        <w:t xml:space="preserve">We used in this study a total of 17 stone tool samples from different archaeological contexts, coming from a set of various sites excavated since the late 1980’s: Areeiro I</w:t>
      </w:r>
      <w:r>
        <w:t xml:space="preserve"> </w:t>
      </w:r>
      <w:r>
        <w:t xml:space="preserve">(Bicho 1992, 1993, 1994)</w:t>
      </w:r>
      <w:r>
        <w:t xml:space="preserve"> </w:t>
      </w:r>
      <w:r>
        <w:t xml:space="preserve">Cabeço do Porto Marinho</w:t>
      </w:r>
      <w:r>
        <w:t xml:space="preserve"> </w:t>
      </w:r>
      <w:r>
        <w:t xml:space="preserve">(Bicho 1992, 1994)</w:t>
      </w:r>
      <w:r>
        <w:t xml:space="preserve">, Carneira II</w:t>
      </w:r>
      <w:r>
        <w:t xml:space="preserve"> </w:t>
      </w:r>
      <w:r>
        <w:t xml:space="preserve">(Bicho 1992, 1993)</w:t>
      </w:r>
      <w:r>
        <w:t xml:space="preserve">, Picareiro</w:t>
      </w:r>
      <w:r>
        <w:t xml:space="preserve"> </w:t>
      </w:r>
      <w:r>
        <w:t xml:space="preserve">(Bicho et al. 2006)</w:t>
      </w:r>
      <w:r>
        <w:t xml:space="preserve">, Pinhal da Carneira</w:t>
      </w:r>
      <w:r>
        <w:t xml:space="preserve"> </w:t>
      </w:r>
      <w:r>
        <w:t xml:space="preserve">(Bicho 1992, 1993)</w:t>
      </w:r>
      <w:r>
        <w:t xml:space="preserve">, and Quinta do Sanguinhal</w:t>
      </w:r>
      <w:r>
        <w:t xml:space="preserve"> </w:t>
      </w:r>
      <w:r>
        <w:t xml:space="preserve">(Bicho 2005)</w:t>
      </w:r>
      <w:r>
        <w:t xml:space="preserve"> </w:t>
      </w:r>
      <w:r>
        <w:t xml:space="preserve">in central Portugal, and Vale Boi</w:t>
      </w:r>
      <w:r>
        <w:t xml:space="preserve"> </w:t>
      </w:r>
      <w:r>
        <w:t xml:space="preserve">(Cascalheira and Bicho 2013, 2015; Bicho et al. 2017b)</w:t>
      </w:r>
      <w:r>
        <w:t xml:space="preserve"> </w:t>
      </w:r>
      <w:r>
        <w:t xml:space="preserve">in southern Portugal. In most cases, only samples were used, instead of whole assemblages, since only those have been published.</w:t>
      </w:r>
    </w:p>
    <w:p>
      <w:pPr>
        <w:pStyle w:val="BodyText"/>
      </w:pPr>
      <w:r>
        <w:t xml:space="preserve">Areeiro I (ARI) was excavated in 1987</w:t>
      </w:r>
      <w:r>
        <w:t xml:space="preserve"> </w:t>
      </w:r>
      <w:r>
        <w:t xml:space="preserve">(Marks et al. 1994)</w:t>
      </w:r>
      <w:r>
        <w:t xml:space="preserve">.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TableCaption"/>
      </w:pPr>
      <w:r>
        <w:t xml:space="preserve">Table 2 Archaeological data based on variables from Table 1</w:t>
      </w:r>
    </w:p>
    <w:tbl>
      <w:tblPr>
        <w:tblStyle w:val="Table"/>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r>
        <w:t xml:space="preserve">Cabeço do Porto Marinho (CPM) was excavated between 1987 and 1994</w:t>
      </w:r>
      <w:r>
        <w:t xml:space="preserve"> </w:t>
      </w:r>
      <w:r>
        <w:t xml:space="preserve">(Bicho 1992; Marks et al. 1994)</w:t>
      </w:r>
      <w:r>
        <w:t xml:space="preserve">. CPM is one of the largest Portuguese Upper Paleolithic sites with a very long archaeological sequence. There are over 30 different stratigraphical contexts starting with early Gravettian, Proto-Solutrean, Magdalenian, Epipaleolithic, Neolithic and Bronze Age occupations</w:t>
      </w:r>
      <w:r>
        <w:t xml:space="preserve"> </w:t>
      </w:r>
      <w:r>
        <w:t xml:space="preserve">(Bicho 1992; Marks et al. 1994; Zilhão 1997)</w:t>
      </w:r>
      <w:r>
        <w:t xml:space="preserve">.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w:t>
      </w:r>
      <w:r>
        <w:t xml:space="preserve"> </w:t>
      </w:r>
      <w:r>
        <w:t xml:space="preserve">(Bicho 1992)</w:t>
      </w:r>
      <w:r>
        <w:t xml:space="preserve">.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w:t>
      </w:r>
      <w:r>
        <w:t xml:space="preserve"> </w:t>
      </w:r>
      <w:r>
        <w:t xml:space="preserve">(1992)</w:t>
      </w:r>
      <w:r>
        <w:t xml:space="preserve"> </w:t>
      </w:r>
      <w:r>
        <w:t xml:space="preserve">were used in the present study. With the exception of CPM III Trench, corresponding to a small area around a single hearth, all other contexts were thought to represent middle to long-term occupations, likely residential base camps.</w:t>
      </w:r>
    </w:p>
    <w:p>
      <w:pPr>
        <w:pStyle w:val="BodyText"/>
      </w:pPr>
      <w:r>
        <w:t xml:space="preserve">Carneira II (CR II) and Pinhal da Carneira (PC) are sites in the same general pine grove outside Rio Maior city. They are both single layered sites with an average of 20-25 cm thick deposit. There is a hearth in CR II, but no features were found in the small excavated area of PC. Excavation was carried out in 10 cm artificial spits and all sediment was screened with a 2 mm mesh. Both sites are dated to the Epipaleolithic, respectively c. 10.5 and 11.5 cal BP</w:t>
      </w:r>
      <w:r>
        <w:t xml:space="preserve"> </w:t>
      </w:r>
      <w:r>
        <w:t xml:space="preserve">(Bicho 1992, 1994)</w:t>
      </w:r>
      <w:r>
        <w:t xml:space="preserve">.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p>
    <w:p>
      <w:pPr>
        <w:pStyle w:val="BodyText"/>
      </w:pPr>
      <w:r>
        <w:t xml:space="preserve">Quinta do Sanguinhal (QS) is a very small open air site, also in the Rio Maior region</w:t>
      </w:r>
      <w:r>
        <w:t xml:space="preserve"> </w:t>
      </w:r>
      <w:r>
        <w:t xml:space="preserve">(Bicho 2005)</w:t>
      </w:r>
      <w:r>
        <w:t xml:space="preserve">.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w:t>
      </w:r>
      <w:r>
        <w:t xml:space="preserve"> </w:t>
      </w:r>
      <w:r>
        <w:t xml:space="preserve">(Almeida 2000; Bicho 2005)</w:t>
      </w:r>
      <w:r>
        <w:t xml:space="preserve">.</w:t>
      </w:r>
    </w:p>
    <w:p>
      <w:pPr>
        <w:pStyle w:val="BodyText"/>
      </w:pP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w:t>
      </w:r>
      <w:r>
        <w:t xml:space="preserve"> </w:t>
      </w:r>
      <w:r>
        <w:t xml:space="preserve">(Bicho et al. 2006; Haws 2012)</w:t>
      </w:r>
      <w:r>
        <w:t xml:space="preserve">. The lithic assemblage used here dates to the Magdalenian and is associated to a very large hearth</w:t>
      </w:r>
      <w:r>
        <w:t xml:space="preserve"> </w:t>
      </w:r>
      <w:r>
        <w:t xml:space="preserve">(Bicho et al. 2006)</w:t>
      </w:r>
      <w:r>
        <w:t xml:space="preserve">.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p>
    <w:p>
      <w:pPr>
        <w:pStyle w:val="BodyText"/>
      </w:pPr>
      <w:r>
        <w:t xml:space="preserve">The site of Vale Boi was discovered in 1998 and excavation started in 2000</w:t>
      </w:r>
      <w:r>
        <w:t xml:space="preserve"> </w:t>
      </w:r>
      <w:r>
        <w:t xml:space="preserve">(Bicho et al. 2004, 2013)</w:t>
      </w:r>
      <w:r>
        <w:t xml:space="preserve">. There are four different loci (Terrace, Slope, Rock Shelter and Rock Shelter 2) with archaeological horizons dated to the early Gravettian</w:t>
      </w:r>
      <w:r>
        <w:t xml:space="preserve"> </w:t>
      </w:r>
      <w:r>
        <w:t xml:space="preserve">(Bicho et al. 2015, 2017a)</w:t>
      </w:r>
      <w:r>
        <w:t xml:space="preserve">, Solutrean and Magdalenian, while one of those loci (VB Terrace) has also Mesolithic and early Neolithic occupations</w:t>
      </w:r>
      <w:r>
        <w:t xml:space="preserve"> </w:t>
      </w:r>
      <w:r>
        <w:t xml:space="preserve">(Carvalho 2007; Bicho 2009)</w:t>
      </w:r>
      <w:r>
        <w:t xml:space="preserve">. Excavation followed detailed 3D location of artifacts using a Total station and full sediment screening with a 2-3 mm mesh screen.</w:t>
      </w:r>
    </w:p>
    <w:p>
      <w:pPr>
        <w:pStyle w:val="BodyText"/>
      </w:pPr>
      <w:r>
        <w:t xml:space="preserve">The oldest assemblage is early Gravettian. It is a particular setting found at the bottom of VB Rock Shelter 2, composed by only 54 artifacts and coming from an area slightly smaller than 2 m2. It likely corresponds to a Gravettian point cache</w:t>
      </w:r>
      <w:r>
        <w:t xml:space="preserve"> </w:t>
      </w:r>
      <w:r>
        <w:t xml:space="preserve">(Bicho et al. 2016)</w:t>
      </w:r>
      <w:r>
        <w:t xml:space="preserve">, since the large majority of the recovered artifacts are backed pointed bladelets.</w:t>
      </w:r>
    </w:p>
    <w:p>
      <w:pPr>
        <w:pStyle w:val="BodyText"/>
      </w:pPr>
      <w:r>
        <w:t xml:space="preserve">The other two assemblages (VB Shelter B and Z) are from the rock shelter locus, respectively dated to the Solutrean and Magdalenian</w:t>
      </w:r>
      <w:r>
        <w:t xml:space="preserve"> </w:t>
      </w:r>
      <w:r>
        <w:t xml:space="preserve">(Mendonça 2009; Cascalheira 2013; Cascalheira and Bicho 2015)</w:t>
      </w:r>
      <w:r>
        <w:t xml:space="preserve">.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5" w:name="variables"/>
      <w:r>
        <w:t xml:space="preserve">Variables</w:t>
      </w:r>
      <w:bookmarkEnd w:id="25"/>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w:t>
      </w:r>
      <w:r>
        <w:t xml:space="preserve"> </w:t>
      </w:r>
      <w:r>
        <w:t xml:space="preserve">(2017)</w:t>
      </w:r>
      <w:r>
        <w:t xml:space="preserve"> </w:t>
      </w:r>
      <w:r>
        <w:t xml:space="preserve">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retouch but with low lithic volumetric density, high lithic curation, low numbers of cores and debitage, and small archaeological contexts. In contrast,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p>
    <w:p>
      <w:pPr>
        <w:pStyle w:val="BodyText"/>
      </w:pPr>
      <w:r>
        <w:t xml:space="preserve">There are, however, other variables that have been listed as possibly indicative of duration of occupation. These include site area, number of features, and spatial segregation of activities</w:t>
      </w:r>
      <w:r>
        <w:t xml:space="preserve"> </w:t>
      </w:r>
      <w:r>
        <w:t xml:space="preserve">(e.g. Binford 1980; Dillehay et al. 2011; Nishiaki and Akazawa 2015)</w:t>
      </w:r>
      <w:r>
        <w:t xml:space="preserve">.</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w:t>
      </w:r>
      <w:r>
        <w:t xml:space="preserve"> </w:t>
      </w:r>
      <w:r>
        <w:t xml:space="preserve">(2017)</w:t>
      </w:r>
      <w:r>
        <w:t xml:space="preserve">);</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(artifacts smaller than 1 cm) present in the lithic sample;</w:t>
      </w:r>
    </w:p>
    <w:p>
      <w:pPr>
        <w:numPr>
          <w:numId w:val="1001"/>
          <w:ilvl w:val="0"/>
        </w:numPr>
      </w:pPr>
      <w:r>
        <w:rPr>
          <w:b/>
        </w:rPr>
        <w:t xml:space="preserve">Chip Frequency</w:t>
      </w:r>
      <w:r>
        <w:t xml:space="preserve"> </w:t>
      </w:r>
      <w:r>
        <w:t xml:space="preserve">- relative frequency of chips (artifacts smaller than 1 cm)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w:t>
      </w:r>
      <w:r>
        <w:t xml:space="preserve"> </w:t>
      </w:r>
      <w:r>
        <w:t xml:space="preserve">(2017)</w:t>
      </w:r>
      <w:r>
        <w:t xml:space="preserve">);</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6" w:name="statistics"/>
      <w:r>
        <w:t xml:space="preserve">Statistics</w:t>
      </w:r>
      <w:bookmarkEnd w:id="26"/>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w:t>
      </w:r>
      <w:r>
        <w:t xml:space="preserve"> </w:t>
      </w:r>
      <w:r>
        <w:t xml:space="preserve">(Shennan 1997)</w:t>
      </w:r>
      <w:r>
        <w:t xml:space="preserve">. PCA has had numerous applications in Archaeology</w:t>
      </w:r>
      <w:r>
        <w:t xml:space="preserve"> </w:t>
      </w:r>
      <w:r>
        <w:t xml:space="preserve">(e.g. McPherron 1994; McCall 2006, 2007; Marreiros and Bicho 2013)</w:t>
      </w:r>
      <w:r>
        <w:t xml:space="preserve"> </w:t>
      </w:r>
      <w:r>
        <w:t xml:space="preserve">and is available through most of the statistical software packages.</w:t>
      </w:r>
    </w:p>
    <w:p>
      <w:pPr>
        <w:pStyle w:val="BodyText"/>
      </w:pP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p>
    <w:p>
      <w:pPr>
        <w:pStyle w:val="BodyText"/>
      </w:pPr>
      <w:r>
        <w:t xml:space="preserve">All analyses and data processing were accomplished in R (version 3.4.4)</w:t>
      </w:r>
      <w:r>
        <w:t xml:space="preserve"> </w:t>
      </w:r>
      <w:r>
        <w:t xml:space="preserve">(R Core Team 2013)</w:t>
      </w:r>
      <w:r>
        <w:t xml:space="preserve">. PCA analysis was performed using the FactoMineR package</w:t>
      </w:r>
      <w:r>
        <w:t xml:space="preserve"> </w:t>
      </w:r>
      <w:r>
        <w:t xml:space="preserve">(Lê et al. 2008)</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27">
        <w:r>
          <w:rPr>
            <w:rStyle w:val="Hyperlink"/>
          </w:rPr>
          <w:t xml:space="preserve">https://dx.doi.org/10.17605/OSF.IO/AWYVF</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28" w:name="results"/>
      <w:r>
        <w:t xml:space="preserve">Results</w:t>
      </w:r>
      <w:bookmarkEnd w:id="28"/>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(less than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p>
    <w:p>
      <w:pPr>
        <w:pStyle w:val="BodyText"/>
      </w:pP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p>
    <w:p>
      <w:pPr>
        <w:pStyle w:val="BodyText"/>
      </w:pPr>
      <w:r>
        <w:t xml:space="preserve">This empirical classification is only partially in agreement with the evidence available from previous studies on the lithic and general archaeological context of each site.</w:t>
      </w:r>
    </w:p>
    <w:p>
      <w:pPr>
        <w:pStyle w:val="BodyText"/>
      </w:pPr>
      <w:r>
        <w:t xml:space="preserve">When we plot lithic volumetric density against retouch frequency, following Clark and Barton</w:t>
      </w:r>
      <w:r>
        <w:t xml:space="preserve"> </w:t>
      </w:r>
      <w:r>
        <w:t xml:space="preserve">(2017)</w:t>
      </w:r>
      <w:r>
        <w:t xml:space="preserve"> </w:t>
      </w:r>
      <w:r>
        <w:t xml:space="preserve">index, the results are generically as expected (Figure</w:t>
      </w:r>
      <w:r>
        <w:t xml:space="preserve"> </w:t>
      </w:r>
      <w:r>
        <w:t xml:space="preserve">1</w:t>
      </w:r>
      <w:r>
        <w:t xml:space="preserve">).</w:t>
      </w:r>
      <w:r>
        <w:t xml:space="preserve"> </w:t>
      </w:r>
      <w:r>
        <w:t xml:space="preserve">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p>
    <w:p>
      <w:pPr>
        <w:pStyle w:val="BodyText"/>
      </w:pP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CaptionedFigure"/>
      </w:pPr>
      <w:r>
        <w:drawing>
          <wp:inline>
            <wp:extent cx="5943600" cy="2641600"/>
            <wp:effectExtent b="0" l="0" r="0" t="0"/>
            <wp:docPr descr="Figure 1 Whole Assemblage Behavioral Index" title="" id="1" name="Picture"/>
            <a:graphic>
              <a:graphicData uri="http://schemas.openxmlformats.org/drawingml/2006/picture">
                <pic:pic>
                  <pic:nvPicPr>
                    <pic:cNvPr descr="../figures/wabi-1.png" id="0" name="Picture"/>
                    <pic:cNvPicPr>
                      <a:picLocks noChangeArrowheads="1" noChangeAspect="1"/>
                    </pic:cNvPicPr>
                  </pic:nvPicPr>
                  <pic:blipFill>
                    <a:blip r:embed="rId29"/>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TableCaption"/>
      </w:pPr>
      <w:r>
        <w:t xml:space="preserve">Table 3 Eigen values and percentage of variance for each dimension of PCA</w:t>
      </w:r>
    </w:p>
    <w:tbl>
      <w:tblPr>
        <w:tblStyle w:val="Table"/>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 Frequency (c. 32%), and Tool Diversity (c. 15%). Finally, Dimensions 3 and 4 are largely explained by a single variable, that in the first case is Lithic Density (c. 72%) and in the second Features Frequency (c. 60%).</w:t>
      </w:r>
    </w:p>
    <w:p>
      <w:pPr>
        <w:pStyle w:val="CaptionedFigure"/>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varcontrib-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 Frequency and Tool Diversity.</w:t>
      </w:r>
    </w:p>
    <w:p>
      <w:pPr>
        <w:pStyle w:val="BodyText"/>
      </w:pP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CaptionedFigure"/>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varcorreplot-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 Frequency and low values of all the remaining variables, and not clearly associated with expedient base camps as suggested by the WABI. The use and relevance of Chip Frequency in this analysis might raise some concerns due to the possible influence of preservation conditions and post-depositional processes affecting each context. For this reason, during our exploratory analysis we recalculate the PCA without using Chip Frequency, and results came out essentially the same in terms of the location of contexts within each dimension (although we do not present the outcomes of these extra-analysis, they can be confirmed by using the code provided in our SOM materials).</w:t>
      </w:r>
    </w:p>
    <w:p>
      <w:pPr>
        <w:pStyle w:val="BodyText"/>
      </w:pP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p>
    <w:p>
      <w:pPr>
        <w:pStyle w:val="BodyText"/>
      </w:pP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TableCaption"/>
      </w:pPr>
      <w:r>
        <w:t xml:space="preserve">Table 4 PCA coordinates for the archaeological contexts</w:t>
      </w:r>
    </w:p>
    <w:tbl>
      <w:tblPr>
        <w:tblStyle w:val="Table"/>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CaptionedFigure"/>
      </w:pPr>
      <w:r>
        <w:drawing>
          <wp:inline>
            <wp:extent cx="5943600" cy="2641600"/>
            <wp:effectExtent b="0" l="0" r="0" t="0"/>
            <wp:docPr descr="Figure 4 PCA Biplot for Dimensions 1 and 2" title="" id="1" name="Picture"/>
            <a:graphic>
              <a:graphicData uri="http://schemas.openxmlformats.org/drawingml/2006/picture">
                <pic:pic>
                  <pic:nvPicPr>
                    <pic:cNvPr descr="../figures/biplot1-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CaptionedFigure"/>
      </w:pPr>
      <w:r>
        <w:drawing>
          <wp:inline>
            <wp:extent cx="5943600" cy="2641600"/>
            <wp:effectExtent b="0" l="0" r="0" t="0"/>
            <wp:docPr descr="Figure 5 PCA Biplot for Dimensions 3 and 4" title="" id="1" name="Picture"/>
            <a:graphic>
              <a:graphicData uri="http://schemas.openxmlformats.org/drawingml/2006/picture">
                <pic:pic>
                  <pic:nvPicPr>
                    <pic:cNvPr descr="../figures/biplot2-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4" w:name="discussion"/>
      <w:r>
        <w:t xml:space="preserve">Discussion</w:t>
      </w:r>
      <w:bookmarkEnd w:id="34"/>
    </w:p>
    <w:p>
      <w:pPr>
        <w:pStyle w:val="FirstParagraph"/>
      </w:pPr>
      <w:r>
        <w:t xml:space="preserve">The results of our analysis indicate that, unlike what is specified by Clark and Barton</w:t>
      </w:r>
      <w:r>
        <w:t xml:space="preserve"> </w:t>
      </w:r>
      <w:r>
        <w:t xml:space="preserve">(2017)</w:t>
      </w:r>
      <w:r>
        <w:t xml:space="preserve">,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p>
    <w:p>
      <w:pPr>
        <w:pStyle w:val="BodyText"/>
      </w:pPr>
      <w:r>
        <w:t xml:space="preserve">The best example in this regard are the results obtained for the context of QS. This is a fully excavated context, for which a detailed refitting analysis</w:t>
      </w:r>
      <w:r>
        <w:t xml:space="preserve"> </w:t>
      </w:r>
      <w:r>
        <w:t xml:space="preserve">(Almeida 2000)</w:t>
      </w:r>
      <w:r>
        <w:t xml:space="preserve"> </w:t>
      </w:r>
      <w:r>
        <w:t xml:space="preserve">revealed that a small number of cobbles were exploited for the production of elongated products, and that while the artifact sample is dominated by cortical flakes, cores, and several maintenance elements, a great number of produced blades and bladelets seem to have been exported</w:t>
      </w:r>
      <w:r>
        <w:t xml:space="preserve"> </w:t>
      </w:r>
      <w:r>
        <w:t xml:space="preserve">(Bicho 2005)</w:t>
      </w:r>
      <w:r>
        <w:t xml:space="preserve">.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p>
    <w:p>
      <w:pPr>
        <w:pStyle w:val="BodyText"/>
      </w:pP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w:t>
      </w:r>
      <w:r>
        <w:t xml:space="preserve">, can be associated with both expedient or curated assemblages, depending on a complex set of particularities, of which availability of usable raw materials is a central one. The differences introduced by Kuhn’s</w:t>
      </w:r>
      <w:r>
        <w:t xml:space="preserve"> </w:t>
      </w:r>
      <w:r>
        <w:t xml:space="preserve">(1995)</w:t>
      </w:r>
      <w:r>
        <w:t xml:space="preserve"> </w:t>
      </w:r>
      <w:r>
        <w:t xml:space="preserve">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w:t>
      </w:r>
      <w:r>
        <w:t xml:space="preserve"> </w:t>
      </w:r>
      <w:r>
        <w:t xml:space="preserve">(Porraz 2009)</w:t>
      </w:r>
      <w:r>
        <w:t xml:space="preserve">. This seems to be the case with the VB Shelter B context. Although occupying a fairly small area of the site, a very large diversity of chert raw materials</w:t>
      </w:r>
      <w:r>
        <w:t xml:space="preserve"> </w:t>
      </w:r>
      <w:r>
        <w:t xml:space="preserve">(Pereira et al. 2016)</w:t>
      </w:r>
      <w:r>
        <w:t xml:space="preserve">, low presence of cores and blanks, and high frequency of knapping residues</w:t>
      </w:r>
      <w:r>
        <w:t xml:space="preserve"> </w:t>
      </w:r>
      <w:r>
        <w:t xml:space="preserve">(Cascalheira 2010, 2013)</w:t>
      </w:r>
      <w:r>
        <w:t xml:space="preserve">,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w:t>
      </w:r>
      <w:r>
        <w:t xml:space="preserve"> </w:t>
      </w:r>
      <w:r>
        <w:t xml:space="preserve">(1991)</w:t>
      </w:r>
      <w:r>
        <w:t xml:space="preserve"> </w:t>
      </w:r>
      <w:r>
        <w:t xml:space="preserve">on the location of activities close to raw material sources (or stockpiling), the lack of time stress in tool manufacture, and the regular use of sites that allow people to take advantage of abundant, predictable, resources.</w:t>
      </w:r>
    </w:p>
    <w:p>
      <w:pPr>
        <w:pStyle w:val="BodyText"/>
      </w:pPr>
      <w:r>
        <w:t xml:space="preserve">It is undeniable that the significant negative correlation between retouch frequency and lithic volumetric density can be a viable approach to look for the average technological options made within each context under study</w:t>
      </w:r>
      <w:r>
        <w:t xml:space="preserve"> </w:t>
      </w:r>
      <w:r>
        <w:t xml:space="preserve">(see e.g. Villaverde et al. 1998; Riel-Salvatore and Barton 2004, 2007; Sandgathe 2005; Barton et al. 2013; Clark and Barton 2017)</w:t>
      </w:r>
      <w:r>
        <w:t xml:space="preserve">. However, although the formula might excel at separating curated vs. expedient approaches, it cannot be always equated with a clear division between short-term logistic and long-term residential sites.</w:t>
      </w:r>
    </w:p>
    <w:p>
      <w:pPr>
        <w:pStyle w:val="BodyText"/>
      </w:pP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w:t>
      </w:r>
      <w:r>
        <w:t xml:space="preserve"> </w:t>
      </w:r>
      <w:r>
        <w:t xml:space="preserve">(2010)</w:t>
      </w:r>
      <w:r>
        <w:t xml:space="preserve">. The case of VB Shelter 2, previously classified as a Gravettian point cache</w:t>
      </w:r>
      <w:r>
        <w:t xml:space="preserve"> </w:t>
      </w:r>
      <w:r>
        <w:t xml:space="preserve">(Bicho et al. 2016)</w:t>
      </w:r>
      <w:r>
        <w:t xml:space="preserve">, and whose location both in the WABI plot and in the PCA biplots revealed a highly curated assemblage, is particularly relevant in this context. Although rare in the Eurasian Paleolithic archaeological record</w:t>
      </w:r>
      <w:r>
        <w:t xml:space="preserve"> </w:t>
      </w:r>
      <w:r>
        <w:t xml:space="preserve">(but see e.g. Aubry et al. 2003; Tabarev et al. 2013 for other examples)</w:t>
      </w:r>
      <w:r>
        <w:t xml:space="preserve">,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w:t>
      </w:r>
      <w:r>
        <w:t xml:space="preserve">.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w:t>
      </w:r>
      <w:r>
        <w:t xml:space="preserve"> </w:t>
      </w:r>
      <w:r>
        <w:t xml:space="preserve">(sensu Bleed 1986)</w:t>
      </w:r>
      <w:r>
        <w:t xml:space="preserve">,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w:t>
      </w:r>
      <w:r>
        <w:t xml:space="preserve"> </w:t>
      </w:r>
      <w:r>
        <w:t xml:space="preserve">(see Vaquero and Romagnoli 2017 for a comprehensive review)</w:t>
      </w:r>
      <w:r>
        <w:t xml:space="preserve">, and their repercussive implications for settlement interpretation.</w:t>
      </w:r>
    </w:p>
    <w:p>
      <w:pPr>
        <w:pStyle w:val="BodyText"/>
      </w:pP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w:t>
      </w:r>
      <w:r>
        <w:t xml:space="preserve"> </w:t>
      </w:r>
      <w:r>
        <w:t xml:space="preserve">(Barton and Clark 1993; Farrand 2001; Stein et al. 2003; Riel-Salvatore and Barton 2004)</w:t>
      </w:r>
      <w:r>
        <w:t xml:space="preserve">.</w:t>
      </w:r>
    </w:p>
    <w:p>
      <w:pPr>
        <w:pStyle w:val="BodyText"/>
      </w:pPr>
      <w:r>
        <w:t xml:space="preserve">The problem raises when an archaeological palimpsest is the formation of diverse temporal and functional occupations through time</w:t>
      </w:r>
      <w:r>
        <w:t xml:space="preserve"> </w:t>
      </w:r>
      <w:r>
        <w:t xml:space="preserve">(Moncel and Rivals 2011)</w:t>
      </w:r>
      <w:r>
        <w:t xml:space="preserve">.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particularly interesting, but still underutilized</w:t>
      </w:r>
      <w:r>
        <w:t xml:space="preserve"> </w:t>
      </w:r>
      <w:r>
        <w:t xml:space="preserve">(Goldberg and Aldeias 2018)</w:t>
      </w:r>
      <w:r>
        <w:t xml:space="preserve">,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the outstanding case of Abric Romani (see Carbonell</w:t>
      </w:r>
      <w:r>
        <w:t xml:space="preserve"> </w:t>
      </w:r>
      <w:r>
        <w:t xml:space="preserve">(2012)</w:t>
      </w:r>
      <w:r>
        <w:t xml:space="preserve"> </w:t>
      </w:r>
      <w:r>
        <w:t xml:space="preserve">and featured articles). On the other hand, when organic preservation is good enough, specific types of analyses of faunal remains of anthropogenic origin can be used to estimate duration of occupation. Those are, however, most times limited to the definition of seasonal vs. all year-round occupations</w:t>
      </w:r>
      <w:r>
        <w:t xml:space="preserve"> </w:t>
      </w:r>
      <w:r>
        <w:t xml:space="preserve">(see e.g. Manne 2014; Rivals et al. 2009a; b)</w:t>
      </w:r>
      <w:r>
        <w:t xml:space="preserve">.</w:t>
      </w:r>
    </w:p>
    <w:p>
      <w:pPr>
        <w:pStyle w:val="Heading1"/>
      </w:pPr>
      <w:bookmarkStart w:id="35" w:name="conclusion"/>
      <w:r>
        <w:t xml:space="preserve">Conclusion</w:t>
      </w:r>
      <w:bookmarkEnd w:id="35"/>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relative length of occupation of a set of 16 archaeological contexts, all dated to the Upper Paleolithic, and all located in westernmost region of Iberia.</w:t>
      </w:r>
    </w:p>
    <w:p>
      <w:pPr>
        <w:pStyle w:val="BodyText"/>
      </w:pP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frames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p>
    <w:p>
      <w:pPr>
        <w:pStyle w:val="BodyText"/>
      </w:pP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6" w:name="acknowledgements"/>
      <w:r>
        <w:t xml:space="preserve">Acknowledgements</w:t>
      </w:r>
      <w:bookmarkEnd w:id="36"/>
    </w:p>
    <w:p>
      <w:pPr>
        <w:pStyle w:val="FirstParagraph"/>
      </w:pPr>
      <w:r>
        <w:t xml:space="preserve">We would like to thank Andrea Picin for inviting us to the SAA symposium on Short-term Occupations, held in Vancouver, Canada in 2017, and the two anonymous reviewers whose comentaries and suggestions helped to improve the final version of this paper.</w:t>
      </w:r>
    </w:p>
    <w:p>
      <w:pPr>
        <w:pStyle w:val="BodyText"/>
      </w:pPr>
      <w:r>
        <w:t xml:space="preserve">We also would like to thank Fundação para Ciência e Tecnologia, for financial support on various projects, including UID/ARQ/04211/2013 and PTDC/EPH-ARQ/4998/2012.</w:t>
      </w:r>
    </w:p>
    <w:p>
      <w:pPr>
        <w:pStyle w:val="BodyText"/>
      </w:pPr>
      <w:r>
        <w:t xml:space="preserve">The sites in the Rio Maior region (ArI, CRII, CPM, PC and QS) were all excavated under Anthony Marks’ US National Science Foundation grant</w:t>
      </w:r>
      <w:r>
        <w:t xml:space="preserve"> </w:t>
      </w:r>
      <w:r>
        <w:t xml:space="preserve">“</w:t>
      </w:r>
      <w:r>
        <w:t xml:space="preserve">The Prehistory of Portugal</w:t>
      </w:r>
      <w:r>
        <w:t xml:space="preserve">”</w:t>
      </w:r>
      <w:r>
        <w:t xml:space="preserve"> </w:t>
      </w:r>
      <w:r>
        <w:t xml:space="preserve">#8803789, as well as with his direct supervision and participation.</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146" w:name="refs"/>
    <w:bookmarkStart w:id="39" w:name="ref-almeida_terminal_2000"/>
    <w:p>
      <w:pPr>
        <w:pStyle w:val="FirstParagraph"/>
      </w:pPr>
      <w:r>
        <w:t xml:space="preserve">Almeida F (2000) The terminal Gravettian of Portuguese estremadura: Technological variability of the lithic industries. PhD Thesis, Southern Methodist University</w:t>
      </w:r>
    </w:p>
    <w:bookmarkEnd w:id="39"/>
    <w:bookmarkStart w:id="41" w:name="ref-amick_regional_1996"/>
    <w:p>
      <w:pPr>
        <w:pStyle w:val="BodyText"/>
      </w:pPr>
      <w:r>
        <w:t xml:space="preserve">Amick DS (1996) Regional patterns of Folsom mobility and land use in the American Southwest. World Archaeology 27:411–426. doi:</w:t>
      </w:r>
      <w:r>
        <w:t xml:space="preserve"> </w:t>
      </w:r>
      <w:hyperlink r:id="rId40">
        <w:r>
          <w:rPr>
            <w:rStyle w:val="Hyperlink"/>
          </w:rPr>
          <w:t xml:space="preserve">https://doi.org/10.1080/00438243.1996.9980317</w:t>
        </w:r>
      </w:hyperlink>
    </w:p>
    <w:bookmarkEnd w:id="41"/>
    <w:bookmarkStart w:id="42" w:name="ref-aubry_les_2003"/>
    <w:p>
      <w:pPr>
        <w:pStyle w:val="BodyText"/>
      </w:pPr>
      <w:r>
        <w:t xml:space="preserve">Aubry T, Peyrouse J-B, Walter B (2003) Les feuilles de laurier de Volgu (Saône-et-Loire): Une énigme en partie résolue? PALEO Revue d’archéologie préhistorique 15:251–254</w:t>
      </w:r>
    </w:p>
    <w:bookmarkEnd w:id="42"/>
    <w:bookmarkStart w:id="44" w:name="ref-barton_stone_1990"/>
    <w:p>
      <w:pPr>
        <w:pStyle w:val="BodyText"/>
      </w:pPr>
      <w:r>
        <w:t xml:space="preserve">Barton CM (1990) Stone Tools and Paleolithic Settlement in the Iberian Peninsula. Proceedings of the Prehistoric Society 56:15–32. doi:</w:t>
      </w:r>
      <w:r>
        <w:t xml:space="preserve"> </w:t>
      </w:r>
      <w:hyperlink r:id="rId43">
        <w:r>
          <w:rPr>
            <w:rStyle w:val="Hyperlink"/>
          </w:rPr>
          <w:t xml:space="preserve">10.1017/S0079497X00005004</w:t>
        </w:r>
      </w:hyperlink>
    </w:p>
    <w:bookmarkEnd w:id="44"/>
    <w:bookmarkStart w:id="45" w:name="ref-barton_cultural_1993"/>
    <w:p>
      <w:pPr>
        <w:pStyle w:val="BodyText"/>
      </w:pPr>
      <w:r>
        <w:t xml:space="preserve">Barton CM, Clark GA (1993) Cultural and natural formation processes in late Quaternary cave and rockshelter sites of western Europe and the Near East. In: Goldberg P, Nash DT, Petraglia MD (eds) Formation Processes in Archaeological Context. Prehistory Press, Madison, WI., pp 33–52</w:t>
      </w:r>
    </w:p>
    <w:bookmarkEnd w:id="45"/>
    <w:bookmarkStart w:id="47" w:name="ref-barton_formation_2014"/>
    <w:p>
      <w:pPr>
        <w:pStyle w:val="BodyText"/>
      </w:pPr>
      <w:r>
        <w:t xml:space="preserve">Barton CM, Riel-Salvatore J (2014) The formation of lithic assemblages. Journal of Archaeological Science 46:334–352. doi:</w:t>
      </w:r>
      <w:r>
        <w:t xml:space="preserve"> </w:t>
      </w:r>
      <w:hyperlink r:id="rId46">
        <w:r>
          <w:rPr>
            <w:rStyle w:val="Hyperlink"/>
          </w:rPr>
          <w:t xml:space="preserve">10.1016/j.jas.2014.03.031</w:t>
        </w:r>
      </w:hyperlink>
    </w:p>
    <w:bookmarkEnd w:id="47"/>
    <w:bookmarkStart w:id="49" w:name="ref-barton_glacial_2013"/>
    <w:p>
      <w:pPr>
        <w:pStyle w:val="BodyText"/>
      </w:pPr>
      <w:r>
        <w:t xml:space="preserve">Barton CM, Villaverde V, Zilhão J et al (2013) In glacial environments beyond glacial terrains: Human eco-dynamics in late Pleistocene Mediterranean Iberia. Quaternary International 318:53–68. doi:</w:t>
      </w:r>
      <w:r>
        <w:t xml:space="preserve"> </w:t>
      </w:r>
      <w:hyperlink r:id="rId48">
        <w:r>
          <w:rPr>
            <w:rStyle w:val="Hyperlink"/>
          </w:rPr>
          <w:t xml:space="preserve">10.1016/j.quaint.2013.05.007</w:t>
        </w:r>
      </w:hyperlink>
    </w:p>
    <w:bookmarkEnd w:id="49"/>
    <w:bookmarkStart w:id="50" w:name="ref-bicho_end_1994"/>
    <w:p>
      <w:pPr>
        <w:pStyle w:val="BodyText"/>
      </w:pPr>
      <w:r>
        <w:t xml:space="preserve">Bicho N (1994) The End of the Paleolithic and the Mesolithic in Portuga. Current Anthropology 35:664–674</w:t>
      </w:r>
    </w:p>
    <w:bookmarkEnd w:id="50"/>
    <w:bookmarkStart w:id="51" w:name="ref-bicho_extinction_2005"/>
    <w:p>
      <w:pPr>
        <w:pStyle w:val="BodyText"/>
      </w:pPr>
      <w:r>
        <w:t xml:space="preserve">Bicho N (2005) The extinction of Neanderthals and the emergence of the Upper Paleolithic in Portugal. Promontoria 3:173–228</w:t>
      </w:r>
    </w:p>
    <w:bookmarkEnd w:id="51"/>
    <w:bookmarkStart w:id="52" w:name="ref-bicho_late_1993"/>
    <w:p>
      <w:pPr>
        <w:pStyle w:val="BodyText"/>
      </w:pPr>
      <w:r>
        <w:t xml:space="preserve">Bicho N (1993) Late Glacial prehistory of central and southern Portugal. Antiquity 67:761–775</w:t>
      </w:r>
    </w:p>
    <w:bookmarkEnd w:id="52"/>
    <w:bookmarkStart w:id="53" w:name="ref-bicho_technological_1992"/>
    <w:p>
      <w:pPr>
        <w:pStyle w:val="BodyText"/>
      </w:pPr>
      <w:r>
        <w:t xml:space="preserve">Bicho N (1992) Technological change in the final upper paleolithic of Rio Maior, Portuguese Estremadura. PhD thesis, Southern Methodist University.</w:t>
      </w:r>
    </w:p>
    <w:bookmarkEnd w:id="53"/>
    <w:bookmarkStart w:id="54" w:name="ref-bicho_edge:_2009"/>
    <w:p>
      <w:pPr>
        <w:pStyle w:val="BodyText"/>
      </w:pPr>
      <w:r>
        <w:t xml:space="preserve">Bicho N (2009) On the edge: Early Holocene adaptations in Southwestern Iberia. Journal of Anthropological Research 65:185–206</w:t>
      </w:r>
    </w:p>
    <w:bookmarkEnd w:id="54"/>
    <w:bookmarkStart w:id="55" w:name="ref-bicho_early_2017"/>
    <w:p>
      <w:pPr>
        <w:pStyle w:val="BodyText"/>
      </w:pPr>
      <w:r>
        <w:t xml:space="preserve">Bicho N, Cascalheira J, Gonçalves C (2017a) Early Upper Paleolithic colonization across Europe: Time and mode of the Gravettian diffusion. PLoS One 12:e0178506</w:t>
      </w:r>
    </w:p>
    <w:bookmarkEnd w:id="55"/>
    <w:bookmarkStart w:id="56" w:name="ref-bicho_rapid_2017"/>
    <w:p>
      <w:pPr>
        <w:pStyle w:val="BodyText"/>
      </w:pPr>
      <w:r>
        <w:t xml:space="preserve">Bicho N, Cascalheira J, Marreiros J, Pereira T (2017b) Rapid climatic events and long term cultural change: The case of the Portuguese Upper Paleolithic. Quaternary International 428:3–16</w:t>
      </w:r>
    </w:p>
    <w:bookmarkEnd w:id="56"/>
    <w:bookmarkStart w:id="58" w:name="ref-bicho_two_2006"/>
    <w:p>
      <w:pPr>
        <w:pStyle w:val="BodyText"/>
      </w:pPr>
      <w:r>
        <w:t xml:space="preserve">Bicho N, Haws J, Hockett B (2006) Two sides of the same coin—rocks, bones and site function of Picareiro Cave, central Portugal. Journal of Anthropological Archaeology 25:485–499. doi:</w:t>
      </w:r>
      <w:r>
        <w:t xml:space="preserve"> </w:t>
      </w:r>
      <w:hyperlink r:id="rId57">
        <w:r>
          <w:rPr>
            <w:rStyle w:val="Hyperlink"/>
          </w:rPr>
          <w:t xml:space="preserve">10.1016/j.jaa.2006.03.009</w:t>
        </w:r>
      </w:hyperlink>
    </w:p>
    <w:bookmarkEnd w:id="58"/>
    <w:bookmarkStart w:id="60" w:name="ref-bicho_ecodynamics_2013"/>
    <w:p>
      <w:pPr>
        <w:pStyle w:val="BodyText"/>
      </w:pPr>
      <w:r>
        <w:t xml:space="preserve">Bicho N, Manne T, Marreiros J et al (2013) The ecodynamics of the first modern humans in Southwestern Iberia: The case of Vale Boi, Portugal. Quaternary International 318:102–116. doi:</w:t>
      </w:r>
      <w:r>
        <w:t xml:space="preserve"> </w:t>
      </w:r>
      <w:hyperlink r:id="rId59">
        <w:r>
          <w:rPr>
            <w:rStyle w:val="Hyperlink"/>
          </w:rPr>
          <w:t xml:space="preserve">10.1016/j.quaint.2013.06.029</w:t>
        </w:r>
      </w:hyperlink>
    </w:p>
    <w:bookmarkEnd w:id="60"/>
    <w:bookmarkStart w:id="62" w:name="ref-bicho_bayesian_2015"/>
    <w:p>
      <w:pPr>
        <w:pStyle w:val="BodyText"/>
      </w:pPr>
      <w:r>
        <w:t xml:space="preserve">Bicho N, Marreiros J, Cascalheira J et al (2015) Bayesian modeling and the chronology of the Portuguese Gravettian. Quaternary International 359-360:499–509. doi:</w:t>
      </w:r>
      <w:r>
        <w:t xml:space="preserve"> </w:t>
      </w:r>
      <w:hyperlink r:id="rId61">
        <w:r>
          <w:rPr>
            <w:rStyle w:val="Hyperlink"/>
          </w:rPr>
          <w:t xml:space="preserve">10.1016/j.quaint.2014.04.040</w:t>
        </w:r>
      </w:hyperlink>
    </w:p>
    <w:bookmarkEnd w:id="62"/>
    <w:bookmarkStart w:id="63" w:name="ref-bicho_early_2016"/>
    <w:p>
      <w:pPr>
        <w:pStyle w:val="BodyText"/>
      </w:pPr>
      <w:r>
        <w:t xml:space="preserve">Bicho N, Marreiros J, Cascalheira J, Raja M (2016) An Early Gravettian Point Cache from Vale Boi: Implications for the Arrival of Anatomically Modern Humans to Southern Iberia. Paper presented at 81st Annual Meeting of the Society for American Archaeology</w:t>
      </w:r>
    </w:p>
    <w:bookmarkEnd w:id="63"/>
    <w:bookmarkStart w:id="64" w:name="ref-bicho_shell_2004"/>
    <w:p>
      <w:pPr>
        <w:pStyle w:val="BodyText"/>
      </w:pPr>
      <w:r>
        <w:t xml:space="preserve">Bicho N, Stiner MC, Lindly J (2004) Shell ornaments, bone tools and long distance connections in the Upper Paleolithic of Southern Portugal. In: Otte M (ed) La Spiritualité - Actes du colloque International de Liège. Études et Recherches Archéologiques de l’Université de Liège, Liège, pp 71–80</w:t>
      </w:r>
    </w:p>
    <w:bookmarkEnd w:id="64"/>
    <w:bookmarkStart w:id="65" w:name="ref-binford_bones:_1981"/>
    <w:p>
      <w:pPr>
        <w:pStyle w:val="BodyText"/>
      </w:pPr>
      <w:r>
        <w:t xml:space="preserve">Binford LR (1981) Bones: Ancient men and modern myths. Academic Press, New York</w:t>
      </w:r>
    </w:p>
    <w:bookmarkEnd w:id="65"/>
    <w:bookmarkStart w:id="66" w:name="ref-binford_dimensional_1978"/>
    <w:p>
      <w:pPr>
        <w:pStyle w:val="BodyText"/>
      </w:pPr>
      <w:r>
        <w:t xml:space="preserve">Binford LR (1978a) Dimensional analysis of behavior and site structure: Learning from an Eskimo hunting stand. American Antiquity 43:330–361</w:t>
      </w:r>
    </w:p>
    <w:bookmarkEnd w:id="66"/>
    <w:bookmarkStart w:id="67" w:name="ref-binford_nunamiut_1978"/>
    <w:p>
      <w:pPr>
        <w:pStyle w:val="BodyText"/>
      </w:pPr>
      <w:r>
        <w:t xml:space="preserve">Binford LR (1978b) Nunamiut ethnoarchaeology. Academic Press, New York</w:t>
      </w:r>
    </w:p>
    <w:bookmarkEnd w:id="67"/>
    <w:bookmarkStart w:id="68" w:name="ref-binford_archaeology_1982"/>
    <w:p>
      <w:pPr>
        <w:pStyle w:val="BodyText"/>
      </w:pPr>
      <w:r>
        <w:t xml:space="preserve">Binford LR (1982) The archaeology of place. Journal of Anthropological Archaeology 1:5–31</w:t>
      </w:r>
    </w:p>
    <w:bookmarkEnd w:id="68"/>
    <w:bookmarkStart w:id="69" w:name="ref-binford_willow_1980"/>
    <w:p>
      <w:pPr>
        <w:pStyle w:val="BodyText"/>
      </w:pPr>
      <w:r>
        <w:t xml:space="preserve">Binford LR (1980) Willow smoke and dogs’ tails: Hunter-gatherer settlement systems and archaeological site formation. American Antiquity 4–20</w:t>
      </w:r>
    </w:p>
    <w:bookmarkEnd w:id="69"/>
    <w:bookmarkStart w:id="70" w:name="ref-bleed_optimal_1986"/>
    <w:p>
      <w:pPr>
        <w:pStyle w:val="BodyText"/>
      </w:pPr>
      <w:r>
        <w:t xml:space="preserve">Bleed P (1986) The optimal design of hunting weapons: Maintainability or reliability. American Antiquity 51:737–747</w:t>
      </w:r>
    </w:p>
    <w:bookmarkEnd w:id="70"/>
    <w:bookmarkStart w:id="71" w:name="ref-bretzke_middle_2017"/>
    <w:p>
      <w:pPr>
        <w:pStyle w:val="BodyText"/>
      </w:pPr>
      <w:r>
        <w:t xml:space="preserve">Bretzke K, Kandel AW, Conard NJ (2017) The Middle Paleolithic sequence of Wadi Mushkuna Rockshelter and its implications for hominin settlement dynamics in western Syria. Quaternary International 435:106–114</w:t>
      </w:r>
    </w:p>
    <w:bookmarkEnd w:id="71"/>
    <w:bookmarkStart w:id="72" w:name="ref-carbonell_high_2012"/>
    <w:p>
      <w:pPr>
        <w:pStyle w:val="BodyText"/>
      </w:pPr>
      <w:r>
        <w:t xml:space="preserve">Carbonell E (ed) (2012) High resolution archaeology and Neanderthal behavior : Time and space in Level J of Abric Romaní (Capellades, Spain) /. Springer, Dordrecht, Netherlands</w:t>
      </w:r>
    </w:p>
    <w:bookmarkEnd w:id="72"/>
    <w:bookmarkStart w:id="73" w:name="ref-carvalho_neolitizacao_2007"/>
    <w:p>
      <w:pPr>
        <w:pStyle w:val="BodyText"/>
      </w:pPr>
      <w:r>
        <w:t xml:space="preserve">Carvalho AF (2007) A neolitização do Portugal meridional: Os exemplos do Maciço calcário estremenho e do Algarve ocidental. PhD thesis, Universidade do Algarve</w:t>
      </w:r>
    </w:p>
    <w:bookmarkEnd w:id="73"/>
    <w:bookmarkStart w:id="74" w:name="ref-cascalheira_influencia_2013"/>
    <w:p>
      <w:pPr>
        <w:pStyle w:val="BodyText"/>
      </w:pPr>
      <w:r>
        <w:t xml:space="preserve">Cascalheira J (2013) A influência mediterrânica nas redes sociais do Solutrense final peninsular. Unpublished Ph.D. thesis, Universidade do Algarve</w:t>
      </w:r>
    </w:p>
    <w:bookmarkEnd w:id="74"/>
    <w:bookmarkStart w:id="75" w:name="ref-cascalheira_tecnologia_2010"/>
    <w:p>
      <w:pPr>
        <w:pStyle w:val="BodyText"/>
      </w:pPr>
      <w:r>
        <w:t xml:space="preserve">Cascalheira J (2010) Tecnologia lítica do abrigo Solutrense de Vale Boi. UNIARQ, Lisbon</w:t>
      </w:r>
    </w:p>
    <w:bookmarkEnd w:id="75"/>
    <w:bookmarkStart w:id="77" w:name="ref-cascalheira_chronological_2015"/>
    <w:p>
      <w:pPr>
        <w:pStyle w:val="BodyText"/>
      </w:pPr>
      <w:r>
        <w:t xml:space="preserve">Cascalheira J, Bicho N (2015) On the Chronological Structure of the Solutrean in Southern Iberia. PLoS One 10:e0137308. doi:</w:t>
      </w:r>
      <w:r>
        <w:t xml:space="preserve"> </w:t>
      </w:r>
      <w:hyperlink r:id="rId76">
        <w:r>
          <w:rPr>
            <w:rStyle w:val="Hyperlink"/>
          </w:rPr>
          <w:t xml:space="preserve">10.1371/journal.pone.0137308</w:t>
        </w:r>
      </w:hyperlink>
    </w:p>
    <w:bookmarkEnd w:id="77"/>
    <w:bookmarkStart w:id="79" w:name="ref-cascalheira_huntergatherer_2013"/>
    <w:p>
      <w:pPr>
        <w:pStyle w:val="BodyText"/>
      </w:pPr>
      <w:r>
        <w:t xml:space="preserve">Cascalheira J, Bicho N (2013) Hunter–gatherer ecodynamics and the impact of the Heinrich event 2 in Central and Southern Portugal. Quaternary International 318:117–127. doi:</w:t>
      </w:r>
      <w:r>
        <w:t xml:space="preserve"> </w:t>
      </w:r>
      <w:hyperlink r:id="rId78">
        <w:r>
          <w:rPr>
            <w:rStyle w:val="Hyperlink"/>
          </w:rPr>
          <w:t xml:space="preserve">10.1016/j.quaint.2013.05.039</w:t>
        </w:r>
      </w:hyperlink>
    </w:p>
    <w:bookmarkEnd w:id="79"/>
    <w:bookmarkStart w:id="81" w:name="ref-clark_lithics_2017"/>
    <w:p>
      <w:pPr>
        <w:pStyle w:val="BodyText"/>
      </w:pPr>
      <w:r>
        <w:t xml:space="preserve">Clark GA, Barton CM (2017) Lithics, landscapes &amp; la Longue-durée – Curation &amp; expediency as expressions of forager mobility. Quaternary International 450:137–149. doi:</w:t>
      </w:r>
      <w:r>
        <w:t xml:space="preserve"> </w:t>
      </w:r>
      <w:hyperlink r:id="rId80">
        <w:r>
          <w:rPr>
            <w:rStyle w:val="Hyperlink"/>
          </w:rPr>
          <w:t xml:space="preserve">10.1016/j.quaint.2016.08.002</w:t>
        </w:r>
      </w:hyperlink>
    </w:p>
    <w:bookmarkEnd w:id="81"/>
    <w:bookmarkStart w:id="83" w:name="ref-crassard_middle_2013"/>
    <w:p>
      <w:pPr>
        <w:pStyle w:val="BodyText"/>
      </w:pPr>
      <w:r>
        <w:t xml:space="preserve">Crassard R, Petraglia MD, Drake NA et al (2013) Middle Palaeolithic and Neolithic Occupations around Mundafan Palaeolake, Saudi Arabia: Implications for Climate Change and Human Dispersals. PLoS One 8:e69665. doi:</w:t>
      </w:r>
      <w:r>
        <w:t xml:space="preserve"> </w:t>
      </w:r>
      <w:hyperlink r:id="rId82">
        <w:r>
          <w:rPr>
            <w:rStyle w:val="Hyperlink"/>
          </w:rPr>
          <w:t xml:space="preserve">10.1371/journal.pone.0069665</w:t>
        </w:r>
      </w:hyperlink>
    </w:p>
    <w:bookmarkEnd w:id="83"/>
    <w:bookmarkStart w:id="84" w:name="ref-dillehay_research_2011"/>
    <w:p>
      <w:pPr>
        <w:pStyle w:val="BodyText"/>
      </w:pPr>
      <w:r>
        <w:t xml:space="preserve">Dillehay T, Stackelbeck K, Rossen J, Maggard G (2011) Research History, Methods, and Site Types. In: Dillehay TD (ed) From foraging to farming in the Andes: New perspectives on food production and social organization. Cambridge University Press, Cambridge, pp 29–41</w:t>
      </w:r>
    </w:p>
    <w:bookmarkEnd w:id="84"/>
    <w:bookmarkStart w:id="85" w:name="ref-farrand_sediments_2001"/>
    <w:p>
      <w:pPr>
        <w:pStyle w:val="BodyText"/>
      </w:pPr>
      <w:r>
        <w:t xml:space="preserve">Farrand WR (2001) Sediments and stratigraphy in rockshelters and caves: A personal perspective on principles and pragmatics. Geoarchaeology 16:537–557</w:t>
      </w:r>
    </w:p>
    <w:bookmarkEnd w:id="85"/>
    <w:bookmarkStart w:id="86" w:name="ref-goldberg_why_2018"/>
    <w:p>
      <w:pPr>
        <w:pStyle w:val="BodyText"/>
      </w:pPr>
      <w:r>
        <w:t xml:space="preserve">Goldberg P, Aldeias V (2018) Why does (archaeological) micromorphology have such little traction in (geo) archaeology? Archaeological and Anthropological Sciences 10:269–278</w:t>
      </w:r>
    </w:p>
    <w:bookmarkEnd w:id="86"/>
    <w:bookmarkStart w:id="88" w:name="ref-grove_huntergatherer_2009"/>
    <w:p>
      <w:pPr>
        <w:pStyle w:val="BodyText"/>
      </w:pPr>
      <w:r>
        <w:t xml:space="preserve">Grove M (2009) Hunter–gatherer movement patterns: Causes and constraints. Journal of Anthropological Archaeology 28:222–233. doi:</w:t>
      </w:r>
      <w:r>
        <w:t xml:space="preserve"> </w:t>
      </w:r>
      <w:hyperlink r:id="rId87">
        <w:r>
          <w:rPr>
            <w:rStyle w:val="Hyperlink"/>
          </w:rPr>
          <w:t xml:space="preserve">10.1016/j.jaa.2009.01.003</w:t>
        </w:r>
      </w:hyperlink>
    </w:p>
    <w:bookmarkEnd w:id="88"/>
    <w:bookmarkStart w:id="90" w:name="ref-haws_paleolithic_2012"/>
    <w:p>
      <w:pPr>
        <w:pStyle w:val="BodyText"/>
      </w:pPr>
      <w:r>
        <w:t xml:space="preserve">Haws JA (2012) Paleolithic socionatural relationships during MIS 3 and 2 in central Portugal. Quaternary International 264:61–77. doi:</w:t>
      </w:r>
      <w:r>
        <w:t xml:space="preserve"> </w:t>
      </w:r>
      <w:hyperlink r:id="rId89">
        <w:r>
          <w:rPr>
            <w:rStyle w:val="Hyperlink"/>
          </w:rPr>
          <w:t xml:space="preserve">10.1016/j.quaint.2011.10.003</w:t>
        </w:r>
      </w:hyperlink>
    </w:p>
    <w:bookmarkEnd w:id="90"/>
    <w:bookmarkStart w:id="91" w:name="ref-kelly_foraging_1995"/>
    <w:p>
      <w:pPr>
        <w:pStyle w:val="BodyText"/>
      </w:pPr>
      <w:r>
        <w:t xml:space="preserve">Kelly RL (1995) The foraging spectrum. Smithsonian Institution Press, Washington DC</w:t>
      </w:r>
    </w:p>
    <w:bookmarkEnd w:id="91"/>
    <w:bookmarkStart w:id="92" w:name="ref-kuhn_planning_1992"/>
    <w:p>
      <w:pPr>
        <w:pStyle w:val="BodyText"/>
      </w:pPr>
      <w:r>
        <w:t xml:space="preserve">Kuhn SL (1992) On planning and curated technologies in the Middle Paleolithic. Journal of Anthropological Research 48:185–214</w:t>
      </w:r>
    </w:p>
    <w:bookmarkEnd w:id="92"/>
    <w:bookmarkStart w:id="93" w:name="ref-kuhn_mousterian_1995"/>
    <w:p>
      <w:pPr>
        <w:pStyle w:val="BodyText"/>
      </w:pPr>
      <w:r>
        <w:t xml:space="preserve">Kuhn SL (1995) Mousterian Lithic Technology. Princeton University Press</w:t>
      </w:r>
    </w:p>
    <w:bookmarkEnd w:id="93"/>
    <w:bookmarkStart w:id="94" w:name="ref-le_factominer:_2008"/>
    <w:p>
      <w:pPr>
        <w:pStyle w:val="BodyText"/>
      </w:pPr>
      <w:r>
        <w:t xml:space="preserve">Lê S, Josse J, Husson F (2008) FactoMineR: An R package for multivariate analysis. Journal of statistical software 25:1–18</w:t>
      </w:r>
    </w:p>
    <w:bookmarkEnd w:id="94"/>
    <w:bookmarkStart w:id="95" w:name="ref-madsen_late_2006"/>
    <w:p>
      <w:pPr>
        <w:pStyle w:val="BodyText"/>
      </w:pPr>
      <w:r>
        <w:t xml:space="preserve">Madsen DB, Haizhou M, Brantingham PJ et al (2006) The late Upper Paleolithic occupation of the northern Tibetan Plateau margin. Journal of Archaeological Science 33:1433–1444</w:t>
      </w:r>
    </w:p>
    <w:bookmarkEnd w:id="95"/>
    <w:bookmarkStart w:id="97" w:name="ref-manne_early_2014"/>
    <w:p>
      <w:pPr>
        <w:pStyle w:val="BodyText"/>
      </w:pPr>
      <w:r>
        <w:t xml:space="preserve">Manne T (2014) Early Upper Paleolithic bone processing and insights into small-scale storage of fats at Vale Boi, southern Iberia. Journal of Archaeological Science 43:111–123. doi:</w:t>
      </w:r>
      <w:r>
        <w:t xml:space="preserve"> </w:t>
      </w:r>
      <w:hyperlink r:id="rId96">
        <w:r>
          <w:rPr>
            <w:rStyle w:val="Hyperlink"/>
          </w:rPr>
          <w:t xml:space="preserve">10.1016/j.jas.2013.12.003</w:t>
        </w:r>
      </w:hyperlink>
    </w:p>
    <w:bookmarkEnd w:id="97"/>
    <w:bookmarkStart w:id="98" w:name="ref-marks_upper_1994"/>
    <w:p>
      <w:pPr>
        <w:pStyle w:val="BodyText"/>
      </w:pPr>
      <w:r>
        <w:t xml:space="preserve">Marks AE, Bieho N, Zilhão J, Reid Ferring C (1994) Upper Pleistocene prehistory in Portuguese Estremadura: Results of preliminary research. Journal of Field Archaeology 21:53–68</w:t>
      </w:r>
    </w:p>
    <w:bookmarkEnd w:id="98"/>
    <w:bookmarkStart w:id="100" w:name="ref-marreiros_lithic_2013"/>
    <w:p>
      <w:pPr>
        <w:pStyle w:val="BodyText"/>
      </w:pPr>
      <w:r>
        <w:t xml:space="preserve">Marreiros J, Bicho N (2013) Lithic technology variability and human ecodynamics during the Early Gravettian of Southern Iberian Peninsula. Quaternary International 318:90–101. doi:</w:t>
      </w:r>
      <w:r>
        <w:t xml:space="preserve"> </w:t>
      </w:r>
      <w:hyperlink r:id="rId99">
        <w:r>
          <w:rPr>
            <w:rStyle w:val="Hyperlink"/>
          </w:rPr>
          <w:t xml:space="preserve">10.1016/j.quaint.2013.05.008</w:t>
        </w:r>
      </w:hyperlink>
    </w:p>
    <w:bookmarkEnd w:id="100"/>
    <w:bookmarkStart w:id="102" w:name="ref-marwick_computational_2016"/>
    <w:p>
      <w:pPr>
        <w:pStyle w:val="BodyText"/>
      </w:pPr>
      <w:r>
        <w:t xml:space="preserve">Marwick B (2016) Computational Reproducibility in Archaeological Research: Basic Principles and a Case Study of Their Implementation. Journal of Archaeological Method and Theory 24:424–450. doi:</w:t>
      </w:r>
      <w:r>
        <w:t xml:space="preserve"> </w:t>
      </w:r>
      <w:hyperlink r:id="rId101">
        <w:r>
          <w:rPr>
            <w:rStyle w:val="Hyperlink"/>
          </w:rPr>
          <w:t xml:space="preserve">10.1007/s10816-015-9272-9</w:t>
        </w:r>
      </w:hyperlink>
    </w:p>
    <w:bookmarkEnd w:id="102"/>
    <w:bookmarkStart w:id="104" w:name="ref-marwick_packaging_2017"/>
    <w:p>
      <w:pPr>
        <w:pStyle w:val="BodyText"/>
      </w:pPr>
      <w:r>
        <w:t xml:space="preserve">Marwick B, Boettiger C, Mullen L (2017) Packaging data analytical work reproducibly using R (and friends). The American Statistician 0–0. doi:</w:t>
      </w:r>
      <w:r>
        <w:t xml:space="preserve"> </w:t>
      </w:r>
      <w:hyperlink r:id="rId103">
        <w:r>
          <w:rPr>
            <w:rStyle w:val="Hyperlink"/>
          </w:rPr>
          <w:t xml:space="preserve">10.1080/00031305.2017.1375986</w:t>
        </w:r>
      </w:hyperlink>
    </w:p>
    <w:bookmarkEnd w:id="104"/>
    <w:bookmarkStart w:id="106" w:name="ref-mccall_behavioral_2007"/>
    <w:p>
      <w:pPr>
        <w:pStyle w:val="BodyText"/>
      </w:pPr>
      <w:r>
        <w:t xml:space="preserve">McCall GS (2007) Behavioral ecological models of lithic technological change during the later Middle Stone Age of South Africa. Journal of Archaeological Science 34:1738–1751. doi:</w:t>
      </w:r>
      <w:r>
        <w:t xml:space="preserve"> </w:t>
      </w:r>
      <w:hyperlink r:id="rId105">
        <w:r>
          <w:rPr>
            <w:rStyle w:val="Hyperlink"/>
          </w:rPr>
          <w:t xml:space="preserve">10.1016/j.jas.2006.12.015</w:t>
        </w:r>
      </w:hyperlink>
    </w:p>
    <w:bookmarkEnd w:id="106"/>
    <w:bookmarkStart w:id="108" w:name="ref-mccall_multivariate_2006"/>
    <w:p>
      <w:pPr>
        <w:pStyle w:val="BodyText"/>
      </w:pPr>
      <w:r>
        <w:t xml:space="preserve">McCall GS (2006) Multivariate perspectives on change and continuity in the Middle Stone Age lithics from Klasies River Mouth, South Africa. Journal of Human Evolution 51:429–39. doi:</w:t>
      </w:r>
      <w:r>
        <w:t xml:space="preserve"> </w:t>
      </w:r>
      <w:hyperlink r:id="rId107">
        <w:r>
          <w:rPr>
            <w:rStyle w:val="Hyperlink"/>
          </w:rPr>
          <w:t xml:space="preserve">10.1016/j.jhevol.2006.06.003</w:t>
        </w:r>
      </w:hyperlink>
    </w:p>
    <w:bookmarkEnd w:id="108"/>
    <w:bookmarkStart w:id="109" w:name="ref-mcpherron_reduction_1994"/>
    <w:p>
      <w:pPr>
        <w:pStyle w:val="BodyText"/>
      </w:pPr>
      <w:r>
        <w:t xml:space="preserve">McPherron SP (1994) A reduction model for variability in Acheulian biface morphology. PhD Thesis, University of Pennsylvania</w:t>
      </w:r>
    </w:p>
    <w:bookmarkEnd w:id="109"/>
    <w:bookmarkStart w:id="110" w:name="ref-mendonca_tecnologia_2009"/>
    <w:p>
      <w:pPr>
        <w:pStyle w:val="BodyText"/>
      </w:pPr>
      <w:r>
        <w:t xml:space="preserve">Mendonça CI da S (2009) A tecnologia lítica no Tardiglaciar do Algarve. PhD thesis</w:t>
      </w:r>
    </w:p>
    <w:bookmarkEnd w:id="110"/>
    <w:bookmarkStart w:id="112" w:name="ref-moncel_question_2011"/>
    <w:p>
      <w:pPr>
        <w:pStyle w:val="BodyText"/>
      </w:pPr>
      <w:r>
        <w:t xml:space="preserve">Moncel M-H, Rivals F (2011) On the question of short-term neanderthal site occupations: Payre, France (MIS 8-7), and Taubach/Weimar, Germany (MIS 5). Journal of Anthropological Research 67:47–75. doi:</w:t>
      </w:r>
      <w:r>
        <w:t xml:space="preserve"> </w:t>
      </w:r>
      <w:hyperlink r:id="rId111">
        <w:r>
          <w:rPr>
            <w:rStyle w:val="Hyperlink"/>
          </w:rPr>
          <w:t xml:space="preserve">10.3998/jar.0521004.0067.104</w:t>
        </w:r>
      </w:hyperlink>
    </w:p>
    <w:bookmarkEnd w:id="112"/>
    <w:bookmarkStart w:id="113" w:name="ref-nelson_study_1991"/>
    <w:p>
      <w:pPr>
        <w:pStyle w:val="BodyText"/>
      </w:pPr>
      <w:r>
        <w:t xml:space="preserve">Nelson MC (1991) The study of technological organization. Archaeological method and theory 3:57–100</w:t>
      </w:r>
    </w:p>
    <w:bookmarkEnd w:id="113"/>
    <w:bookmarkStart w:id="114" w:name="ref-nishiaki_patterning_2015"/>
    <w:p>
      <w:pPr>
        <w:pStyle w:val="BodyText"/>
      </w:pPr>
      <w:r>
        <w:t xml:space="preserve">Nishiaki Y, Akazawa T (2015) Patterning of the early Middle Paleolithic occupations at Douara Cave and its implications for settlement dynamics in the Palmyra basin, Syria. L’Anthropologie 119:519–541</w:t>
      </w:r>
    </w:p>
    <w:bookmarkEnd w:id="114"/>
    <w:bookmarkStart w:id="116" w:name="ref-pereira_territory_2016"/>
    <w:p>
      <w:pPr>
        <w:pStyle w:val="BodyText"/>
      </w:pPr>
      <w:r>
        <w:t xml:space="preserve">Pereira T, Bicho N, Cascalheira J et al (2016) Territory and abiotic resources between 33 and 15.6 ka at Vale Boi (SW Portugal). Quaternary International 412, Part A:124–134. doi:</w:t>
      </w:r>
      <w:r>
        <w:t xml:space="preserve"> </w:t>
      </w:r>
      <w:hyperlink r:id="rId115">
        <w:r>
          <w:rPr>
            <w:rStyle w:val="Hyperlink"/>
          </w:rPr>
          <w:t xml:space="preserve">http://dx.doi.org/10.1016/j.quaint.2015.08.071</w:t>
        </w:r>
      </w:hyperlink>
    </w:p>
    <w:bookmarkEnd w:id="116"/>
    <w:bookmarkStart w:id="118" w:name="ref-picin_short-term_2017"/>
    <w:p>
      <w:pPr>
        <w:pStyle w:val="BodyText"/>
      </w:pPr>
      <w:r>
        <w:t xml:space="preserve">Picin A (2017) Short-term occupations at the lakeshore: A technological reassessment of the open–air site Königsaue (Germany). Quartär 63:7–32. doi:</w:t>
      </w:r>
      <w:r>
        <w:t xml:space="preserve"> </w:t>
      </w:r>
      <w:hyperlink r:id="rId117">
        <w:r>
          <w:rPr>
            <w:rStyle w:val="Hyperlink"/>
          </w:rPr>
          <w:t xml:space="preserve">10.7485/QU63_1</w:t>
        </w:r>
      </w:hyperlink>
    </w:p>
    <w:bookmarkEnd w:id="118"/>
    <w:bookmarkStart w:id="119" w:name="ref-porraz_middle_2009"/>
    <w:p>
      <w:pPr>
        <w:pStyle w:val="BodyText"/>
      </w:pPr>
      <w:r>
        <w:t xml:space="preserve">Porraz G (2009) Middle Paleolithic mobile toolkits in shortterm human occupations: Two case studies. Eurasian Prehistory 6:33–55</w:t>
      </w:r>
    </w:p>
    <w:bookmarkEnd w:id="119"/>
    <w:bookmarkStart w:id="120" w:name="ref-r_core_team_r:_2013-1"/>
    <w:p>
      <w:pPr>
        <w:pStyle w:val="BodyText"/>
      </w:pPr>
      <w:r>
        <w:t xml:space="preserve">R Core Team (2013) R: A Language and Environment for Statistical Computing. R Foundation for Statistical Computing, Vienna, Austria</w:t>
      </w:r>
    </w:p>
    <w:bookmarkEnd w:id="120"/>
    <w:bookmarkStart w:id="122" w:name="ref-riel-salvatore_niche_2010"/>
    <w:p>
      <w:pPr>
        <w:pStyle w:val="BodyText"/>
      </w:pPr>
      <w:r>
        <w:t xml:space="preserve">Riel-Salvatore J (2010) A Niche Construction Perspective on the Middle–Upper Paleolithic Transition in Italy. Journal of Archaeological Method and Theory 17:323–355. doi:</w:t>
      </w:r>
      <w:r>
        <w:t xml:space="preserve"> </w:t>
      </w:r>
      <w:hyperlink r:id="rId121">
        <w:r>
          <w:rPr>
            <w:rStyle w:val="Hyperlink"/>
          </w:rPr>
          <w:t xml:space="preserve">10.1007/s10816-010-9093-9</w:t>
        </w:r>
      </w:hyperlink>
    </w:p>
    <w:bookmarkEnd w:id="122"/>
    <w:bookmarkStart w:id="123" w:name="ref-riel-salvatore_late_2004"/>
    <w:p>
      <w:pPr>
        <w:pStyle w:val="BodyText"/>
      </w:pPr>
      <w:r>
        <w:t xml:space="preserve">Riel-Salvatore J, Barton CM (2004) Late Pleistocene technology, economic behavior, and land-use dynamics in southern Italy. American Antiquity 69:257–274</w:t>
      </w:r>
    </w:p>
    <w:bookmarkEnd w:id="123"/>
    <w:bookmarkStart w:id="124" w:name="ref-riel-salvatore_new_2007"/>
    <w:p>
      <w:pPr>
        <w:pStyle w:val="BodyText"/>
      </w:pPr>
      <w:r>
        <w:t xml:space="preserve">Riel-Salvatore J, Barton CM (2007) New quantitative perspectives on the Middle-Upper Paleolithic transition: The view from the northern Mediterranean. BAR International Series 1620:61</w:t>
      </w:r>
    </w:p>
    <w:bookmarkEnd w:id="124"/>
    <w:bookmarkStart w:id="125" w:name="ref-rios-garaizar_early_2016"/>
    <w:p>
      <w:pPr>
        <w:pStyle w:val="BodyText"/>
      </w:pPr>
      <w:r>
        <w:t xml:space="preserve">Rios-Garaizar J (2016) Early Middle Palaeolithic occupations at Ventalaperra cave (Cantabrian Region, Northern Iberian Peninsula). Journal of Lithic Studies 3:161–183</w:t>
      </w:r>
    </w:p>
    <w:bookmarkEnd w:id="125"/>
    <w:bookmarkStart w:id="127" w:name="ref-rivals_seasonality_2009"/>
    <w:p>
      <w:pPr>
        <w:pStyle w:val="BodyText"/>
      </w:pPr>
      <w:r>
        <w:t xml:space="preserve">Rivals F, Moncel M-H, Patou-Mathis M (2009a) Seasonality and intra-site variation of Neanderthal occupations in the Middle Palaeolithic locality of Payre (Ardèche, France) using dental wear analyses. Journal of Archaeological Science 36:1070–1078. doi:</w:t>
      </w:r>
      <w:r>
        <w:t xml:space="preserve"> </w:t>
      </w:r>
      <w:hyperlink r:id="rId126">
        <w:r>
          <w:rPr>
            <w:rStyle w:val="Hyperlink"/>
          </w:rPr>
          <w:t xml:space="preserve">10.1016/j.jas.2008.12.009</w:t>
        </w:r>
      </w:hyperlink>
    </w:p>
    <w:bookmarkEnd w:id="127"/>
    <w:bookmarkStart w:id="129" w:name="ref-rivals_new_2009"/>
    <w:p>
      <w:pPr>
        <w:pStyle w:val="BodyText"/>
      </w:pPr>
      <w:r>
        <w:t xml:space="preserve">Rivals F, Schulz E, Kaiser TM (2009b) A new application of dental wear analyses: Estimation of duration of hominid occupations in archaeological localities. Journal of Human Evolution 56:329–339. doi:</w:t>
      </w:r>
      <w:r>
        <w:t xml:space="preserve"> </w:t>
      </w:r>
      <w:hyperlink r:id="rId128">
        <w:r>
          <w:rPr>
            <w:rStyle w:val="Hyperlink"/>
          </w:rPr>
          <w:t xml:space="preserve">10.1016/j.jhevol.2008.11.005</w:t>
        </w:r>
      </w:hyperlink>
    </w:p>
    <w:bookmarkEnd w:id="129"/>
    <w:bookmarkStart w:id="130" w:name="ref-sahlins_stone_1972"/>
    <w:p>
      <w:pPr>
        <w:pStyle w:val="BodyText"/>
      </w:pPr>
      <w:r>
        <w:t xml:space="preserve">Sahlins M (1972) Stone age economics. Aldine-Atherton, Chicago</w:t>
      </w:r>
    </w:p>
    <w:bookmarkEnd w:id="130"/>
    <w:bookmarkStart w:id="131" w:name="ref-sandgathe_examining_2005"/>
    <w:p>
      <w:pPr>
        <w:pStyle w:val="BodyText"/>
      </w:pPr>
      <w:r>
        <w:t xml:space="preserve">Sandgathe DM (2005) Examining the Levallois reduction strategy from a design theory point of view. John; Erica Hedges</w:t>
      </w:r>
    </w:p>
    <w:bookmarkEnd w:id="131"/>
    <w:bookmarkStart w:id="132" w:name="ref-schiffer_toward_1983"/>
    <w:p>
      <w:pPr>
        <w:pStyle w:val="BodyText"/>
      </w:pPr>
      <w:r>
        <w:t xml:space="preserve">Schiffer MB (1983) Toward the identification of formation processes. American Antiquity 48:675–706</w:t>
      </w:r>
    </w:p>
    <w:bookmarkEnd w:id="132"/>
    <w:bookmarkStart w:id="133" w:name="ref-schiffer_formation_1987"/>
    <w:p>
      <w:pPr>
        <w:pStyle w:val="BodyText"/>
      </w:pPr>
      <w:r>
        <w:t xml:space="preserve">Schiffer MB (1987) Formation processes of the archaeological record. University of New Mexico Press, Albuquerque, New Mexico</w:t>
      </w:r>
    </w:p>
    <w:bookmarkEnd w:id="133"/>
    <w:bookmarkStart w:id="134" w:name="ref-shennan_quantifying_1997"/>
    <w:p>
      <w:pPr>
        <w:pStyle w:val="BodyText"/>
      </w:pPr>
      <w:r>
        <w:t xml:space="preserve">Shennan S (1997) Quantifying archaeology. University of Iowa Press</w:t>
      </w:r>
    </w:p>
    <w:bookmarkEnd w:id="134"/>
    <w:bookmarkStart w:id="136" w:name="ref-stein_big_2003"/>
    <w:p>
      <w:pPr>
        <w:pStyle w:val="BodyText"/>
      </w:pPr>
      <w:r>
        <w:t xml:space="preserve">Stein JK, Deo JN, Phillips LS (2003) Big Sites—Short Time: Accumulation Rates in Archaeological Sites. Journal of Archaeological Science 30:297–316. doi:</w:t>
      </w:r>
      <w:r>
        <w:t xml:space="preserve"> </w:t>
      </w:r>
      <w:hyperlink r:id="rId135">
        <w:r>
          <w:rPr>
            <w:rStyle w:val="Hyperlink"/>
          </w:rPr>
          <w:t xml:space="preserve">10.1006/jasc.2002.0838</w:t>
        </w:r>
      </w:hyperlink>
    </w:p>
    <w:bookmarkEnd w:id="136"/>
    <w:bookmarkStart w:id="137" w:name="ref-tabarev_paleolithic_2013"/>
    <w:p>
      <w:pPr>
        <w:pStyle w:val="BodyText"/>
      </w:pPr>
      <w:r>
        <w:t xml:space="preserve">Tabarev AV, Gillam JC, Kanomata Y, Gunchinsuren B (2013) A Paleolithic cache at tolbor (Northern Mongolia). Archaeology, Ethnology and Anthropology of Eurasia 41:14–21</w:t>
      </w:r>
    </w:p>
    <w:bookmarkEnd w:id="137"/>
    <w:bookmarkStart w:id="139" w:name="ref-terradillos-bernal_san_2017"/>
    <w:p>
      <w:pPr>
        <w:pStyle w:val="BodyText"/>
      </w:pPr>
      <w:r>
        <w:t xml:space="preserve">Terradillos-Bernal M, Fernández-Lomana JCD, Pardo J-FJ et al (2017) San Quirce (Palencia, Spain). A Neanderthal open air campsite with short term-occupation patterns. Quaternary International 435:115–128. doi:</w:t>
      </w:r>
      <w:r>
        <w:t xml:space="preserve"> </w:t>
      </w:r>
      <w:hyperlink r:id="rId138">
        <w:r>
          <w:rPr>
            <w:rStyle w:val="Hyperlink"/>
          </w:rPr>
          <w:t xml:space="preserve">10.1016/j.quaint.2015.09.082</w:t>
        </w:r>
      </w:hyperlink>
    </w:p>
    <w:bookmarkEnd w:id="139"/>
    <w:bookmarkStart w:id="141" w:name="ref-vaquero_searching_2017"/>
    <w:p>
      <w:pPr>
        <w:pStyle w:val="BodyText"/>
      </w:pPr>
      <w:r>
        <w:t xml:space="preserve">Vaquero M, Romagnoli F (2017) Searching for Lazy People: The Significance of Expedient Behavior in the Interpretation of Paleolithic Assemblages. Journal of Archaeological Method and Theory 25:1–34. doi:</w:t>
      </w:r>
      <w:r>
        <w:t xml:space="preserve"> </w:t>
      </w:r>
      <w:hyperlink r:id="rId140">
        <w:r>
          <w:rPr>
            <w:rStyle w:val="Hyperlink"/>
          </w:rPr>
          <w:t xml:space="preserve">10.1007/s10816-017-9339-x</w:t>
        </w:r>
      </w:hyperlink>
    </w:p>
    <w:bookmarkEnd w:id="141"/>
    <w:bookmarkStart w:id="142" w:name="ref-villaverde_upper_1998"/>
    <w:p>
      <w:pPr>
        <w:pStyle w:val="BodyText"/>
      </w:pPr>
      <w:r>
        <w:t xml:space="preserve">Villaverde V, Aura JE, Barton CM (1998) The Upper Paleolithic in Mediterranean Spain: A review of current evidence. Journal of World Prehistory 12:121–198</w:t>
      </w:r>
    </w:p>
    <w:bookmarkEnd w:id="142"/>
    <w:bookmarkStart w:id="143" w:name="ref-wickham_r_2015"/>
    <w:p>
      <w:pPr>
        <w:pStyle w:val="BodyText"/>
      </w:pPr>
      <w:r>
        <w:t xml:space="preserve">Wickham H (2015) R packages: Organize, test, document, and share your code. O’Reilly Media, Inc., Sebastopol, CA</w:t>
      </w:r>
    </w:p>
    <w:bookmarkEnd w:id="143"/>
    <w:bookmarkStart w:id="144" w:name="ref-yellen_archaeological_1977"/>
    <w:p>
      <w:pPr>
        <w:pStyle w:val="BodyText"/>
      </w:pPr>
      <w:r>
        <w:t xml:space="preserve">Yellen JE (1977) Archaeological approaches to the present: Models for reconstructing the past. Academic Press, New York</w:t>
      </w:r>
    </w:p>
    <w:bookmarkEnd w:id="144"/>
    <w:bookmarkStart w:id="145" w:name="ref-zilhao_o_1997"/>
    <w:p>
      <w:pPr>
        <w:pStyle w:val="BodyText"/>
      </w:pPr>
      <w:r>
        <w:t xml:space="preserve">Zilhão J (1997) O Paleolítico Superior da Estremadura portuguesa. Colibri, Lisbon</w:t>
      </w:r>
    </w:p>
    <w:bookmarkEnd w:id="145"/>
    <w:bookmarkEnd w:id="146"/>
    <w:p>
      <w:pPr>
        <w:pStyle w:val="Heading5"/>
      </w:pPr>
      <w:bookmarkStart w:id="147" w:name="pagebreak-1"/>
      <w:r>
        <w:t xml:space="preserve">pagebreak</w:t>
      </w:r>
      <w:bookmarkEnd w:id="147"/>
    </w:p>
    <w:p>
      <w:pPr>
        <w:pStyle w:val="Heading3"/>
      </w:pPr>
      <w:bookmarkStart w:id="148" w:name="colophon"/>
      <w:r>
        <w:t xml:space="preserve">Colophon</w:t>
      </w:r>
      <w:bookmarkEnd w:id="148"/>
    </w:p>
    <w:p>
      <w:pPr>
        <w:pStyle w:val="FirstParagraph"/>
      </w:pPr>
      <w:r>
        <w:t xml:space="preserve">This report was generated on 2018-06-05 16:51:29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2018-06-05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3.4.4)</w:t>
      </w:r>
      <w:r>
        <w:br w:type="textWrapping"/>
      </w:r>
      <w:r>
        <w:rPr>
          <w:rStyle w:val="VerbatimChar"/>
        </w:rPr>
        <w:t xml:space="preserve">#&gt;  backports       1.1.2   2017-12-13 CRAN (R 3.4.3)</w:t>
      </w:r>
      <w:r>
        <w:br w:type="textWrapping"/>
      </w:r>
      <w:r>
        <w:rPr>
          <w:rStyle w:val="VerbatimChar"/>
        </w:rPr>
        <w:t xml:space="preserve">#&gt;  base          * 3.4.4   2018-03-15 local         </w:t>
      </w:r>
      <w:r>
        <w:br w:type="textWrapping"/>
      </w:r>
      <w:r>
        <w:rPr>
          <w:rStyle w:val="VerbatimChar"/>
        </w:rPr>
        <w:t xml:space="preserve">#&gt;  bindr           0.1.1   2018-03-13 CRAN (R 3.4.4)</w:t>
      </w:r>
      <w:r>
        <w:br w:type="textWrapping"/>
      </w:r>
      <w:r>
        <w:rPr>
          <w:rStyle w:val="VerbatimChar"/>
        </w:rPr>
        <w:t xml:space="preserve">#&gt;  bindrcpp        0.2.2   2018-03-29 CRAN (R 3.4.4)</w:t>
      </w:r>
      <w:r>
        <w:br w:type="textWrapping"/>
      </w:r>
      <w:r>
        <w:rPr>
          <w:rStyle w:val="VerbatimChar"/>
        </w:rPr>
        <w:t xml:space="preserve">#&gt;  bookdown        0.7     2018-02-18 CRAN (R 3.4.4)</w:t>
      </w:r>
      <w:r>
        <w:br w:type="textWrapping"/>
      </w:r>
      <w:r>
        <w:rPr>
          <w:rStyle w:val="VerbatimChar"/>
        </w:rPr>
        <w:t xml:space="preserve">#&gt;  cluster         2.0.6   2017-03-10 CRAN (R 3.4.4)</w:t>
      </w:r>
      <w:r>
        <w:br w:type="textWrapping"/>
      </w:r>
      <w:r>
        <w:rPr>
          <w:rStyle w:val="VerbatimChar"/>
        </w:rPr>
        <w:t xml:space="preserve">#&gt;  colorspace      1.3-2   2016-12-14 CRAN (R 3.4.4)</w:t>
      </w:r>
      <w:r>
        <w:br w:type="textWrapping"/>
      </w:r>
      <w:r>
        <w:rPr>
          <w:rStyle w:val="VerbatimChar"/>
        </w:rPr>
        <w:t xml:space="preserve">#&gt;  compiler        3.4.4   2018-03-15 local         </w:t>
      </w:r>
      <w:r>
        <w:br w:type="textWrapping"/>
      </w:r>
      <w:r>
        <w:rPr>
          <w:rStyle w:val="VerbatimChar"/>
        </w:rPr>
        <w:t xml:space="preserve">#&gt;  cowplot         0.9.2   2017-12-17 CRAN (R 3.4.4)</w:t>
      </w:r>
      <w:r>
        <w:br w:type="textWrapping"/>
      </w:r>
      <w:r>
        <w:rPr>
          <w:rStyle w:val="VerbatimChar"/>
        </w:rPr>
        <w:t xml:space="preserve">#&gt;  datasets      * 3.4.4   2018-03-15 local         </w:t>
      </w:r>
      <w:r>
        <w:br w:type="textWrapping"/>
      </w:r>
      <w:r>
        <w:rPr>
          <w:rStyle w:val="VerbatimChar"/>
        </w:rPr>
        <w:t xml:space="preserve">#&gt;  devtools        1.13.5  2018-02-18 CRAN (R 3.4.3)</w:t>
      </w:r>
      <w:r>
        <w:br w:type="textWrapping"/>
      </w:r>
      <w:r>
        <w:rPr>
          <w:rStyle w:val="VerbatimChar"/>
        </w:rPr>
        <w:t xml:space="preserve">#&gt;  digest          0.6.15  2018-01-28 CRAN (R 3.4.3)</w:t>
      </w:r>
      <w:r>
        <w:br w:type="textWrapping"/>
      </w:r>
      <w:r>
        <w:rPr>
          <w:rStyle w:val="VerbatimChar"/>
        </w:rPr>
        <w:t xml:space="preserve">#&gt;  dplyr         * 0.7.5   2018-05-19 CRAN (R 3.4.4)</w:t>
      </w:r>
      <w:r>
        <w:br w:type="textWrapping"/>
      </w:r>
      <w:r>
        <w:rPr>
          <w:rStyle w:val="VerbatimChar"/>
        </w:rPr>
        <w:t xml:space="preserve">#&gt;  evaluate        0.10.1  2017-06-24 CRAN (R 3.4.4)</w:t>
      </w:r>
      <w:r>
        <w:br w:type="textWrapping"/>
      </w:r>
      <w:r>
        <w:rPr>
          <w:rStyle w:val="VerbatimChar"/>
        </w:rPr>
        <w:t xml:space="preserve">#&gt;  factoextra    * 1.0.5   2017-08-22 CRAN (R 3.4.4)</w:t>
      </w:r>
      <w:r>
        <w:br w:type="textWrapping"/>
      </w:r>
      <w:r>
        <w:rPr>
          <w:rStyle w:val="VerbatimChar"/>
        </w:rPr>
        <w:t xml:space="preserve">#&gt;  FactoMineR    * 1.41    2018-05-04 CRAN (R 3.4.4)</w:t>
      </w:r>
      <w:r>
        <w:br w:type="textWrapping"/>
      </w:r>
      <w:r>
        <w:rPr>
          <w:rStyle w:val="VerbatimChar"/>
        </w:rPr>
        <w:t xml:space="preserve">#&gt;  flashClust      1.01-2  2012-08-21 CRAN (R 3.4.1)</w:t>
      </w:r>
      <w:r>
        <w:br w:type="textWrapping"/>
      </w:r>
      <w:r>
        <w:rPr>
          <w:rStyle w:val="VerbatimChar"/>
        </w:rPr>
        <w:t xml:space="preserve">#&gt;  ggplot2       * 2.2.1   2016-12-30 CRAN (R 3.4.4)</w:t>
      </w:r>
      <w:r>
        <w:br w:type="textWrapping"/>
      </w:r>
      <w:r>
        <w:rPr>
          <w:rStyle w:val="VerbatimChar"/>
        </w:rPr>
        <w:t xml:space="preserve">#&gt;  ggpubr        * 0.1.6   2017-11-14 CRAN (R 3.4.4)</w:t>
      </w:r>
      <w:r>
        <w:br w:type="textWrapping"/>
      </w:r>
      <w:r>
        <w:rPr>
          <w:rStyle w:val="VerbatimChar"/>
        </w:rPr>
        <w:t xml:space="preserve">#&gt;  ggrepel       * 0.8.0   2018-05-09 CRAN (R 3.4.4)</w:t>
      </w:r>
      <w:r>
        <w:br w:type="textWrapping"/>
      </w:r>
      <w:r>
        <w:rPr>
          <w:rStyle w:val="VerbatimChar"/>
        </w:rPr>
        <w:t xml:space="preserve">#&gt;  glue            1.2.0   2017-10-29 CRAN (R 3.4.4)</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3.4.4)</w:t>
      </w:r>
      <w:r>
        <w:br w:type="textWrapping"/>
      </w:r>
      <w:r>
        <w:rPr>
          <w:rStyle w:val="VerbatimChar"/>
        </w:rPr>
        <w:t xml:space="preserve">#&gt;  highr           0.6     2016-05-09 CRAN (R 3.4.4)</w:t>
      </w:r>
      <w:r>
        <w:br w:type="textWrapping"/>
      </w:r>
      <w:r>
        <w:rPr>
          <w:rStyle w:val="VerbatimChar"/>
        </w:rPr>
        <w:t xml:space="preserve">#&gt;  hms             0.4.2   2018-03-10 CRAN (R 3.4.4)</w:t>
      </w:r>
      <w:r>
        <w:br w:type="textWrapping"/>
      </w:r>
      <w:r>
        <w:rPr>
          <w:rStyle w:val="VerbatimChar"/>
        </w:rPr>
        <w:t xml:space="preserve">#&gt;  htmltools       0.3.6   2017-04-28 CRAN (R 3.4.4)</w:t>
      </w:r>
      <w:r>
        <w:br w:type="textWrapping"/>
      </w:r>
      <w:r>
        <w:rPr>
          <w:rStyle w:val="VerbatimChar"/>
        </w:rPr>
        <w:t xml:space="preserve">#&gt;  knitr           1.20    2018-02-20 CRAN (R 3.4.4)</w:t>
      </w:r>
      <w:r>
        <w:br w:type="textWrapping"/>
      </w:r>
      <w:r>
        <w:rPr>
          <w:rStyle w:val="VerbatimChar"/>
        </w:rPr>
        <w:t xml:space="preserve">#&gt;  labeling        0.3     2014-08-23 CRAN (R 3.4.1)</w:t>
      </w:r>
      <w:r>
        <w:br w:type="textWrapping"/>
      </w:r>
      <w:r>
        <w:rPr>
          <w:rStyle w:val="VerbatimChar"/>
        </w:rPr>
        <w:t xml:space="preserve">#&gt;  lattice         0.20-35 2017-03-25 CRAN (R 3.4.4)</w:t>
      </w:r>
      <w:r>
        <w:br w:type="textWrapping"/>
      </w:r>
      <w:r>
        <w:rPr>
          <w:rStyle w:val="VerbatimChar"/>
        </w:rPr>
        <w:t xml:space="preserve">#&gt;  lazyeval        0.2.1   2017-10-29 CRAN (R 3.4.4)</w:t>
      </w:r>
      <w:r>
        <w:br w:type="textWrapping"/>
      </w:r>
      <w:r>
        <w:rPr>
          <w:rStyle w:val="VerbatimChar"/>
        </w:rPr>
        <w:t xml:space="preserve">#&gt;  leaps           3.0     2017-01-10 CRAN (R 3.4.4)</w:t>
      </w:r>
      <w:r>
        <w:br w:type="textWrapping"/>
      </w:r>
      <w:r>
        <w:rPr>
          <w:rStyle w:val="VerbatimChar"/>
        </w:rPr>
        <w:t xml:space="preserve">#&gt;  magrittr      * 1.5     2014-11-22 CRAN (R 3.4.4)</w:t>
      </w:r>
      <w:r>
        <w:br w:type="textWrapping"/>
      </w:r>
      <w:r>
        <w:rPr>
          <w:rStyle w:val="VerbatimChar"/>
        </w:rPr>
        <w:t xml:space="preserve">#&gt;  MASS            7.3-49  2018-02-23 CRAN (R 3.4.4)</w:t>
      </w:r>
      <w:r>
        <w:br w:type="textWrapping"/>
      </w:r>
      <w:r>
        <w:rPr>
          <w:rStyle w:val="VerbatimChar"/>
        </w:rPr>
        <w:t xml:space="preserve">#&gt;  memoise         1.1.0   2017-04-21 CRAN (R 3.4.4)</w:t>
      </w:r>
      <w:r>
        <w:br w:type="textWrapping"/>
      </w:r>
      <w:r>
        <w:rPr>
          <w:rStyle w:val="VerbatimChar"/>
        </w:rPr>
        <w:t xml:space="preserve">#&gt;  methods       * 3.4.4   2018-03-15 local         </w:t>
      </w:r>
      <w:r>
        <w:br w:type="textWrapping"/>
      </w:r>
      <w:r>
        <w:rPr>
          <w:rStyle w:val="VerbatimChar"/>
        </w:rPr>
        <w:t xml:space="preserve">#&gt;  munsell         0.4.3   2016-02-13 CRAN (R 3.4.4)</w:t>
      </w:r>
      <w:r>
        <w:br w:type="textWrapping"/>
      </w:r>
      <w:r>
        <w:rPr>
          <w:rStyle w:val="VerbatimChar"/>
        </w:rPr>
        <w:t xml:space="preserve">#&gt;  pillar          1.2.1   2018-02-27 CRAN (R 3.4.4)</w:t>
      </w:r>
      <w:r>
        <w:br w:type="textWrapping"/>
      </w:r>
      <w:r>
        <w:rPr>
          <w:rStyle w:val="VerbatimChar"/>
        </w:rPr>
        <w:t xml:space="preserve">#&gt;  pkgconfig       2.0.1   2017-03-21 CRAN (R 3.4.4)</w:t>
      </w:r>
      <w:r>
        <w:br w:type="textWrapping"/>
      </w:r>
      <w:r>
        <w:rPr>
          <w:rStyle w:val="VerbatimChar"/>
        </w:rPr>
        <w:t xml:space="preserve">#&gt;  plyr            1.8.4   2016-06-08 CRAN (R 3.4.4)</w:t>
      </w:r>
      <w:r>
        <w:br w:type="textWrapping"/>
      </w:r>
      <w:r>
        <w:rPr>
          <w:rStyle w:val="VerbatimChar"/>
        </w:rPr>
        <w:t xml:space="preserve">#&gt;  purrr           0.2.4   2017-10-18 CRAN (R 3.4.4)</w:t>
      </w:r>
      <w:r>
        <w:br w:type="textWrapping"/>
      </w:r>
      <w:r>
        <w:rPr>
          <w:rStyle w:val="VerbatimChar"/>
        </w:rPr>
        <w:t xml:space="preserve">#&gt;  R6              2.2.2   2017-06-17 CRAN (R 3.4.4)</w:t>
      </w:r>
      <w:r>
        <w:br w:type="textWrapping"/>
      </w:r>
      <w:r>
        <w:rPr>
          <w:rStyle w:val="VerbatimChar"/>
        </w:rPr>
        <w:t xml:space="preserve">#&gt;  Rcpp            0.12.16 2018-03-13 CRAN (R 3.4.4)</w:t>
      </w:r>
      <w:r>
        <w:br w:type="textWrapping"/>
      </w:r>
      <w:r>
        <w:rPr>
          <w:rStyle w:val="VerbatimChar"/>
        </w:rPr>
        <w:t xml:space="preserve">#&gt;  readr           1.1.1   2017-05-16 CRAN (R 3.4.4)</w:t>
      </w:r>
      <w:r>
        <w:br w:type="textWrapping"/>
      </w:r>
      <w:r>
        <w:rPr>
          <w:rStyle w:val="VerbatimChar"/>
        </w:rPr>
        <w:t xml:space="preserve">#&gt;  rlang           0.2.0   2018-02-20 CRAN (R 3.4.4)</w:t>
      </w:r>
      <w:r>
        <w:br w:type="textWrapping"/>
      </w:r>
      <w:r>
        <w:rPr>
          <w:rStyle w:val="VerbatimChar"/>
        </w:rPr>
        <w:t xml:space="preserve">#&gt;  rmarkdown       1.9     2018-03-01 CRAN (R 3.4.4)</w:t>
      </w:r>
      <w:r>
        <w:br w:type="textWrapping"/>
      </w:r>
      <w:r>
        <w:rPr>
          <w:rStyle w:val="VerbatimChar"/>
        </w:rPr>
        <w:t xml:space="preserve">#&gt;  rprojroot       1.3-2   2018-01-03 CRAN (R 3.4.4)</w:t>
      </w:r>
      <w:r>
        <w:br w:type="textWrapping"/>
      </w:r>
      <w:r>
        <w:rPr>
          <w:rStyle w:val="VerbatimChar"/>
        </w:rPr>
        <w:t xml:space="preserve">#&gt;  scales          0.5.0   2017-08-24 CRAN (R 3.4.4)</w:t>
      </w:r>
      <w:r>
        <w:br w:type="textWrapping"/>
      </w:r>
      <w:r>
        <w:rPr>
          <w:rStyle w:val="VerbatimChar"/>
        </w:rPr>
        <w:t xml:space="preserve">#&gt;  scatterplot3d   0.3-41  2018-03-14 CRAN (R 3.4.4)</w:t>
      </w:r>
      <w:r>
        <w:br w:type="textWrapping"/>
      </w:r>
      <w:r>
        <w:rPr>
          <w:rStyle w:val="VerbatimChar"/>
        </w:rPr>
        <w:t xml:space="preserve">#&gt;  stats         * 3.4.4   2018-03-15 local         </w:t>
      </w:r>
      <w:r>
        <w:br w:type="textWrapping"/>
      </w:r>
      <w:r>
        <w:rPr>
          <w:rStyle w:val="VerbatimChar"/>
        </w:rPr>
        <w:t xml:space="preserve">#&gt;  stringi         1.1.7   2018-03-12 CRAN (R 3.4.4)</w:t>
      </w:r>
      <w:r>
        <w:br w:type="textWrapping"/>
      </w:r>
      <w:r>
        <w:rPr>
          <w:rStyle w:val="VerbatimChar"/>
        </w:rPr>
        <w:t xml:space="preserve">#&gt;  stringr         1.3.0   2018-02-19 CRAN (R 3.4.4)</w:t>
      </w:r>
      <w:r>
        <w:br w:type="textWrapping"/>
      </w:r>
      <w:r>
        <w:rPr>
          <w:rStyle w:val="VerbatimChar"/>
        </w:rPr>
        <w:t xml:space="preserve">#&gt;  tibble          1.4.2   2018-01-22 CRAN (R 3.4.4)</w:t>
      </w:r>
      <w:r>
        <w:br w:type="textWrapping"/>
      </w:r>
      <w:r>
        <w:rPr>
          <w:rStyle w:val="VerbatimChar"/>
        </w:rPr>
        <w:t xml:space="preserve">#&gt;  tidyselect      0.2.4   2018-02-26 CRAN (R 3.4.4)</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withr           2.1.2   2018-03-15 CRAN (R 3.4.4)</w:t>
      </w:r>
      <w:r>
        <w:br w:type="textWrapping"/>
      </w:r>
      <w:r>
        <w:rPr>
          <w:rStyle w:val="VerbatimChar"/>
        </w:rPr>
        <w:t xml:space="preserve">#&gt;  xfun            0.1     2018-01-22 CRAN (R 3.4.4)</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[88d8eab] 2018-06-05: final revision</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AWYVF"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135" Target="https://doi.org/10.1006/jasc.2002.0838" TargetMode="External" /><Relationship Type="http://schemas.openxmlformats.org/officeDocument/2006/relationships/hyperlink" Id="rId121" Target="https://doi.org/10.1007/s10816-010-9093-9" TargetMode="External" /><Relationship Type="http://schemas.openxmlformats.org/officeDocument/2006/relationships/hyperlink" Id="rId101" Target="https://doi.org/10.1007/s10816-015-9272-9" TargetMode="External" /><Relationship Type="http://schemas.openxmlformats.org/officeDocument/2006/relationships/hyperlink" Id="rId140"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5" Target="https://doi.org/10.1016/j.jas.2006.12.015" TargetMode="External" /><Relationship Type="http://schemas.openxmlformats.org/officeDocument/2006/relationships/hyperlink" Id="rId126" Target="https://doi.org/10.1016/j.jas.2008.12.009" TargetMode="External" /><Relationship Type="http://schemas.openxmlformats.org/officeDocument/2006/relationships/hyperlink" Id="rId96"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7" Target="https://doi.org/10.1016/j.jhevol.2006.06.003" TargetMode="External" /><Relationship Type="http://schemas.openxmlformats.org/officeDocument/2006/relationships/hyperlink" Id="rId128"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99" Target="https://doi.org/10.1016/j.quaint.2013.05.008" TargetMode="External" /><Relationship Type="http://schemas.openxmlformats.org/officeDocument/2006/relationships/hyperlink" Id="rId78"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38"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3"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6" Target="https://doi.org/10.1371/journal.pone.0137308" TargetMode="External" /><Relationship Type="http://schemas.openxmlformats.org/officeDocument/2006/relationships/hyperlink" Id="rId111" Target="https://doi.org/10.3998/jar.0521004.0067.104" TargetMode="External" /><Relationship Type="http://schemas.openxmlformats.org/officeDocument/2006/relationships/hyperlink" Id="rId117" Target="https://doi.org/10.7485/QU63_1" TargetMode="External" /><Relationship Type="http://schemas.openxmlformats.org/officeDocument/2006/relationships/hyperlink" Id="rId115"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AWYVF"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cp:keywords/>
  <dcterms:created xsi:type="dcterms:W3CDTF">2018-06-05T15:51:44Z</dcterms:created>
  <dcterms:modified xsi:type="dcterms:W3CDTF">2018-06-05T15:51:44Z</dcterms:modified>
</cp:coreProperties>
</file>