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Calibri" w:hAnsi="Calibri"/>
          <w:sz w:val="24"/>
        </w:rPr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rFonts w:ascii="Calibri" w:hAnsi="Calibri"/>
          <w:sz w:val="24"/>
        </w:rPr>
        <w:t>: Monkeypox in Latinamerica and the Caribbean: Cummulative incidence per country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  <w:cantSplit w:val="true"/>
        </w:trPr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  <w:vAlign w:val="center"/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Date of First Confirmed Case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Confirmed Cases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Cummulative Incidence (per million)</w:t>
            </w:r>
          </w:p>
        </w:tc>
        <w:tc>
          <w:tcPr>
            <w:tcW w:w="1872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  <w:vAlign w:val="center"/>
          </w:tcPr>
          <w:p>
            <w:pPr>
              <w:pStyle w:val="Normal"/>
              <w:keepNext w:val="true"/>
              <w:widowControl w:val="fals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Income Group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b/>
                <w:i/>
                <w:sz w:val="20"/>
              </w:rPr>
              <w:t>Caribbean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Saint Martin (French part)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2022-08-01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31.46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High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Puerto Rico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2022-06-29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10.45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High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Barbados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2022-07-16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3.55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High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Jamaica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2022-07-06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Dominican Republic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2022-07-06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0.36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b/>
                <w:i/>
                <w:sz w:val="20"/>
              </w:rPr>
              <w:t>Central America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Mexico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2022-05-28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91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0.71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Costa Rica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2022-07-20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Panama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2022-07-05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High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Guatemala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2022-08-03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b/>
                <w:i/>
                <w:sz w:val="20"/>
              </w:rPr>
              <w:t>South America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Peru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2022-06-26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409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12.01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Brazil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2022-06-08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2,108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9.79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Chile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2022-06-17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91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4.64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High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Argentina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2022-05-27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Uruguay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2022-07-29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High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Colombia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2022-06-23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0.50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Bolivia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2022-08-01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Lower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Ecuador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2022-07-06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0.39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Upper middle income</w:t>
            </w:r>
          </w:p>
        </w:tc>
      </w:tr>
      <w:tr>
        <w:trPr>
          <w:cantSplit w:val="true"/>
        </w:trPr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Venezuela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2022-06-12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1872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---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position w:val="0"/>
                <w:sz w:val="20"/>
                <w:sz w:val="20"/>
                <w:vertAlign w:val="baseline"/>
              </w:rPr>
              <w:t>As of complete epidemiological week #31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position w:val="0"/>
                <w:sz w:val="20"/>
                <w:sz w:val="20"/>
                <w:vertAlign w:val="baseline"/>
              </w:rPr>
              <w:t>Venezuela has been temporarily unclassified as of July 2021 by the World Bank</w:t>
            </w:r>
          </w:p>
        </w:tc>
      </w:tr>
      <w:tr>
        <w:trPr>
          <w:cantSplit w:val="true"/>
        </w:trPr>
        <w:tc>
          <w:tcPr>
            <w:tcW w:w="9360" w:type="dxa"/>
            <w:gridSpan w:val="5"/>
            <w:tcBorders/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Data sources: Global.health Monkeypox (accessed on 2022-08-03), UN 2022 Revision of World Population Prospects, World Bank Income Classification (FY 2023)</w:t>
            </w:r>
          </w:p>
        </w:tc>
      </w:tr>
    </w:tbl>
    <w:p>
      <w:pPr>
        <w:pStyle w:val="FirstParagraph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LibreOffice/7.3.5.2$Linux_X86_64 LibreOffice_project/30$Build-2</Application>
  <AppVersion>15.0000</AppVersion>
  <Pages>1</Pages>
  <Words>193</Words>
  <Characters>1119</Characters>
  <CharactersWithSpaces>1211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2022-08-12T02:04:45Z</dcterms:created>
  <dc:creator/>
  <dc:description/>
  <dc:language>en-US</dc:language>
  <cp:lastModifiedBy>Jesus Castagnetto</cp:lastModifiedBy>
  <dcterms:modified xsi:type="dcterms:W3CDTF">2022-08-11T21:05:16Z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