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Cambria" w:hAnsi="Cambria" w:cs="Cambria"/>
          <w:b/>
          <w:i w:val="0"/>
          <w:caps/>
          <w:color w:val="1A365D"/>
          <w:sz w:val="44"/>
        </w:rPr>
        <w:t>JOHN P. McCARTAN</w:t>
      </w:r>
    </w:p>
    <w:p>
      <w:pPr>
        <w:spacing w:before="0" w:after="0" w:line="240" w:lineRule="auto"/>
        <w:jc w:val="center"/>
      </w:pPr>
      <w:r>
        <w:rPr>
          <w:rFonts w:ascii="Cambria" w:hAnsi="Cambria" w:cs="Cambria"/>
          <w:b w:val="0"/>
          <w:i/>
          <w:color w:val="2C7A7B"/>
          <w:sz w:val="22"/>
        </w:rPr>
        <w:t>Enterprise Growth &amp; Transformation Executive</w:t>
      </w:r>
    </w:p>
    <w:p>
      <w:pPr>
        <w:spacing w:before="0" w:after="20" w:line="240" w:lineRule="auto"/>
        <w:jc w:val="center"/>
      </w:pPr>
      <w:r>
        <w:rPr>
          <w:rFonts w:ascii="Calibri" w:hAnsi="Calibri" w:cs="Calibri"/>
          <w:b w:val="0"/>
          <w:i w:val="0"/>
          <w:caps/>
          <w:color w:val="718096"/>
          <w:sz w:val="16"/>
        </w:rPr>
        <w:t>One-Page Profile  •  2026</w:t>
      </w:r>
    </w:p>
    <w:p>
      <w:pPr>
        <w:spacing w:before="0" w:after="80" w:line="240" w:lineRule="auto"/>
        <w:jc w:val="center"/>
      </w:pPr>
      <w:r>
        <w:rPr>
          <w:rFonts w:ascii="Calibri" w:hAnsi="Calibri" w:cs="Calibri"/>
          <w:b w:val="0"/>
          <w:i w:val="0"/>
          <w:color w:val="718096"/>
          <w:sz w:val="17"/>
        </w:rPr>
        <w:t>636.219.7609  •  jmccartan@hotmail.com  •  www.johnmccartan.com  •  linkedin.com/in/johnpmccartan</w:t>
      </w:r>
    </w:p>
    <w:p>
      <w:pPr>
        <w:spacing w:before="80" w:after="20" w:line="269" w:lineRule="auto"/>
        <w:jc w:val="left"/>
        <w:pBdr>
          <w:bottom w:val="single" w:sz="6" w:space="1" w:color="1A365D"/>
        </w:pBdr>
      </w:pPr>
      <w:r>
        <w:rPr>
          <w:rFonts w:ascii="Cambria" w:hAnsi="Cambria" w:cs="Cambria"/>
          <w:b/>
          <w:i w:val="0"/>
          <w:caps/>
          <w:color w:val="1A365D"/>
          <w:sz w:val="22"/>
        </w:rPr>
        <w:t>Executive Profile</w:t>
      </w:r>
    </w:p>
    <w:p>
      <w:pPr>
        <w:spacing w:before="0" w:after="60" w:line="283" w:lineRule="auto"/>
        <w:jc w:val="left"/>
      </w:pPr>
      <w:r>
        <w:rPr>
          <w:rFonts w:ascii="Calibri" w:hAnsi="Calibri" w:cs="Calibri"/>
          <w:b w:val="0"/>
          <w:i w:val="0"/>
          <w:color w:val="2D3748"/>
          <w:sz w:val="19"/>
        </w:rPr>
        <w:t>Dual-threat technology executive — three decades of P&amp;L leadership, market expansion, and team building paired with deep technology fluency including the latest in GenAI, Copilot, and agentic capabilities. Currently advising Fortune 500 leaders at Microsoft on AI-enabled transformation, drawing on a track record of scaling Quilogy from $7M to $40M, owning a $20M+ multi-state P&amp;L at Sogeti / Capgemini, and launching new markets from scratch. Equally comfortable in a CFO ROI conversation and a live agent demo.</w:t>
      </w:r>
    </w:p>
    <w:p>
      <w:pPr>
        <w:spacing w:before="80" w:after="20" w:line="269" w:lineRule="auto"/>
        <w:jc w:val="left"/>
        <w:pBdr>
          <w:bottom w:val="single" w:sz="6" w:space="1" w:color="1A365D"/>
        </w:pBdr>
      </w:pPr>
      <w:r>
        <w:rPr>
          <w:rFonts w:ascii="Cambria" w:hAnsi="Cambria" w:cs="Cambria"/>
          <w:b/>
          <w:i w:val="0"/>
          <w:caps/>
          <w:color w:val="1A365D"/>
          <w:sz w:val="22"/>
        </w:rPr>
        <w:t>Signature Outcomes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single" w:sz="4" w:space="0" w:color="CBD5E0"/>
        </w:tblBorders>
      </w:tblPr>
      <w:tblGrid>
        <w:gridCol w:w="2663"/>
        <w:gridCol w:w="2663"/>
        <w:gridCol w:w="2663"/>
        <w:gridCol w:w="2663"/>
      </w:tblGrid>
      <w:tr>
        <w:tc>
          <w:tcPr>
            <w:tcW w:type="dxa" w:w="2663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2C7A7B"/>
                <w:sz w:val="15"/>
              </w:rPr>
              <w:t>GROWTH BUILT</w:t>
            </w:r>
          </w:p>
        </w:tc>
        <w:tc>
          <w:tcPr>
            <w:tcW w:type="dxa" w:w="2663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2C7A7B"/>
                <w:sz w:val="15"/>
              </w:rPr>
              <w:t>P&amp;L OWNED</w:t>
            </w:r>
          </w:p>
        </w:tc>
        <w:tc>
          <w:tcPr>
            <w:tcW w:type="dxa" w:w="2663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2C7A7B"/>
                <w:sz w:val="15"/>
              </w:rPr>
              <w:t>TEAMS LED</w:t>
            </w:r>
          </w:p>
        </w:tc>
        <w:tc>
          <w:tcPr>
            <w:tcW w:type="dxa" w:w="2663"/>
          </w:tcPr>
          <w:p>
            <w:pPr>
              <w:spacing w:after="0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2C7A7B"/>
                <w:sz w:val="15"/>
              </w:rPr>
              <w:t>MARKETS LAUNCHED</w:t>
            </w:r>
          </w:p>
        </w:tc>
      </w:tr>
      <w:tr>
        <w:tc>
          <w:tcPr>
            <w:tcW w:type="dxa" w:w="2663"/>
          </w:tcPr>
          <w:p>
            <w:pPr>
              <w:spacing w:after="0"/>
              <w:jc w:val="center"/>
            </w:pPr>
            <w:r/>
            <w:r>
              <w:rPr>
                <w:rFonts w:ascii="Cambria" w:hAnsi="Cambria" w:cs="Cambria"/>
                <w:b/>
                <w:i w:val="0"/>
                <w:color w:val="1A365D"/>
                <w:sz w:val="28"/>
              </w:rPr>
              <w:t>$7M → $40M</w:t>
            </w:r>
          </w:p>
        </w:tc>
        <w:tc>
          <w:tcPr>
            <w:tcW w:type="dxa" w:w="2663"/>
          </w:tcPr>
          <w:p>
            <w:pPr>
              <w:spacing w:after="0"/>
              <w:jc w:val="center"/>
            </w:pPr>
            <w:r/>
            <w:r>
              <w:rPr>
                <w:rFonts w:ascii="Cambria" w:hAnsi="Cambria" w:cs="Cambria"/>
                <w:b/>
                <w:i w:val="0"/>
                <w:color w:val="1A365D"/>
                <w:sz w:val="28"/>
              </w:rPr>
              <w:t>$20M+</w:t>
            </w:r>
          </w:p>
        </w:tc>
        <w:tc>
          <w:tcPr>
            <w:tcW w:type="dxa" w:w="2663"/>
          </w:tcPr>
          <w:p>
            <w:pPr>
              <w:spacing w:after="0"/>
              <w:jc w:val="center"/>
            </w:pPr>
            <w:r/>
            <w:r>
              <w:rPr>
                <w:rFonts w:ascii="Cambria" w:hAnsi="Cambria" w:cs="Cambria"/>
                <w:b/>
                <w:i w:val="0"/>
                <w:color w:val="1A365D"/>
                <w:sz w:val="28"/>
              </w:rPr>
              <w:t>150+</w:t>
            </w:r>
          </w:p>
        </w:tc>
        <w:tc>
          <w:tcPr>
            <w:tcW w:type="dxa" w:w="2663"/>
          </w:tcPr>
          <w:p>
            <w:pPr>
              <w:spacing w:after="0"/>
              <w:jc w:val="center"/>
            </w:pPr>
            <w:r/>
            <w:r>
              <w:rPr>
                <w:rFonts w:ascii="Cambria" w:hAnsi="Cambria" w:cs="Cambria"/>
                <w:b/>
                <w:i w:val="0"/>
                <w:color w:val="1A365D"/>
                <w:sz w:val="28"/>
              </w:rPr>
              <w:t>$0 → $3.5M</w:t>
            </w:r>
          </w:p>
        </w:tc>
      </w:tr>
    </w:tbl>
    <w:p>
      <w:pPr>
        <w:spacing w:before="80" w:after="20" w:line="269" w:lineRule="auto"/>
        <w:jc w:val="left"/>
        <w:pBdr>
          <w:bottom w:val="single" w:sz="6" w:space="1" w:color="1A365D"/>
        </w:pBdr>
      </w:pPr>
      <w:r>
        <w:rPr>
          <w:rFonts w:ascii="Cambria" w:hAnsi="Cambria" w:cs="Cambria"/>
          <w:b/>
          <w:i w:val="0"/>
          <w:caps/>
          <w:color w:val="1A365D"/>
          <w:sz w:val="22"/>
        </w:rPr>
        <w:t>Executive Capabilities</w:t>
      </w:r>
    </w:p>
    <w:p>
      <w:pPr>
        <w:spacing w:before="0" w:after="60" w:line="312" w:lineRule="auto"/>
        <w:jc w:val="left"/>
      </w:pPr>
      <w:r>
        <w:rPr>
          <w:rFonts w:ascii="Calibri" w:hAnsi="Calibri" w:cs="Calibri"/>
          <w:b w:val="0"/>
          <w:i w:val="0"/>
          <w:color w:val="2D3748"/>
          <w:sz w:val="19"/>
        </w:rPr>
        <w:t>Growth &amp; P&amp;L Leadership  •  AI &amp; Digital Transformation  •  Market Expansion  •  Executive Client Engagement  •  Turn-around &amp; Start-up  •  High-Performing Team Building  •  Solution Sales Leadership  •  Strategic Planning</w:t>
      </w:r>
    </w:p>
    <w:p>
      <w:pPr>
        <w:spacing w:before="80" w:after="20" w:line="269" w:lineRule="auto"/>
        <w:jc w:val="left"/>
        <w:pBdr>
          <w:bottom w:val="single" w:sz="6" w:space="1" w:color="1A365D"/>
        </w:pBdr>
      </w:pPr>
      <w:r>
        <w:rPr>
          <w:rFonts w:ascii="Cambria" w:hAnsi="Cambria" w:cs="Cambria"/>
          <w:b/>
          <w:i w:val="0"/>
          <w:caps/>
          <w:color w:val="1A365D"/>
          <w:sz w:val="22"/>
        </w:rPr>
        <w:t>Selected Leadership Experience</w:t>
      </w:r>
    </w:p>
    <w:p>
      <w:pPr>
        <w:spacing w:before="60" w:after="20" w:line="264" w:lineRule="auto"/>
      </w:pPr>
      <w:r>
        <w:rPr>
          <w:rFonts w:ascii="Calibri" w:hAnsi="Calibri" w:cs="Calibri"/>
          <w:b/>
          <w:i w:val="0"/>
          <w:color w:val="1A365D"/>
          <w:sz w:val="20"/>
        </w:rPr>
        <w:t xml:space="preserve">Microsoft Corporation — </w:t>
      </w:r>
      <w:r>
        <w:rPr>
          <w:rFonts w:ascii="Calibri" w:hAnsi="Calibri" w:cs="Calibri"/>
          <w:b w:val="0"/>
          <w:i w:val="0"/>
          <w:color w:val="2D3748"/>
          <w:sz w:val="20"/>
        </w:rPr>
        <w:t>Sr Enterprise AI Business Process Solution Specialist  •  Redmond, WA  •  Jan 2022 – Present</w:t>
      </w:r>
    </w:p>
    <w:p>
      <w:pPr>
        <w:spacing w:before="0" w:after="20" w:line="269" w:lineRule="auto"/>
        <w:jc w:val="left"/>
      </w:pPr>
      <w:r>
        <w:rPr>
          <w:rFonts w:ascii="Calibri" w:hAnsi="Calibri" w:cs="Calibri"/>
          <w:b w:val="0"/>
          <w:i w:val="0"/>
          <w:color w:val="2D3748"/>
          <w:sz w:val="19"/>
        </w:rPr>
        <w:t>Trusted advisor to enterprise CXOs on AI-enabled transformation across strategic accounts; orchestrate cross-functional Microsoft, partner, and customer teams to translate emerging GenAI capability into ROI-grounded business cases.</w:t>
      </w:r>
    </w:p>
    <w:p>
      <w:pPr>
        <w:pStyle w:val="ListBullet"/>
        <w:spacing w:before="0" w:after="20" w:line="264" w:lineRule="auto"/>
        <w:ind w:left="288"/>
      </w:pPr>
      <w:r>
        <w:rPr>
          <w:rFonts w:ascii="Calibri" w:hAnsi="Calibri" w:cs="Calibri"/>
          <w:b/>
          <w:i w:val="0"/>
          <w:color w:val="2D3748"/>
          <w:sz w:val="19"/>
        </w:rPr>
        <w:t xml:space="preserve">American Airlines: </w:t>
      </w:r>
      <w:r>
        <w:rPr>
          <w:rFonts w:ascii="Calibri" w:hAnsi="Calibri" w:cs="Calibri"/>
          <w:b w:val="0"/>
          <w:i w:val="0"/>
          <w:color w:val="2D3748"/>
          <w:sz w:val="19"/>
        </w:rPr>
        <w:t>Stood up multiple Copilot AI agents across compliance, Q&amp;A, marketing, and investor relations; Cargo compliance agent helps avoid potential $10K-per-shipment regulatory fines; office hours sessions reaching 100+ attendees.</w:t>
      </w:r>
    </w:p>
    <w:p>
      <w:pPr>
        <w:pStyle w:val="ListBullet"/>
        <w:spacing w:before="0" w:after="20" w:line="264" w:lineRule="auto"/>
        <w:ind w:left="288"/>
      </w:pPr>
      <w:r>
        <w:rPr>
          <w:rFonts w:ascii="Calibri" w:hAnsi="Calibri" w:cs="Calibri"/>
          <w:b/>
          <w:i w:val="0"/>
          <w:color w:val="2D3748"/>
          <w:sz w:val="19"/>
        </w:rPr>
        <w:t xml:space="preserve">Goodyear: </w:t>
      </w:r>
      <w:r>
        <w:rPr>
          <w:rFonts w:ascii="Calibri" w:hAnsi="Calibri" w:cs="Calibri"/>
          <w:b w:val="0"/>
          <w:i w:val="0"/>
          <w:color w:val="2D3748"/>
          <w:sz w:val="19"/>
        </w:rPr>
        <w:t>Led $363K Power Automate competitive displacement of legacy RPA — published Microsoft Win Wire and SAP-connector foothold.</w:t>
      </w:r>
    </w:p>
    <w:p>
      <w:pPr>
        <w:pStyle w:val="ListBullet"/>
        <w:spacing w:before="0" w:after="20" w:line="264" w:lineRule="auto"/>
        <w:ind w:left="288"/>
      </w:pPr>
      <w:r>
        <w:rPr>
          <w:rFonts w:ascii="Calibri" w:hAnsi="Calibri" w:cs="Calibri"/>
          <w:b/>
          <w:i w:val="0"/>
          <w:color w:val="2D3748"/>
          <w:sz w:val="19"/>
        </w:rPr>
        <w:t xml:space="preserve">Enterprise Mobility / FedEx: </w:t>
      </w:r>
      <w:r>
        <w:rPr>
          <w:rFonts w:ascii="Calibri" w:hAnsi="Calibri" w:cs="Calibri"/>
          <w:b w:val="0"/>
          <w:i w:val="0"/>
          <w:color w:val="2D3748"/>
          <w:sz w:val="19"/>
        </w:rPr>
        <w:t>Catalyzed $700K+ Fleet Management data initiative; delivered FedEx executive briefing yielding 8 follow-on AI marketing initiatives including a 'Brand Copilot' agent.</w:t>
      </w:r>
    </w:p>
    <w:p>
      <w:pPr>
        <w:spacing w:before="60" w:after="20" w:line="264" w:lineRule="auto"/>
      </w:pPr>
      <w:r>
        <w:rPr>
          <w:rFonts w:ascii="Calibri" w:hAnsi="Calibri" w:cs="Calibri"/>
          <w:b/>
          <w:i w:val="0"/>
          <w:color w:val="1A365D"/>
          <w:sz w:val="20"/>
        </w:rPr>
        <w:t xml:space="preserve">Sogeti, Part of Capgemini — </w:t>
      </w:r>
      <w:r>
        <w:rPr>
          <w:rFonts w:ascii="Calibri" w:hAnsi="Calibri" w:cs="Calibri"/>
          <w:b w:val="0"/>
          <w:i w:val="0"/>
          <w:color w:val="2D3748"/>
          <w:sz w:val="20"/>
        </w:rPr>
        <w:t>Vice President, Iowa &amp; Nebraska  •  Des Moines, IA  •  2018 – 2022</w:t>
      </w:r>
    </w:p>
    <w:p>
      <w:pPr>
        <w:spacing w:before="0" w:after="40" w:line="269" w:lineRule="auto"/>
        <w:jc w:val="left"/>
      </w:pPr>
      <w:r>
        <w:rPr>
          <w:rFonts w:ascii="Calibri" w:hAnsi="Calibri" w:cs="Calibri"/>
          <w:b w:val="0"/>
          <w:i w:val="0"/>
          <w:color w:val="2D3748"/>
          <w:sz w:val="19"/>
        </w:rPr>
        <w:t>Owned $20M+ multi-state P&amp;L for the Capgemini-owned global engineering services brand. Led 150-person consulting practice and 5-person business-development team across Cloud, Cybersecurity, Digital Manufacturing, and QA.</w:t>
      </w:r>
    </w:p>
    <w:p>
      <w:pPr>
        <w:spacing w:before="60" w:after="20" w:line="264" w:lineRule="auto"/>
      </w:pPr>
      <w:r>
        <w:rPr>
          <w:rFonts w:ascii="Calibri" w:hAnsi="Calibri" w:cs="Calibri"/>
          <w:b/>
          <w:i w:val="0"/>
          <w:color w:val="1A365D"/>
          <w:sz w:val="20"/>
        </w:rPr>
        <w:t xml:space="preserve">Quilogy (formerly Solutech) — </w:t>
      </w:r>
      <w:r>
        <w:rPr>
          <w:rFonts w:ascii="Calibri" w:hAnsi="Calibri" w:cs="Calibri"/>
          <w:b w:val="0"/>
          <w:i w:val="0"/>
          <w:color w:val="2D3748"/>
          <w:sz w:val="20"/>
        </w:rPr>
        <w:t>Six progressive executive roles  •  St. Charles, MO / Nashville, TN / Des Moines, IA  •  1996 – 2006</w:t>
      </w:r>
    </w:p>
    <w:p>
      <w:pPr>
        <w:spacing w:before="0" w:after="40" w:line="269" w:lineRule="auto"/>
        <w:jc w:val="left"/>
      </w:pPr>
      <w:r>
        <w:rPr>
          <w:rFonts w:ascii="Calibri" w:hAnsi="Calibri" w:cs="Calibri"/>
          <w:b w:val="0"/>
          <w:i w:val="0"/>
          <w:color w:val="2D3748"/>
          <w:sz w:val="19"/>
        </w:rPr>
        <w:t>Helped scale Quilogy $7M → $40M over a decade, reporting directly to the CEO for 9 of 10 years. Launched Nashville office $0 → $3.5M (1 to 28 employees in 17 months); reversed negative growth at flagship $9.5M, 50-consultant St. Louis practice; delivered 33% of firm profit FY 2005 as VP CRM/ERP National Practice; led $40M sales budget across 12 locations as VP Sales &amp; Marketing. Microsoft Partner Advisory Council member.</w:t>
      </w:r>
    </w:p>
    <w:p>
      <w:pPr>
        <w:spacing w:before="60" w:after="20" w:line="264" w:lineRule="auto"/>
      </w:pPr>
      <w:r>
        <w:rPr>
          <w:rFonts w:ascii="Calibri" w:hAnsi="Calibri" w:cs="Calibri"/>
          <w:b/>
          <w:i w:val="0"/>
          <w:color w:val="1A365D"/>
          <w:sz w:val="20"/>
        </w:rPr>
        <w:t xml:space="preserve">Earlier Leadership (1992 – 2016) — </w:t>
      </w:r>
      <w:r>
        <w:rPr>
          <w:rFonts w:ascii="Calibri" w:hAnsi="Calibri" w:cs="Calibri"/>
          <w:b w:val="0"/>
          <w:i w:val="0"/>
          <w:color w:val="2D3748"/>
          <w:sz w:val="20"/>
        </w:rPr>
      </w:r>
    </w:p>
    <w:p>
      <w:pPr>
        <w:spacing w:before="0" w:after="60" w:line="269" w:lineRule="auto"/>
        <w:jc w:val="left"/>
      </w:pPr>
      <w:r>
        <w:rPr>
          <w:rFonts w:ascii="Calibri" w:hAnsi="Calibri" w:cs="Calibri"/>
          <w:b w:val="0"/>
          <w:i w:val="0"/>
          <w:color w:val="2D3748"/>
          <w:sz w:val="19"/>
        </w:rPr>
        <w:t>VP of Innovation — Health Outcomes Sciences (precision medicine SaaS; ePRISM® launch to 10+ marquee U.S. healthcare facilities)  •  Director, Cloud Integration Services — LightEdge Solutions (AWS/Azure/GCP integration with private cloud)  •  President — ThisSpace, Inc.  •  Director, Microsoft Practice — Sogeti USA  •  Director, Professional Services Central US — MicroStrategy (33% YoY services growth, 35%+ GM)  •  Director, Professional Services — Hershey Systems  •  Sr Account Manager / Principal Consultant — Pcubed  •  Consultant — McGladrey &amp; Pullen  •  Systems Analyst — The Principal Financial Group (Fortune 100; mainframe-to-PC underwriting analytics).</w:t>
      </w:r>
    </w:p>
    <w:p>
      <w:pPr>
        <w:spacing w:before="80" w:after="20" w:line="269" w:lineRule="auto"/>
        <w:jc w:val="left"/>
        <w:pBdr>
          <w:bottom w:val="single" w:sz="6" w:space="1" w:color="1A365D"/>
        </w:pBdr>
      </w:pPr>
      <w:r>
        <w:rPr>
          <w:rFonts w:ascii="Cambria" w:hAnsi="Cambria" w:cs="Cambria"/>
          <w:b/>
          <w:i w:val="0"/>
          <w:caps/>
          <w:color w:val="1A365D"/>
          <w:sz w:val="22"/>
        </w:rPr>
        <w:t>Education &amp; Credentials</w:t>
      </w:r>
    </w:p>
    <w:p>
      <w:pPr>
        <w:spacing w:before="0" w:after="40" w:line="283" w:lineRule="auto"/>
      </w:pPr>
      <w:r>
        <w:rPr>
          <w:rFonts w:ascii="Calibri" w:hAnsi="Calibri" w:cs="Calibri"/>
          <w:b/>
          <w:i w:val="0"/>
          <w:color w:val="2D3748"/>
          <w:sz w:val="19"/>
        </w:rPr>
        <w:t>MBA</w:t>
      </w:r>
      <w:r>
        <w:rPr>
          <w:rFonts w:ascii="Calibri" w:hAnsi="Calibri" w:cs="Calibri"/>
          <w:b w:val="0"/>
          <w:i w:val="0"/>
          <w:color w:val="2D3748"/>
          <w:sz w:val="19"/>
        </w:rPr>
        <w:t xml:space="preserve">, Washington University Olin Business School (Executive MBA, 2006; Global Tycoon Strategy Winner)  •  </w:t>
      </w:r>
      <w:r>
        <w:rPr>
          <w:rFonts w:ascii="Calibri" w:hAnsi="Calibri" w:cs="Calibri"/>
          <w:b/>
          <w:i w:val="0"/>
          <w:color w:val="2D3748"/>
          <w:sz w:val="19"/>
        </w:rPr>
        <w:t>Executive Leadership Residency</w:t>
      </w:r>
      <w:r>
        <w:rPr>
          <w:rFonts w:ascii="Calibri" w:hAnsi="Calibri" w:cs="Calibri"/>
          <w:b w:val="0"/>
          <w:i w:val="0"/>
          <w:color w:val="2D3748"/>
          <w:sz w:val="19"/>
        </w:rPr>
        <w:t xml:space="preserve">, Fudan University, Shanghai (Doing Business in China, 2006)  •  </w:t>
      </w:r>
      <w:r>
        <w:rPr>
          <w:rFonts w:ascii="Calibri" w:hAnsi="Calibri" w:cs="Calibri"/>
          <w:b/>
          <w:i w:val="0"/>
          <w:color w:val="2D3748"/>
          <w:sz w:val="19"/>
        </w:rPr>
        <w:t>BS, Business Administration &amp; Computer Science</w:t>
      </w:r>
      <w:r>
        <w:rPr>
          <w:rFonts w:ascii="Calibri" w:hAnsi="Calibri" w:cs="Calibri"/>
          <w:b w:val="0"/>
          <w:i w:val="0"/>
          <w:color w:val="2D3748"/>
          <w:sz w:val="19"/>
        </w:rPr>
        <w:t xml:space="preserve"> (Double Major, Summa Cum Laude), Morningside College (1992)  •  </w:t>
      </w:r>
      <w:r>
        <w:rPr>
          <w:rFonts w:ascii="Calibri" w:hAnsi="Calibri" w:cs="Calibri"/>
          <w:b/>
          <w:i w:val="0"/>
          <w:color w:val="2D3748"/>
          <w:sz w:val="19"/>
        </w:rPr>
        <w:t>13 active certifications</w:t>
      </w:r>
      <w:r>
        <w:rPr>
          <w:rFonts w:ascii="Calibri" w:hAnsi="Calibri" w:cs="Calibri"/>
          <w:b w:val="0"/>
          <w:i w:val="0"/>
          <w:color w:val="2D3748"/>
          <w:sz w:val="19"/>
        </w:rPr>
        <w:t xml:space="preserve"> including Microsoft AI Transformation Leader, AI Business Professional, Power Platform, Azure, Dynamics 365, AWS, SAFe.</w:t>
      </w:r>
    </w:p>
    <w:p>
      <w:pPr>
        <w:spacing w:before="80" w:after="0" w:line="276" w:lineRule="auto"/>
        <w:ind w:left="288"/>
        <w:pBdr>
          <w:left w:val="single" w:sz="12" w:space="6" w:color="1A365D"/>
        </w:pBdr>
      </w:pPr>
      <w:r>
        <w:rPr>
          <w:rFonts w:ascii="Calibri" w:hAnsi="Calibri" w:cs="Calibri"/>
          <w:b w:val="0"/>
          <w:i/>
          <w:color w:val="2D3748"/>
          <w:sz w:val="19"/>
        </w:rPr>
        <w:t xml:space="preserve">“He played a significant role in Quilogy's success over the past 10 years.”  </w:t>
      </w:r>
      <w:r>
        <w:rPr>
          <w:rFonts w:ascii="Calibri" w:hAnsi="Calibri" w:cs="Calibri"/>
          <w:b w:val="0"/>
          <w:i w:val="0"/>
          <w:color w:val="718096"/>
          <w:sz w:val="18"/>
        </w:rPr>
        <w:t>— Randy Schilling, President &amp; CEO, Quilogy</w:t>
      </w:r>
    </w:p>
    <w:sectPr w:rsidR="00FC693F" w:rsidRPr="0006063C" w:rsidSect="00034616">
      <w:pgSz w:w="12240" w:h="15840"/>
      <w:pgMar w:top="567" w:right="794" w:bottom="567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D3748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