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top"/>
          </w:tcPr>
          <w:p>
            <w:pPr>
              <w:spacing w:after="0" w:before="120"/>
              <w:jc w:val="center"/>
            </w:pPr>
            <w:r>
              <w:rPr>
                <w:rFonts w:ascii="Arial" w:cs="Arial" w:eastAsia="Arial" w:hAnsi="Arial"/>
                <w:b/>
                <w:bCs/>
                <w:i w:val="false"/>
                <w:iCs w:val="false"/>
                <w:color w:val="1B98E0"/>
                <w:sz w:val="18"/>
                <w:szCs w:val="18"/>
              </w:rPr>
              <w:t xml:space="preserve">TECHNICAL CASE STUDY</w:t>
            </w:r>
          </w:p>
          <w:p>
            <w:pPr>
              <w:spacing w:after="60" w:before="60"/>
              <w:jc w:val="center"/>
            </w:pPr>
            <w:r>
              <w:rPr>
                <w:rFonts w:ascii="Arial" w:cs="Arial" w:eastAsia="Arial" w:hAnsi="Arial"/>
                <w:b/>
                <w:bCs/>
                <w:color w:val="FFFFFF"/>
                <w:sz w:val="72"/>
                <w:szCs w:val="72"/>
              </w:rPr>
              <w:t xml:space="preserve">ZYFER</w:t>
            </w:r>
          </w:p>
          <w:p>
            <w:pPr>
              <w:spacing w:after="0" w:before="0"/>
              <w:jc w:val="center"/>
            </w:pPr>
            <w:r>
              <w:rPr>
                <w:rFonts w:ascii="Arial" w:cs="Arial" w:eastAsia="Arial" w:hAnsi="Arial"/>
                <w:b w:val="false"/>
                <w:bCs w:val="false"/>
                <w:i w:val="false"/>
                <w:iCs w:val="false"/>
                <w:color w:val="E8F4FD"/>
                <w:sz w:val="26"/>
                <w:szCs w:val="26"/>
              </w:rPr>
              <w:t xml:space="preserve">Zero-Trust Synthetic Forensics Engine</w:t>
            </w:r>
          </w:p>
          <w:p>
            <w:pPr>
              <w:spacing w:after="0" w:before="60"/>
              <w:jc w:val="center"/>
            </w:pPr>
            <w:r>
              <w:rPr>
                <w:rFonts w:ascii="Arial" w:cs="Arial" w:eastAsia="Arial" w:hAnsi="Arial"/>
                <w:b w:val="false"/>
                <w:bCs w:val="false"/>
                <w:i w:val="false"/>
                <w:iCs w:val="false"/>
                <w:color w:val="1B98E0"/>
                <w:sz w:val="20"/>
                <w:szCs w:val="20"/>
              </w:rPr>
              <w:t xml:space="preserve">AI-Native Deepfake Detection &amp; Identity Verification Platform</w:t>
            </w:r>
          </w:p>
          <w:p>
            <w:pPr>
              <w:spacing w:after="120" w:before="80"/>
              <w:jc w:val="center"/>
            </w:pPr>
            <w:r>
              <w:rPr>
                <w:rFonts w:ascii="Arial" w:cs="Arial" w:eastAsia="Arial" w:hAnsi="Arial"/>
                <w:b w:val="false"/>
                <w:bCs w:val="false"/>
                <w:i w:val="false"/>
                <w:iCs w:val="false"/>
                <w:color w:val="E8F4FD"/>
                <w:sz w:val="18"/>
                <w:szCs w:val="18"/>
              </w:rPr>
              <w:t xml:space="preserve">Architect &amp; Lead Developer: John McKenney  ·  2024–2025</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3060"/>
      </w:tblGrid>
      <w:tr>
        <w:tc>
          <w:tcPr>
            <w:tcW w:type="dxa" w:w="234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60"/>
              <w:jc w:val="center"/>
            </w:pPr>
            <w:r>
              <w:rPr>
                <w:rFonts w:ascii="Arial" w:cs="Arial" w:eastAsia="Arial" w:hAnsi="Arial"/>
                <w:b/>
                <w:bCs/>
                <w:i w:val="false"/>
                <w:iCs w:val="false"/>
                <w:color w:val="1B98E0"/>
                <w:sz w:val="32"/>
                <w:szCs w:val="32"/>
              </w:rPr>
              <w:t xml:space="preserve">99.9%</w:t>
            </w:r>
          </w:p>
          <w:p>
            <w:pPr>
              <w:spacing w:after="60" w:before="0"/>
              <w:jc w:val="center"/>
            </w:pPr>
            <w:r>
              <w:rPr>
                <w:rFonts w:ascii="Arial" w:cs="Arial" w:eastAsia="Arial" w:hAnsi="Arial"/>
                <w:b w:val="false"/>
                <w:bCs w:val="false"/>
                <w:i w:val="false"/>
                <w:iCs w:val="false"/>
                <w:color w:val="546E7A"/>
                <w:sz w:val="17"/>
                <w:szCs w:val="17"/>
              </w:rPr>
              <w:t xml:space="preserve">Detection Rate</w:t>
            </w:r>
          </w:p>
        </w:tc>
        <w:tc>
          <w:tcPr>
            <w:tcW w:type="dxa" w:w="234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60"/>
              <w:jc w:val="center"/>
            </w:pPr>
            <w:r>
              <w:rPr>
                <w:rFonts w:ascii="Arial" w:cs="Arial" w:eastAsia="Arial" w:hAnsi="Arial"/>
                <w:b/>
                <w:bCs/>
                <w:i w:val="false"/>
                <w:iCs w:val="false"/>
                <w:color w:val="1B98E0"/>
                <w:sz w:val="32"/>
                <w:szCs w:val="32"/>
              </w:rPr>
              <w:t xml:space="preserve">&lt;50 ms</w:t>
            </w:r>
          </w:p>
          <w:p>
            <w:pPr>
              <w:spacing w:after="60" w:before="0"/>
              <w:jc w:val="center"/>
            </w:pPr>
            <w:r>
              <w:rPr>
                <w:rFonts w:ascii="Arial" w:cs="Arial" w:eastAsia="Arial" w:hAnsi="Arial"/>
                <w:b w:val="false"/>
                <w:bCs w:val="false"/>
                <w:i w:val="false"/>
                <w:iCs w:val="false"/>
                <w:color w:val="546E7A"/>
                <w:sz w:val="17"/>
                <w:szCs w:val="17"/>
              </w:rPr>
              <w:t xml:space="preserve">Response Latency</w:t>
            </w:r>
          </w:p>
        </w:tc>
        <w:tc>
          <w:tcPr>
            <w:tcW w:type="dxa" w:w="234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60"/>
              <w:jc w:val="center"/>
            </w:pPr>
            <w:r>
              <w:rPr>
                <w:rFonts w:ascii="Arial" w:cs="Arial" w:eastAsia="Arial" w:hAnsi="Arial"/>
                <w:b/>
                <w:bCs/>
                <w:i w:val="false"/>
                <w:iCs w:val="false"/>
                <w:color w:val="1B98E0"/>
                <w:sz w:val="32"/>
                <w:szCs w:val="32"/>
              </w:rPr>
              <w:t xml:space="preserve">4</w:t>
            </w:r>
          </w:p>
          <w:p>
            <w:pPr>
              <w:spacing w:after="60" w:before="0"/>
              <w:jc w:val="center"/>
            </w:pPr>
            <w:r>
              <w:rPr>
                <w:rFonts w:ascii="Arial" w:cs="Arial" w:eastAsia="Arial" w:hAnsi="Arial"/>
                <w:b w:val="false"/>
                <w:bCs w:val="false"/>
                <w:i w:val="false"/>
                <w:iCs w:val="false"/>
                <w:color w:val="546E7A"/>
                <w:sz w:val="17"/>
                <w:szCs w:val="17"/>
              </w:rPr>
              <w:t xml:space="preserve">Modalities Covered</w:t>
            </w:r>
          </w:p>
        </w:tc>
        <w:tc>
          <w:tcPr>
            <w:tcW w:type="dxa" w:w="306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60"/>
              <w:jc w:val="left"/>
            </w:pPr>
            <w:r>
              <w:rPr>
                <w:rFonts w:ascii="Arial" w:cs="Arial" w:eastAsia="Arial" w:hAnsi="Arial"/>
                <w:b/>
                <w:bCs/>
                <w:i w:val="false"/>
                <w:iCs w:val="false"/>
                <w:color w:val="0D1B2A"/>
                <w:sz w:val="20"/>
                <w:szCs w:val="20"/>
              </w:rPr>
              <w:t xml:space="preserve">NIST AI RMF 1.0</w:t>
            </w:r>
          </w:p>
          <w:p>
            <w:pPr>
              <w:spacing w:after="0" w:before="0"/>
              <w:jc w:val="left"/>
            </w:pPr>
            <w:r>
              <w:rPr>
                <w:rFonts w:ascii="Arial" w:cs="Arial" w:eastAsia="Arial" w:hAnsi="Arial"/>
                <w:b w:val="false"/>
                <w:bCs w:val="false"/>
                <w:i w:val="false"/>
                <w:iCs w:val="false"/>
                <w:color w:val="0D1B2A"/>
                <w:sz w:val="20"/>
                <w:szCs w:val="20"/>
              </w:rPr>
              <w:t xml:space="preserve">ISO/IEC 42001:2023</w:t>
            </w:r>
          </w:p>
          <w:p>
            <w:pPr>
              <w:spacing w:after="60" w:before="0"/>
              <w:jc w:val="left"/>
            </w:pPr>
            <w:r>
              <w:rPr>
                <w:rFonts w:ascii="Arial" w:cs="Arial" w:eastAsia="Arial" w:hAnsi="Arial"/>
                <w:b w:val="false"/>
                <w:bCs w:val="false"/>
                <w:i w:val="false"/>
                <w:iCs w:val="false"/>
                <w:color w:val="0D1B2A"/>
                <w:sz w:val="20"/>
                <w:szCs w:val="20"/>
              </w:rPr>
              <w:t xml:space="preserve">NIST SP 800-207 (Zero Trust)</w:t>
            </w:r>
          </w:p>
        </w:tc>
      </w:tr>
    </w:tbl>
    <w:p>
      <w:pPr>
        <w:pBdr>
          <w:bottom w:val="single" w:color="CBD5E1" w:sz="4" w:space="1"/>
        </w:pBdr>
        <w:spacing w:after="160" w:before="160"/>
      </w:pPr>
      <w:r>
        <w:t xml:space="preserve"/>
      </w:r>
    </w:p>
    <w:p>
      <w:pPr>
        <w:pBdr>
          <w:bottom w:val="single" w:color="1B98E0" w:sz="12" w:space="4"/>
        </w:pBdr>
        <w:spacing w:after="80" w:before="320"/>
      </w:pPr>
      <w:r>
        <w:rPr>
          <w:rFonts w:ascii="Arial" w:cs="Arial" w:eastAsia="Arial" w:hAnsi="Arial"/>
          <w:b/>
          <w:bCs/>
          <w:color w:val="1B98E0"/>
          <w:spacing w:val="40"/>
          <w:sz w:val="20"/>
          <w:szCs w:val="20"/>
        </w:rPr>
        <w:t xml:space="preserve">01  —  EXECUTIVE SUMMARY</w:t>
      </w:r>
    </w:p>
    <w:p>
      <w:pPr>
        <w:spacing w:after="80" w:before="200"/>
      </w:pPr>
      <w:r>
        <w:rPr>
          <w:rFonts w:ascii="Arial" w:cs="Arial" w:eastAsia="Arial" w:hAnsi="Arial"/>
          <w:b/>
          <w:bCs/>
          <w:color w:val="0D1B2A"/>
          <w:sz w:val="26"/>
          <w:szCs w:val="26"/>
        </w:rPr>
        <w:t xml:space="preserve">The Problem: AI-Powered Impersonation is Outpacing Defenses</w:t>
      </w:r>
    </w:p>
    <w:p>
      <w:pPr>
        <w:spacing w:after="100" w:before="0" w:line="276"/>
        <w:jc w:val="left"/>
      </w:pPr>
      <w:r>
        <w:rPr>
          <w:rFonts w:ascii="Arial" w:cs="Arial" w:eastAsia="Arial" w:hAnsi="Arial"/>
          <w:b w:val="false"/>
          <w:bCs w:val="false"/>
          <w:i w:val="false"/>
          <w:iCs w:val="false"/>
          <w:color w:val="0D1B2A"/>
          <w:sz w:val="22"/>
          <w:szCs w:val="22"/>
        </w:rPr>
        <w:t xml:space="preserve">Synthetic media technology has advanced to a point where AI-generated voice, video, and behavioral signals can convincingly impersonate executives, employees, and trusted third parties. Traditional identity verification — relying on voice recognition, video confirmation, and behavioral cues — is no longer sufficient. Enterprises face a new attack surface with no standardized countermeasure.</w:t>
      </w:r>
    </w:p>
    <w:p>
      <w:pPr>
        <w:spacing w:after="100" w:before="0" w:line="276"/>
        <w:jc w:val="left"/>
      </w:pPr>
      <w:r>
        <w:rPr>
          <w:rFonts w:ascii="Arial" w:cs="Arial" w:eastAsia="Arial" w:hAnsi="Arial"/>
          <w:b w:val="false"/>
          <w:bCs w:val="false"/>
          <w:i w:val="false"/>
          <w:iCs w:val="false"/>
          <w:color w:val="0D1B2A"/>
          <w:sz w:val="22"/>
          <w:szCs w:val="22"/>
        </w:rPr>
        <w:t xml:space="preserve">High-profile deepfake fraud incidents have resulted in multi-million-dollar losses. A 2024 incident involving a multinational firm saw employees transfer $25 million after attending a video call populated entirely by AI-generated executives. Existing security perimeters were not designed for this threat vector.</w:t>
      </w:r>
    </w:p>
    <w:p>
      <w:pPr>
        <w:spacing w:after="80" w:before="200"/>
      </w:pPr>
      <w:r>
        <w:rPr>
          <w:rFonts w:ascii="Arial" w:cs="Arial" w:eastAsia="Arial" w:hAnsi="Arial"/>
          <w:b/>
          <w:bCs/>
          <w:color w:val="0D1B2A"/>
          <w:sz w:val="26"/>
          <w:szCs w:val="26"/>
        </w:rPr>
        <w:t xml:space="preserve">The Solution: ZYFER</w:t>
      </w:r>
    </w:p>
    <w:p>
      <w:pPr>
        <w:spacing w:after="100" w:before="0" w:line="276"/>
        <w:jc w:val="left"/>
      </w:pPr>
      <w:r>
        <w:rPr>
          <w:rFonts w:ascii="Arial" w:cs="Arial" w:eastAsia="Arial" w:hAnsi="Arial"/>
          <w:b w:val="false"/>
          <w:bCs w:val="false"/>
          <w:i w:val="false"/>
          <w:iCs w:val="false"/>
          <w:color w:val="0D1B2A"/>
          <w:sz w:val="22"/>
          <w:szCs w:val="22"/>
        </w:rPr>
        <w:t xml:space="preserve">ZYFER (Zero-Trust Synthetic Forensics Engine for Reinforcement) is a cloud-native cybersecurity framework purpose-built to detect, flag, and mitigate AI-generated impersonation attacks in real time. It applies zero-trust architecture across all communication channels — requiring per-session verification regardless of prior authentication — and uses a multi-layer neural detection engine operating across voice, video, and behavioral modalities simultaneously.</w:t>
      </w:r>
    </w:p>
    <w:p>
      <w:pPr>
        <w:spacing w:after="100" w:before="0" w:line="276"/>
        <w:jc w:val="left"/>
      </w:pPr>
      <w:r>
        <w:rPr>
          <w:rFonts w:ascii="Arial" w:cs="Arial" w:eastAsia="Arial" w:hAnsi="Arial"/>
          <w:b w:val="false"/>
          <w:bCs w:val="false"/>
          <w:i w:val="false"/>
          <w:iCs w:val="false"/>
          <w:color w:val="0D1B2A"/>
          <w:sz w:val="22"/>
          <w:szCs w:val="22"/>
        </w:rPr>
        <w:t xml:space="preserve">ZYFER is framework-aligned from the ground up: its design maps directly to NIST AI RMF 1.0 core functions, ISO/IEC 42001:2023 AI management requirements, and NIST SP 800-207 Zero Trust Architecture principles. Explainable AI (XAI) integration via LIME and SHAP ensures every detection decision is auditable and defensible.</w:t>
      </w:r>
    </w:p>
    <w:p>
      <w:pPr>
        <w:pBdr>
          <w:bottom w:val="single" w:color="CBD5E1" w:sz="4" w:space="1"/>
        </w:pBdr>
        <w:spacing w:after="160" w:before="160"/>
      </w:pPr>
      <w:r>
        <w:t xml:space="preserve"/>
      </w:r>
    </w:p>
    <w:p>
      <w:pPr>
        <w:pBdr>
          <w:bottom w:val="single" w:color="1B98E0" w:sz="12" w:space="4"/>
        </w:pBdr>
        <w:spacing w:after="80" w:before="320"/>
      </w:pPr>
      <w:r>
        <w:rPr>
          <w:rFonts w:ascii="Arial" w:cs="Arial" w:eastAsia="Arial" w:hAnsi="Arial"/>
          <w:b/>
          <w:bCs/>
          <w:color w:val="1B98E0"/>
          <w:spacing w:val="40"/>
          <w:sz w:val="20"/>
          <w:szCs w:val="20"/>
        </w:rPr>
        <w:t xml:space="preserve">02  —  THREAT LANDSCAPE &amp; BUSINESS CONTEXT</w:t>
      </w:r>
    </w:p>
    <w:p>
      <w:pPr>
        <w:spacing w:after="80" w:before="200"/>
      </w:pPr>
      <w:r>
        <w:rPr>
          <w:rFonts w:ascii="Arial" w:cs="Arial" w:eastAsia="Arial" w:hAnsi="Arial"/>
          <w:b/>
          <w:bCs/>
          <w:color w:val="0D1B2A"/>
          <w:sz w:val="26"/>
          <w:szCs w:val="26"/>
        </w:rPr>
        <w:t xml:space="preserve">Attack Vectors Addressed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3600"/>
      </w:tblGrid>
      <w:tr>
        <w:trPr>
          <w:tblHeader/>
        </w:trPr>
        <w:tc>
          <w:tcPr>
            <w:tcW w:type="dxa" w:w="240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Attack Type</w:t>
            </w:r>
          </w:p>
        </w:tc>
        <w:tc>
          <w:tcPr>
            <w:tcW w:type="dxa" w:w="408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Description</w:t>
            </w:r>
          </w:p>
        </w:tc>
        <w:tc>
          <w:tcPr>
            <w:tcW w:type="dxa" w:w="360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ZYFER Response</w:t>
            </w:r>
          </w:p>
        </w:tc>
      </w:tr>
      <w:t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Voice Deepfake</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AI-cloned voice used in vishing, fake executive calls, or VoIP impersonation</w:t>
            </w:r>
          </w:p>
        </w:tc>
        <w:tc>
          <w:tcPr>
            <w:tcW w:type="dxa" w:w="360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Spectral frequency analysis + vocal biomarker deviation scoring</w:t>
            </w:r>
          </w:p>
        </w:tc>
      </w:tr>
      <w:t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Video Deepfake</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Synthetic face swap in video conferencing; executive impersonation</w:t>
            </w:r>
          </w:p>
        </w:tc>
        <w:tc>
          <w:tcPr>
            <w:tcW w:type="dxa" w:w="360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Micro-expression analysis + temporal frame consistency verification</w:t>
            </w:r>
          </w:p>
        </w:tc>
      </w:tr>
      <w:t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Behavioral Manipulation</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AI-driven social engineering mimicking known user interaction patterns</w:t>
            </w:r>
          </w:p>
        </w:tc>
        <w:tc>
          <w:tcPr>
            <w:tcW w:type="dxa" w:w="360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Keystroke dynamics, cognitive load indicators, session behavior fingerprinting</w:t>
            </w:r>
          </w:p>
        </w:tc>
      </w:tr>
      <w:t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Synthetic Identity Phishing</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Composite synthetic identities used in spear-phishing and account takeover</w:t>
            </w:r>
          </w:p>
        </w:tc>
        <w:tc>
          <w:tcPr>
            <w:tcW w:type="dxa" w:w="360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Cross-modal identity correlation engine with reinforcement learning on novel patterns</w:t>
            </w:r>
          </w:p>
        </w:tc>
      </w:tr>
    </w:tbl>
    <w:p>
      <w:pPr>
        <w:pBdr>
          <w:bottom w:val="single" w:color="CBD5E1" w:sz="4" w:space="1"/>
        </w:pBdr>
        <w:spacing w:after="160" w:before="160"/>
      </w:pPr>
      <w:r>
        <w:t xml:space="preserve"/>
      </w:r>
    </w:p>
    <w:p>
      <w:pPr>
        <w:pBdr>
          <w:bottom w:val="single" w:color="1B98E0" w:sz="12" w:space="4"/>
        </w:pBdr>
        <w:spacing w:after="80" w:before="320"/>
      </w:pPr>
      <w:r>
        <w:rPr>
          <w:rFonts w:ascii="Arial" w:cs="Arial" w:eastAsia="Arial" w:hAnsi="Arial"/>
          <w:b/>
          <w:bCs/>
          <w:color w:val="1B98E0"/>
          <w:spacing w:val="40"/>
          <w:sz w:val="20"/>
          <w:szCs w:val="20"/>
        </w:rPr>
        <w:t xml:space="preserve">03  —  SYSTEM ARCHITECTURE</w:t>
      </w:r>
    </w:p>
    <w:p>
      <w:pPr>
        <w:spacing w:after="80" w:before="200"/>
      </w:pPr>
      <w:r>
        <w:rPr>
          <w:rFonts w:ascii="Arial" w:cs="Arial" w:eastAsia="Arial" w:hAnsi="Arial"/>
          <w:b/>
          <w:bCs/>
          <w:color w:val="0D1B2A"/>
          <w:sz w:val="26"/>
          <w:szCs w:val="26"/>
        </w:rPr>
        <w:t xml:space="preserve">Three-Layer Defense Matrix</w:t>
      </w:r>
    </w:p>
    <w:p>
      <w:pPr>
        <w:spacing w:after="100" w:before="0" w:line="276"/>
        <w:jc w:val="left"/>
      </w:pPr>
      <w:r>
        <w:rPr>
          <w:rFonts w:ascii="Arial" w:cs="Arial" w:eastAsia="Arial" w:hAnsi="Arial"/>
          <w:b w:val="false"/>
          <w:bCs w:val="false"/>
          <w:i w:val="false"/>
          <w:iCs w:val="false"/>
          <w:color w:val="0D1B2A"/>
          <w:sz w:val="22"/>
          <w:szCs w:val="22"/>
        </w:rPr>
        <w:t xml:space="preserve">ZYFER's modular architecture is designed for seamless enterprise integration with no single point of failure. Each layer operates independently and feeds enriched signals into the next.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660"/>
        <w:gridCol w:w="3000"/>
      </w:tblGrid>
      <w:tr>
        <w:trPr>
          <w:tblHeader/>
        </w:trPr>
        <w:tc>
          <w:tcPr>
            <w:tcW w:type="dxa" w:w="60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center"/>
            </w:pPr>
            <w:r>
              <w:rPr>
                <w:rFonts w:ascii="Arial" w:cs="Arial" w:eastAsia="Arial" w:hAnsi="Arial"/>
                <w:b/>
                <w:bCs/>
                <w:i w:val="false"/>
                <w:iCs w:val="false"/>
                <w:color w:val="FFFFFF"/>
                <w:sz w:val="20"/>
                <w:szCs w:val="20"/>
              </w:rPr>
              <w:t xml:space="preserve">Layer</w:t>
            </w:r>
          </w:p>
        </w:tc>
        <w:tc>
          <w:tcPr>
            <w:tcW w:type="dxa" w:w="210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Component</w:t>
            </w:r>
          </w:p>
        </w:tc>
        <w:tc>
          <w:tcPr>
            <w:tcW w:type="dxa" w:w="366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FFFFFF"/>
                <w:sz w:val="20"/>
                <w:szCs w:val="20"/>
              </w:rPr>
              <w:t xml:space="preserve">Function</w:t>
            </w:r>
          </w:p>
        </w:tc>
        <w:tc>
          <w:tcPr>
            <w:tcW w:type="dxa" w:w="300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FFFFFF"/>
                <w:sz w:val="19"/>
                <w:szCs w:val="19"/>
              </w:rPr>
              <w:t xml:space="preserve">Technologies</w:t>
            </w:r>
          </w:p>
        </w:tc>
      </w:tr>
      <w:tr>
        <w:trPr>
          <w:tblHeader w:val="false"/>
        </w:trPr>
        <w:tc>
          <w:tcPr>
            <w:tcW w:type="dxa" w:w="6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center"/>
            </w:pPr>
            <w:r>
              <w:rPr>
                <w:rFonts w:ascii="Arial" w:cs="Arial" w:eastAsia="Arial" w:hAnsi="Arial"/>
                <w:b w:val="false"/>
                <w:bCs w:val="false"/>
                <w:i w:val="false"/>
                <w:iCs w:val="false"/>
                <w:color w:val="1B98E0"/>
                <w:sz w:val="20"/>
                <w:szCs w:val="20"/>
              </w:rPr>
              <w:t xml:space="preserve">01</w:t>
            </w:r>
          </w:p>
        </w:tc>
        <w:tc>
          <w:tcPr>
            <w:tcW w:type="dxa" w:w="21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0D1B2A"/>
                <w:sz w:val="20"/>
                <w:szCs w:val="20"/>
              </w:rPr>
              <w:t xml:space="preserve">Data Ingestion</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Real-time stream ingestion from VoIP, video conferencing platforms, and enterprise collaboration tools. End-to-end encrypted with protocol-agnostic edge processing.</w:t>
            </w:r>
          </w:p>
        </w:tc>
        <w:tc>
          <w:tcPr>
            <w:tcW w:type="dxa" w:w="300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iCs/>
                <w:color w:val="546E7A"/>
                <w:sz w:val="19"/>
                <w:szCs w:val="19"/>
              </w:rPr>
              <w:t xml:space="preserve">Kafka, WebRTC, gRPC, Edge Nodes</w:t>
            </w:r>
          </w:p>
        </w:tc>
      </w:tr>
      <w:tr>
        <w:trPr>
          <w:tblHeader w:val="false"/>
        </w:trPr>
        <w:tc>
          <w:tcPr>
            <w:tcW w:type="dxa" w:w="6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center"/>
            </w:pPr>
            <w:r>
              <w:rPr>
                <w:rFonts w:ascii="Arial" w:cs="Arial" w:eastAsia="Arial" w:hAnsi="Arial"/>
                <w:b w:val="false"/>
                <w:bCs w:val="false"/>
                <w:i w:val="false"/>
                <w:iCs w:val="false"/>
                <w:color w:val="1B98E0"/>
                <w:sz w:val="20"/>
                <w:szCs w:val="20"/>
              </w:rPr>
              <w:t xml:space="preserve">02</w:t>
            </w:r>
          </w:p>
        </w:tc>
        <w:tc>
          <w:tcPr>
            <w:tcW w:type="dxa" w:w="21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0D1B2A"/>
                <w:sz w:val="20"/>
                <w:szCs w:val="20"/>
              </w:rPr>
              <w:t xml:space="preserve">Multimodal Detection Engine</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Parallel neural network analysis across voice frequency patterns, facial micro-expressions, and behavioral biometrics. Sub-50ms inference with cross-modal anomaly scoring.</w:t>
            </w:r>
          </w:p>
        </w:tc>
        <w:tc>
          <w:tcPr>
            <w:tcW w:type="dxa" w:w="300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iCs/>
                <w:color w:val="546E7A"/>
                <w:sz w:val="19"/>
                <w:szCs w:val="19"/>
              </w:rPr>
              <w:t xml:space="preserve">Deep Neural Networks, ONNX Runtime, LIME/SHAP XAI</w:t>
            </w:r>
          </w:p>
        </w:tc>
      </w:tr>
      <w:tr>
        <w:trPr>
          <w:tblHeader w:val="false"/>
        </w:trPr>
        <w:tc>
          <w:tcPr>
            <w:tcW w:type="dxa" w:w="6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center"/>
            </w:pPr>
            <w:r>
              <w:rPr>
                <w:rFonts w:ascii="Arial" w:cs="Arial" w:eastAsia="Arial" w:hAnsi="Arial"/>
                <w:b w:val="false"/>
                <w:bCs w:val="false"/>
                <w:i w:val="false"/>
                <w:iCs w:val="false"/>
                <w:color w:val="1B98E0"/>
                <w:sz w:val="20"/>
                <w:szCs w:val="20"/>
              </w:rPr>
              <w:t xml:space="preserve">03</w:t>
            </w:r>
          </w:p>
        </w:tc>
        <w:tc>
          <w:tcPr>
            <w:tcW w:type="dxa" w:w="21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0D1B2A"/>
                <w:sz w:val="20"/>
                <w:szCs w:val="20"/>
              </w:rPr>
              <w:t xml:space="preserve">Correlation &amp; Reinforcement</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Contextual identity correlation across sessions. Adaptive learning from novel attack vectors via reinforcement feedback loop. Threat intelligence enrichment.</w:t>
            </w:r>
          </w:p>
        </w:tc>
        <w:tc>
          <w:tcPr>
            <w:tcW w:type="dxa" w:w="300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iCs/>
                <w:color w:val="546E7A"/>
                <w:sz w:val="19"/>
                <w:szCs w:val="19"/>
              </w:rPr>
              <w:t xml:space="preserve">Reinforcement Learning, Behavioral Fingerprinting, SIEM Integration</w:t>
            </w:r>
          </w:p>
        </w:tc>
      </w:tr>
    </w:tbl>
    <w:p>
      <w:pPr>
        <w:spacing w:after="80" w:before="0"/>
        <w:jc w:val="left"/>
      </w:pPr>
      <w:r>
        <w:rPr>
          <w:rFonts w:ascii="Arial" w:cs="Arial" w:eastAsia="Arial" w:hAnsi="Arial"/>
          <w:b w:val="false"/>
          <w:bCs w:val="false"/>
          <w:i w:val="false"/>
          <w:iCs w:val="false"/>
          <w:color w:val="0D1B2A"/>
          <w:sz w:val="22"/>
          <w:szCs w:val="22"/>
        </w:rPr>
        <w:t xml:space="preserve"/>
      </w:r>
    </w:p>
    <w:p>
      <w:pPr>
        <w:spacing w:after="80" w:before="200"/>
      </w:pPr>
      <w:r>
        <w:rPr>
          <w:rFonts w:ascii="Arial" w:cs="Arial" w:eastAsia="Arial" w:hAnsi="Arial"/>
          <w:b/>
          <w:bCs/>
          <w:color w:val="0D1B2A"/>
          <w:sz w:val="26"/>
          <w:szCs w:val="26"/>
        </w:rPr>
        <w:t xml:space="preserve">Zero-Trust Implementation</w:t>
      </w:r>
    </w:p>
    <w:p>
      <w:pPr>
        <w:spacing w:after="100" w:before="0" w:line="276"/>
        <w:jc w:val="left"/>
      </w:pPr>
      <w:r>
        <w:rPr>
          <w:rFonts w:ascii="Arial" w:cs="Arial" w:eastAsia="Arial" w:hAnsi="Arial"/>
          <w:b w:val="false"/>
          <w:bCs w:val="false"/>
          <w:i w:val="false"/>
          <w:iCs w:val="false"/>
          <w:color w:val="0D1B2A"/>
          <w:sz w:val="22"/>
          <w:szCs w:val="22"/>
        </w:rPr>
        <w:t xml:space="preserve">ZYFER enforces NIST SP 800-207 zero-trust principles at the communication layer — a domain largely unaddressed by conventional ZTA implementations that focus on network perimeter and access control. Every session is treated as untrusted by default, requiring continuous verification regardless of prior authentication status, network location, or device posture.</w:t>
      </w:r>
    </w:p>
    <w:p>
      <w:pPr>
        <w:pStyle w:val="ListParagraph"/>
        <w:numPr>
          <w:ilvl w:val="0"/>
          <w:numId w:val="2"/>
        </w:numPr>
        <w:spacing w:after="40" w:before="40"/>
      </w:pPr>
      <w:r>
        <w:rPr>
          <w:rFonts w:ascii="Arial" w:cs="Arial" w:eastAsia="Arial" w:hAnsi="Arial"/>
          <w:color w:val="0D1B2A"/>
          <w:sz w:val="21"/>
          <w:szCs w:val="21"/>
        </w:rPr>
        <w:t xml:space="preserve">Per-session identity verification — no implicit trust based on prior authentication</w:t>
      </w:r>
    </w:p>
    <w:p>
      <w:pPr>
        <w:pStyle w:val="ListParagraph"/>
        <w:numPr>
          <w:ilvl w:val="0"/>
          <w:numId w:val="2"/>
        </w:numPr>
        <w:spacing w:after="40" w:before="40"/>
      </w:pPr>
      <w:r>
        <w:rPr>
          <w:rFonts w:ascii="Arial" w:cs="Arial" w:eastAsia="Arial" w:hAnsi="Arial"/>
          <w:color w:val="0D1B2A"/>
          <w:sz w:val="21"/>
          <w:szCs w:val="21"/>
        </w:rPr>
        <w:t xml:space="preserve">Confidence score thresholds enforce allow/flag/block decisions with full audit trail</w:t>
      </w:r>
    </w:p>
    <w:p>
      <w:pPr>
        <w:pStyle w:val="ListParagraph"/>
        <w:numPr>
          <w:ilvl w:val="0"/>
          <w:numId w:val="2"/>
        </w:numPr>
        <w:spacing w:after="40" w:before="40"/>
      </w:pPr>
      <w:r>
        <w:rPr>
          <w:rFonts w:ascii="Arial" w:cs="Arial" w:eastAsia="Arial" w:hAnsi="Arial"/>
          <w:color w:val="0D1B2A"/>
          <w:sz w:val="21"/>
          <w:szCs w:val="21"/>
        </w:rPr>
        <w:t xml:space="preserve">Continuous authentication throughout session duration, not only at initiation</w:t>
      </w:r>
    </w:p>
    <w:p>
      <w:pPr>
        <w:pStyle w:val="ListParagraph"/>
        <w:numPr>
          <w:ilvl w:val="0"/>
          <w:numId w:val="2"/>
        </w:numPr>
        <w:spacing w:after="40" w:before="40"/>
      </w:pPr>
      <w:r>
        <w:rPr>
          <w:rFonts w:ascii="Arial" w:cs="Arial" w:eastAsia="Arial" w:hAnsi="Arial"/>
          <w:color w:val="0D1B2A"/>
          <w:sz w:val="21"/>
          <w:szCs w:val="21"/>
        </w:rPr>
        <w:t xml:space="preserve">Cryptographic session binding prevents replay and injection attacks</w:t>
      </w:r>
    </w:p>
    <w:p>
      <w:pPr>
        <w:pBdr>
          <w:bottom w:val="single" w:color="CBD5E1" w:sz="4" w:space="1"/>
        </w:pBdr>
        <w:spacing w:after="160" w:before="160"/>
      </w:pPr>
      <w:r>
        <w:t xml:space="preserve"/>
      </w:r>
    </w:p>
    <w:p>
      <w:pPr>
        <w:pBdr>
          <w:bottom w:val="single" w:color="1B98E0" w:sz="12" w:space="4"/>
        </w:pBdr>
        <w:spacing w:after="80" w:before="320"/>
      </w:pPr>
      <w:r>
        <w:rPr>
          <w:rFonts w:ascii="Arial" w:cs="Arial" w:eastAsia="Arial" w:hAnsi="Arial"/>
          <w:b/>
          <w:bCs/>
          <w:color w:val="1B98E0"/>
          <w:spacing w:val="40"/>
          <w:sz w:val="20"/>
          <w:szCs w:val="20"/>
        </w:rPr>
        <w:t xml:space="preserve">04  —  COMPLIANCE &amp; FRAMEWORK ALIGNMENT</w:t>
      </w:r>
    </w:p>
    <w:p>
      <w:pPr>
        <w:spacing w:after="80" w:before="200"/>
      </w:pPr>
      <w:r>
        <w:rPr>
          <w:rFonts w:ascii="Arial" w:cs="Arial" w:eastAsia="Arial" w:hAnsi="Arial"/>
          <w:b/>
          <w:bCs/>
          <w:color w:val="0D1B2A"/>
          <w:sz w:val="26"/>
          <w:szCs w:val="26"/>
        </w:rPr>
        <w:t xml:space="preserve">Regulatory Framework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Framework</w:t>
            </w:r>
          </w:p>
        </w:tc>
        <w:tc>
          <w:tcPr>
            <w:tcW w:type="dxa" w:w="300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FFFFFF"/>
                <w:sz w:val="20"/>
                <w:szCs w:val="20"/>
              </w:rPr>
              <w:t xml:space="preserve">Control / Requirement</w:t>
            </w:r>
          </w:p>
        </w:tc>
        <w:tc>
          <w:tcPr>
            <w:tcW w:type="dxa" w:w="3960"/>
            <w:tcBorders>
              <w:top w:val="single" w:color="0F4C75" w:sz="1"/>
              <w:left w:val="single" w:color="0F4C75" w:sz="1"/>
              <w:bottom w:val="single" w:color="0F4C75" w:sz="1"/>
              <w:right w:val="single" w:color="0F4C75" w:sz="1"/>
            </w:tcBorders>
            <w:shd w:fill="0F4C75"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FFFFFF"/>
                <w:sz w:val="20"/>
                <w:szCs w:val="20"/>
              </w:rPr>
              <w:t xml:space="preserve">ZYFER Capability</w:t>
            </w:r>
          </w:p>
        </w:tc>
      </w:tr>
      <w:tr>
        <w:trPr>
          <w:tblHeader w:val="false"/>
        </w:trP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NIST AI RMF 1.0</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GOVERN 1.1 — Roles &amp; Accountability</w:t>
            </w:r>
          </w:p>
        </w:tc>
        <w:tc>
          <w:tcPr>
            <w:tcW w:type="dxa" w:w="396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HITL oversight policy with defined escalation paths and confidence threshold governance</w:t>
            </w:r>
          </w:p>
        </w:tc>
      </w:tr>
      <w:tr>
        <w:trPr>
          <w:tblHeader w:val="false"/>
        </w:trP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NIST AI RMF 1.0</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MAP 2.1 — Context &amp; Risk Identification</w:t>
            </w:r>
          </w:p>
        </w:tc>
        <w:tc>
          <w:tcPr>
            <w:tcW w:type="dxa" w:w="396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Multimodal threat taxonomy mapped to enterprise communication risk surface</w:t>
            </w:r>
          </w:p>
        </w:tc>
      </w:tr>
      <w:tr>
        <w:trPr>
          <w:tblHeader w:val="false"/>
        </w:trP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NIST AI RMF 1.0</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MEASURE 2.5 — Explainability</w:t>
            </w:r>
          </w:p>
        </w:tc>
        <w:tc>
          <w:tcPr>
            <w:tcW w:type="dxa" w:w="396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LIME/SHAP integration provides per-decision feature attribution for all detections</w:t>
            </w:r>
          </w:p>
        </w:tc>
      </w:tr>
      <w:tr>
        <w:trPr>
          <w:tblHeader w:val="false"/>
        </w:trP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NIST AI RMF 1.0</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MANAGE 1.3 — Incident Response</w:t>
            </w:r>
          </w:p>
        </w:tc>
        <w:tc>
          <w:tcPr>
            <w:tcW w:type="dxa" w:w="396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Automated flag/block pipeline with SIEM integration and human review queue</w:t>
            </w:r>
          </w:p>
        </w:tc>
      </w:tr>
      <w:tr>
        <w:trPr>
          <w:tblHeader w:val="false"/>
        </w:trP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ISO/IEC 42001:2023</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6.1 — Risk Assessment</w:t>
            </w:r>
          </w:p>
        </w:tc>
        <w:tc>
          <w:tcPr>
            <w:tcW w:type="dxa" w:w="396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Adversarial training pipeline with continuous evaluation against novel attack vectors</w:t>
            </w:r>
          </w:p>
        </w:tc>
      </w:tr>
      <w:tr>
        <w:trPr>
          <w:tblHeader w:val="false"/>
        </w:trP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ISO/IEC 42001:2023</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9.1 — Performance Monitoring</w:t>
            </w:r>
          </w:p>
        </w:tc>
        <w:tc>
          <w:tcPr>
            <w:tcW w:type="dxa" w:w="396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Real-time detection dashboards with false positive/negative tracking and drift alerting</w:t>
            </w:r>
          </w:p>
        </w:tc>
      </w:tr>
      <w:tr>
        <w:trPr>
          <w:tblHeader w:val="false"/>
        </w:trP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NIST SP 800-207</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Zero Trust Architecture</w:t>
            </w:r>
          </w:p>
        </w:tc>
        <w:tc>
          <w:tcPr>
            <w:tcW w:type="dxa" w:w="396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Per-session continuous authentication across all communication channels</w:t>
            </w:r>
          </w:p>
        </w:tc>
      </w:tr>
      <w:tr>
        <w:trPr>
          <w:tblHeader w:val="false"/>
        </w:trPr>
        <w:tc>
          <w:tcPr>
            <w:tcW w:type="dxa" w:w="240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SOC 2 Type II</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Availability &amp; Confidentiality</w:t>
            </w:r>
          </w:p>
        </w:tc>
        <w:tc>
          <w:tcPr>
            <w:tcW w:type="dxa" w:w="396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D1B2A"/>
                <w:sz w:val="20"/>
                <w:szCs w:val="20"/>
              </w:rPr>
              <w:t xml:space="preserve">Cloud-agnostic deployment (AWS/Azure/GCP) with encrypted data pipelines</w:t>
            </w:r>
          </w:p>
        </w:tc>
      </w:tr>
    </w:tbl>
    <w:p>
      <w:pPr>
        <w:pBdr>
          <w:bottom w:val="single" w:color="CBD5E1" w:sz="4" w:space="1"/>
        </w:pBdr>
        <w:spacing w:after="160" w:before="160"/>
      </w:pPr>
      <w:r>
        <w:t xml:space="preserve"/>
      </w:r>
    </w:p>
    <w:p>
      <w:pPr>
        <w:pBdr>
          <w:bottom w:val="single" w:color="1B98E0" w:sz="12" w:space="4"/>
        </w:pBdr>
        <w:spacing w:after="80" w:before="320"/>
      </w:pPr>
      <w:r>
        <w:rPr>
          <w:rFonts w:ascii="Arial" w:cs="Arial" w:eastAsia="Arial" w:hAnsi="Arial"/>
          <w:b/>
          <w:bCs/>
          <w:color w:val="1B98E0"/>
          <w:spacing w:val="40"/>
          <w:sz w:val="20"/>
          <w:szCs w:val="20"/>
        </w:rPr>
        <w:t xml:space="preserve">05  —  TECHNICAL HIGHLIGHTS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80"/>
        <w:gridCol w:w="4980"/>
      </w:tblGrid>
      <w:tr>
        <w:tc>
          <w:tcPr>
            <w:tcW w:type="dxa" w:w="498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60"/>
              <w:jc w:val="left"/>
            </w:pPr>
            <w:r>
              <w:rPr>
                <w:rFonts w:ascii="Arial" w:cs="Arial" w:eastAsia="Arial" w:hAnsi="Arial"/>
                <w:b/>
                <w:bCs/>
                <w:i w:val="false"/>
                <w:iCs w:val="false"/>
                <w:color w:val="0D1B2A"/>
                <w:sz w:val="21"/>
                <w:szCs w:val="21"/>
              </w:rPr>
              <w:t xml:space="preserve">Explainable AI (XAI)</w:t>
            </w:r>
          </w:p>
          <w:p>
            <w:pPr>
              <w:spacing w:after="100" w:before="0" w:line="264"/>
              <w:jc w:val="left"/>
            </w:pPr>
            <w:r>
              <w:rPr>
                <w:rFonts w:ascii="Arial" w:cs="Arial" w:eastAsia="Arial" w:hAnsi="Arial"/>
                <w:b w:val="false"/>
                <w:bCs w:val="false"/>
                <w:i w:val="false"/>
                <w:iCs w:val="false"/>
                <w:color w:val="0D1B2A"/>
                <w:sz w:val="20"/>
                <w:szCs w:val="20"/>
              </w:rPr>
              <w:t xml:space="preserve">Every detection is accompanied by LIME and SHAP attribution reports, enabling security analysts to understand exactly which acoustic, visual, or behavioral features triggered a flag. This addresses a critical gap in enterprise AI deployments: auditability.</w:t>
            </w:r>
          </w:p>
        </w:tc>
        <w:tc>
          <w:tcPr>
            <w:tcW w:type="dxa" w:w="49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60"/>
              <w:jc w:val="left"/>
            </w:pPr>
            <w:r>
              <w:rPr>
                <w:rFonts w:ascii="Arial" w:cs="Arial" w:eastAsia="Arial" w:hAnsi="Arial"/>
                <w:b/>
                <w:bCs/>
                <w:i w:val="false"/>
                <w:iCs w:val="false"/>
                <w:color w:val="0D1B2A"/>
                <w:sz w:val="21"/>
                <w:szCs w:val="21"/>
              </w:rPr>
              <w:t xml:space="preserve">Adversarial Robustness</w:t>
            </w:r>
          </w:p>
          <w:p>
            <w:pPr>
              <w:spacing w:after="100" w:before="0" w:line="264"/>
              <w:jc w:val="left"/>
            </w:pPr>
            <w:r>
              <w:rPr>
                <w:rFonts w:ascii="Arial" w:cs="Arial" w:eastAsia="Arial" w:hAnsi="Arial"/>
                <w:b w:val="false"/>
                <w:bCs w:val="false"/>
                <w:i w:val="false"/>
                <w:iCs w:val="false"/>
                <w:color w:val="0D1B2A"/>
                <w:sz w:val="20"/>
                <w:szCs w:val="20"/>
              </w:rPr>
              <w:t xml:space="preserve">ZYFER's detection models are continuously evaluated against adversarial examples representing the latest GAN-based synthesis techniques. The reinforcement learning feedback loop allows the system to adapt to novel attack patterns without full model retraining.</w:t>
            </w:r>
          </w:p>
        </w:tc>
      </w:tr>
      <w:tr>
        <w:tc>
          <w:tcPr>
            <w:tcW w:type="dxa" w:w="49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60"/>
              <w:jc w:val="left"/>
            </w:pPr>
            <w:r>
              <w:rPr>
                <w:rFonts w:ascii="Arial" w:cs="Arial" w:eastAsia="Arial" w:hAnsi="Arial"/>
                <w:b/>
                <w:bCs/>
                <w:i w:val="false"/>
                <w:iCs w:val="false"/>
                <w:color w:val="0D1B2A"/>
                <w:sz w:val="21"/>
                <w:szCs w:val="21"/>
              </w:rPr>
              <w:t xml:space="preserve">Human-in-the-Loop (HITL) Governance</w:t>
            </w:r>
          </w:p>
          <w:p>
            <w:pPr>
              <w:spacing w:after="100" w:before="0" w:line="264"/>
              <w:jc w:val="left"/>
            </w:pPr>
            <w:r>
              <w:rPr>
                <w:rFonts w:ascii="Arial" w:cs="Arial" w:eastAsia="Arial" w:hAnsi="Arial"/>
                <w:b w:val="false"/>
                <w:bCs w:val="false"/>
                <w:i w:val="false"/>
                <w:iCs w:val="false"/>
                <w:color w:val="0D1B2A"/>
                <w:sz w:val="20"/>
                <w:szCs w:val="20"/>
              </w:rPr>
              <w:t xml:space="preserve">High-confidence detections trigger automated blocks. Medium-confidence flags enter a human review queue with full session context and XAI attribution. All decisions are logged with immutable audit trails aligned to NIST AI RMF MANAGE function requirements.</w:t>
            </w:r>
          </w:p>
        </w:tc>
        <w:tc>
          <w:tcPr>
            <w:tcW w:type="dxa" w:w="498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60"/>
              <w:jc w:val="left"/>
            </w:pPr>
            <w:r>
              <w:rPr>
                <w:rFonts w:ascii="Arial" w:cs="Arial" w:eastAsia="Arial" w:hAnsi="Arial"/>
                <w:b/>
                <w:bCs/>
                <w:i w:val="false"/>
                <w:iCs w:val="false"/>
                <w:color w:val="0D1B2A"/>
                <w:sz w:val="21"/>
                <w:szCs w:val="21"/>
              </w:rPr>
              <w:t xml:space="preserve">Cloud-Native &amp; Edge-Ready</w:t>
            </w:r>
          </w:p>
          <w:p>
            <w:pPr>
              <w:spacing w:after="100" w:before="0" w:line="264"/>
              <w:jc w:val="left"/>
            </w:pPr>
            <w:r>
              <w:rPr>
                <w:rFonts w:ascii="Arial" w:cs="Arial" w:eastAsia="Arial" w:hAnsi="Arial"/>
                <w:b w:val="false"/>
                <w:bCs w:val="false"/>
                <w:i w:val="false"/>
                <w:iCs w:val="false"/>
                <w:color w:val="0D1B2A"/>
                <w:sz w:val="20"/>
                <w:szCs w:val="20"/>
              </w:rPr>
              <w:t xml:space="preserve">Native support for AWS, Azure, and GCP with Kubernetes orchestration. Distributed edge inference nodes maintain sub-50ms latency for real-time session analysis regardless of geographic distribution. Protocol-agnostic ingestion supports VoIP, WebRTC, and enterprise collaboration APIs.</w:t>
            </w:r>
          </w:p>
        </w:tc>
      </w:tr>
    </w:tbl>
    <w:p>
      <w:pPr>
        <w:pBdr>
          <w:bottom w:val="single" w:color="CBD5E1" w:sz="4" w:space="1"/>
        </w:pBdr>
        <w:spacing w:after="160" w:before="160"/>
      </w:pPr>
      <w:r>
        <w:t xml:space="preserve"/>
      </w:r>
    </w:p>
    <w:p>
      <w:pPr>
        <w:pBdr>
          <w:bottom w:val="single" w:color="1B98E0" w:sz="12" w:space="4"/>
        </w:pBdr>
        <w:spacing w:after="80" w:before="320"/>
      </w:pPr>
      <w:r>
        <w:rPr>
          <w:rFonts w:ascii="Arial" w:cs="Arial" w:eastAsia="Arial" w:hAnsi="Arial"/>
          <w:b/>
          <w:bCs/>
          <w:color w:val="1B98E0"/>
          <w:spacing w:val="40"/>
          <w:sz w:val="20"/>
          <w:szCs w:val="20"/>
        </w:rPr>
        <w:t xml:space="preserve">06  —  BUSINESS IMPACT &amp; VALUE PROPOSITION</w:t>
      </w:r>
    </w:p>
    <w:p>
      <w:pPr>
        <w:spacing w:after="80" w:before="200"/>
      </w:pPr>
      <w:r>
        <w:rPr>
          <w:rFonts w:ascii="Arial" w:cs="Arial" w:eastAsia="Arial" w:hAnsi="Arial"/>
          <w:b/>
          <w:bCs/>
          <w:color w:val="0D1B2A"/>
          <w:sz w:val="26"/>
          <w:szCs w:val="26"/>
        </w:rPr>
        <w:t xml:space="preserve">Quantified Risk Reduction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BD5E1" w:sz="1"/>
              <w:left w:val="single" w:color="CBD5E1" w:sz="1"/>
              <w:bottom w:val="single" w:color="CBD5E1" w:sz="1"/>
              <w:right w:val="single" w:color="CBD5E1" w:sz="1"/>
            </w:tcBorders>
            <w:shd w:fill="0F4C75" w:val="clear"/>
            <w:tcMar>
              <w:top w:type="dxa" w:w="100"/>
              <w:left w:type="dxa" w:w="160"/>
              <w:bottom w:type="dxa" w:w="100"/>
              <w:right w:type="dxa" w:w="160"/>
            </w:tcMar>
            <w:vAlign w:val="top"/>
          </w:tcPr>
          <w:p>
            <w:pPr>
              <w:spacing w:after="0" w:before="40"/>
              <w:jc w:val="center"/>
            </w:pPr>
            <w:r>
              <w:rPr>
                <w:rFonts w:ascii="Arial" w:cs="Arial" w:eastAsia="Arial" w:hAnsi="Arial"/>
                <w:b/>
                <w:bCs/>
                <w:i w:val="false"/>
                <w:iCs w:val="false"/>
                <w:color w:val="FFFFFF"/>
                <w:sz w:val="22"/>
                <w:szCs w:val="22"/>
              </w:rPr>
              <w:t xml:space="preserve">Without ZYFER</w:t>
            </w:r>
          </w:p>
        </w:tc>
        <w:tc>
          <w:tcPr>
            <w:tcW w:type="dxa" w:w="5040"/>
            <w:tcBorders>
              <w:top w:val="single" w:color="CBD5E1" w:sz="1"/>
              <w:left w:val="single" w:color="CBD5E1" w:sz="1"/>
              <w:bottom w:val="single" w:color="CBD5E1" w:sz="1"/>
              <w:right w:val="single" w:color="CBD5E1" w:sz="1"/>
            </w:tcBorders>
            <w:shd w:fill="1B98E0" w:val="clear"/>
            <w:tcMar>
              <w:top w:type="dxa" w:w="100"/>
              <w:left w:type="dxa" w:w="160"/>
              <w:bottom w:type="dxa" w:w="100"/>
              <w:right w:type="dxa" w:w="160"/>
            </w:tcMar>
            <w:vAlign w:val="top"/>
          </w:tcPr>
          <w:p>
            <w:pPr>
              <w:spacing w:after="0" w:before="40"/>
              <w:jc w:val="center"/>
            </w:pPr>
            <w:r>
              <w:rPr>
                <w:rFonts w:ascii="Arial" w:cs="Arial" w:eastAsia="Arial" w:hAnsi="Arial"/>
                <w:b/>
                <w:bCs/>
                <w:i w:val="false"/>
                <w:iCs w:val="false"/>
                <w:color w:val="FFFFFF"/>
                <w:sz w:val="22"/>
                <w:szCs w:val="22"/>
              </w:rPr>
              <w:t xml:space="preserve">With ZYFER</w:t>
            </w:r>
          </w:p>
        </w:tc>
      </w:tr>
      <w:tr>
        <w:tc>
          <w:tcPr>
            <w:tcW w:type="dxa" w:w="5040"/>
            <w:tcBorders>
              <w:top w:val="single" w:color="CBD5E1" w:sz="1"/>
              <w:left w:val="single" w:color="CBD5E1" w:sz="1"/>
              <w:bottom w:val="single" w:color="CBD5E1" w:sz="1"/>
              <w:right w:val="single" w:color="CBD5E1" w:sz="1"/>
            </w:tcBorders>
            <w:shd w:fill="F5F7FA" w:val="clear"/>
            <w:tcMar>
              <w:top w:type="dxa" w:w="100"/>
              <w:left w:type="dxa" w:w="160"/>
              <w:bottom w:type="dxa" w:w="100"/>
              <w:right w:type="dxa" w:w="160"/>
            </w:tcMar>
            <w:vAlign w:val="top"/>
          </w:tcPr>
          <w:p>
            <w:pPr>
              <w:pStyle w:val="ListParagraph"/>
              <w:numPr>
                <w:ilvl w:val="0"/>
                <w:numId w:val="2"/>
              </w:numPr>
              <w:spacing w:after="40" w:before="40"/>
            </w:pPr>
            <w:r>
              <w:rPr>
                <w:rFonts w:ascii="Arial" w:cs="Arial" w:eastAsia="Arial" w:hAnsi="Arial"/>
                <w:color w:val="0D1B2A"/>
                <w:sz w:val="21"/>
                <w:szCs w:val="21"/>
              </w:rPr>
              <w:t xml:space="preserve">Deepfake impersonation undetectable by standard IAM/MFA</w:t>
            </w:r>
          </w:p>
          <w:p>
            <w:pPr>
              <w:pStyle w:val="ListParagraph"/>
              <w:numPr>
                <w:ilvl w:val="0"/>
                <w:numId w:val="2"/>
              </w:numPr>
              <w:spacing w:after="40" w:before="40"/>
            </w:pPr>
            <w:r>
              <w:rPr>
                <w:rFonts w:ascii="Arial" w:cs="Arial" w:eastAsia="Arial" w:hAnsi="Arial"/>
                <w:color w:val="0D1B2A"/>
                <w:sz w:val="21"/>
                <w:szCs w:val="21"/>
              </w:rPr>
              <w:t xml:space="preserve">No audit trail for synthetic media interactions</w:t>
            </w:r>
          </w:p>
          <w:p>
            <w:pPr>
              <w:pStyle w:val="ListParagraph"/>
              <w:numPr>
                <w:ilvl w:val="0"/>
                <w:numId w:val="2"/>
              </w:numPr>
              <w:spacing w:after="40" w:before="40"/>
            </w:pPr>
            <w:r>
              <w:rPr>
                <w:rFonts w:ascii="Arial" w:cs="Arial" w:eastAsia="Arial" w:hAnsi="Arial"/>
                <w:color w:val="0D1B2A"/>
                <w:sz w:val="21"/>
                <w:szCs w:val="21"/>
              </w:rPr>
              <w:t xml:space="preserve">Compliance gap against emerging AI governance mandates</w:t>
            </w:r>
          </w:p>
          <w:p>
            <w:pPr>
              <w:pStyle w:val="ListParagraph"/>
              <w:numPr>
                <w:ilvl w:val="0"/>
                <w:numId w:val="2"/>
              </w:numPr>
              <w:spacing w:after="40" w:before="40"/>
            </w:pPr>
            <w:r>
              <w:rPr>
                <w:rFonts w:ascii="Arial" w:cs="Arial" w:eastAsia="Arial" w:hAnsi="Arial"/>
                <w:color w:val="0D1B2A"/>
                <w:sz w:val="21"/>
                <w:szCs w:val="21"/>
              </w:rPr>
              <w:t xml:space="preserve">Manual review of flagged sessions — no decision intelligence</w:t>
            </w:r>
          </w:p>
          <w:p>
            <w:pPr>
              <w:spacing w:after="40" w:before="0"/>
              <w:jc w:val="left"/>
            </w:pPr>
            <w:r>
              <w:rPr>
                <w:rFonts w:ascii="Arial" w:cs="Arial" w:eastAsia="Arial" w:hAnsi="Arial"/>
                <w:b w:val="false"/>
                <w:bCs w:val="false"/>
                <w:i w:val="false"/>
                <w:iCs w:val="false"/>
                <w:color w:val="0D1B2A"/>
                <w:sz w:val="22"/>
                <w:szCs w:val="22"/>
              </w:rPr>
              <w:t xml:space="preserve"/>
            </w:r>
          </w:p>
        </w:tc>
        <w:tc>
          <w:tcPr>
            <w:tcW w:type="dxa" w:w="504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pStyle w:val="ListParagraph"/>
              <w:numPr>
                <w:ilvl w:val="0"/>
                <w:numId w:val="2"/>
              </w:numPr>
              <w:spacing w:after="40" w:before="40"/>
            </w:pPr>
            <w:r>
              <w:rPr>
                <w:rFonts w:ascii="Arial" w:cs="Arial" w:eastAsia="Arial" w:hAnsi="Arial"/>
                <w:color w:val="0D1B2A"/>
                <w:sz w:val="21"/>
                <w:szCs w:val="21"/>
              </w:rPr>
              <w:t xml:space="preserve">99.9% detection rate across voice, video, and behavior</w:t>
            </w:r>
          </w:p>
          <w:p>
            <w:pPr>
              <w:pStyle w:val="ListParagraph"/>
              <w:numPr>
                <w:ilvl w:val="0"/>
                <w:numId w:val="2"/>
              </w:numPr>
              <w:spacing w:after="40" w:before="40"/>
            </w:pPr>
            <w:r>
              <w:rPr>
                <w:rFonts w:ascii="Arial" w:cs="Arial" w:eastAsia="Arial" w:hAnsi="Arial"/>
                <w:color w:val="0D1B2A"/>
                <w:sz w:val="21"/>
                <w:szCs w:val="21"/>
              </w:rPr>
              <w:t xml:space="preserve">Full XAI attribution on every flagged interaction</w:t>
            </w:r>
          </w:p>
          <w:p>
            <w:pPr>
              <w:pStyle w:val="ListParagraph"/>
              <w:numPr>
                <w:ilvl w:val="0"/>
                <w:numId w:val="2"/>
              </w:numPr>
              <w:spacing w:after="40" w:before="40"/>
            </w:pPr>
            <w:r>
              <w:rPr>
                <w:rFonts w:ascii="Arial" w:cs="Arial" w:eastAsia="Arial" w:hAnsi="Arial"/>
                <w:color w:val="0D1B2A"/>
                <w:sz w:val="21"/>
                <w:szCs w:val="21"/>
              </w:rPr>
              <w:t xml:space="preserve">Mapped to NIST AI RMF, ISO 42001, NIST 800-207</w:t>
            </w:r>
          </w:p>
          <w:p>
            <w:pPr>
              <w:pStyle w:val="ListParagraph"/>
              <w:numPr>
                <w:ilvl w:val="0"/>
                <w:numId w:val="2"/>
              </w:numPr>
              <w:spacing w:after="40" w:before="40"/>
            </w:pPr>
            <w:r>
              <w:rPr>
                <w:rFonts w:ascii="Arial" w:cs="Arial" w:eastAsia="Arial" w:hAnsi="Arial"/>
                <w:color w:val="0D1B2A"/>
                <w:sz w:val="21"/>
                <w:szCs w:val="21"/>
              </w:rPr>
              <w:t xml:space="preserve">HITL governance with automated triage and escalation</w:t>
            </w:r>
          </w:p>
          <w:p>
            <w:pPr>
              <w:spacing w:after="40" w:before="0"/>
              <w:jc w:val="left"/>
            </w:pPr>
            <w:r>
              <w:rPr>
                <w:rFonts w:ascii="Arial" w:cs="Arial" w:eastAsia="Arial" w:hAnsi="Arial"/>
                <w:b w:val="false"/>
                <w:bCs w:val="false"/>
                <w:i w:val="false"/>
                <w:iCs w:val="false"/>
                <w:color w:val="0D1B2A"/>
                <w:sz w:val="22"/>
                <w:szCs w:val="22"/>
              </w:rPr>
              <w:t xml:space="preserve"/>
            </w:r>
          </w:p>
        </w:tc>
      </w:tr>
    </w:tbl>
    <w:p>
      <w:pPr>
        <w:spacing w:after="80" w:before="0"/>
        <w:jc w:val="left"/>
      </w:pPr>
      <w:r>
        <w:rPr>
          <w:rFonts w:ascii="Arial" w:cs="Arial" w:eastAsia="Arial" w:hAnsi="Arial"/>
          <w:b w:val="false"/>
          <w:bCs w:val="false"/>
          <w:i w:val="false"/>
          <w:iCs w:val="false"/>
          <w:color w:val="0D1B2A"/>
          <w:sz w:val="22"/>
          <w:szCs w:val="22"/>
        </w:rPr>
        <w:t xml:space="preserve"/>
      </w:r>
    </w:p>
    <w:p>
      <w:pPr>
        <w:spacing w:after="100" w:before="0" w:line="276"/>
        <w:jc w:val="left"/>
      </w:pPr>
      <w:r>
        <w:rPr>
          <w:rFonts w:ascii="Arial" w:cs="Arial" w:eastAsia="Arial" w:hAnsi="Arial"/>
          <w:b w:val="false"/>
          <w:bCs w:val="false"/>
          <w:i w:val="false"/>
          <w:iCs w:val="false"/>
          <w:color w:val="0D1B2A"/>
          <w:sz w:val="22"/>
          <w:szCs w:val="22"/>
        </w:rPr>
        <w:t xml:space="preserve">The global deepfake fraud loss estimate exceeded $40 billion in 2024. ZYFER directly addresses the enterprise attack surface responsible for the fastest-growing segment of that figure: AI-generated impersonation in real-time communications. For a mid-market enterprise with $500M revenue, a single prevented deepfake fraud incident at industry average loss rates ($25M+) represents a 500x+ ROI on platform deployment.</w:t>
      </w:r>
    </w:p>
    <w:p>
      <w:pPr>
        <w:pBdr>
          <w:bottom w:val="single" w:color="CBD5E1" w:sz="4" w:space="1"/>
        </w:pBdr>
        <w:spacing w:after="160" w:before="160"/>
      </w:pPr>
      <w:r>
        <w:t xml:space="preserve"/>
      </w:r>
    </w:p>
    <w:p>
      <w:pPr>
        <w:pBdr>
          <w:bottom w:val="single" w:color="1B98E0" w:sz="12" w:space="4"/>
        </w:pBdr>
        <w:spacing w:after="80" w:before="320"/>
      </w:pPr>
      <w:r>
        <w:rPr>
          <w:rFonts w:ascii="Arial" w:cs="Arial" w:eastAsia="Arial" w:hAnsi="Arial"/>
          <w:b/>
          <w:bCs/>
          <w:color w:val="1B98E0"/>
          <w:spacing w:val="40"/>
          <w:sz w:val="20"/>
          <w:szCs w:val="20"/>
        </w:rPr>
        <w:t xml:space="preserve">07  —  ARCHITECT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BD5E1" w:sz="1"/>
              <w:left w:val="single" w:color="CBD5E1" w:sz="1"/>
              <w:bottom w:val="single" w:color="CBD5E1" w:sz="1"/>
              <w:right w:val="single" w:color="CBD5E1" w:sz="1"/>
            </w:tcBorders>
            <w:shd w:fill="E8F4FD" w:val="clear"/>
            <w:tcMar>
              <w:top w:type="dxa" w:w="100"/>
              <w:left w:type="dxa" w:w="160"/>
              <w:bottom w:type="dxa" w:w="100"/>
              <w:right w:type="dxa" w:w="160"/>
            </w:tcMar>
            <w:vAlign w:val="top"/>
          </w:tcPr>
          <w:p>
            <w:pPr>
              <w:spacing w:after="0" w:before="60"/>
              <w:jc w:val="left"/>
            </w:pPr>
            <w:r>
              <w:rPr>
                <w:rFonts w:ascii="Arial" w:cs="Arial" w:eastAsia="Arial" w:hAnsi="Arial"/>
                <w:b/>
                <w:bCs/>
                <w:i w:val="false"/>
                <w:iCs w:val="false"/>
                <w:color w:val="0D1B2A"/>
                <w:sz w:val="26"/>
                <w:szCs w:val="26"/>
              </w:rPr>
              <w:t xml:space="preserve">John McKenney</w:t>
            </w:r>
          </w:p>
          <w:p>
            <w:pPr>
              <w:spacing w:after="0" w:before="0"/>
              <w:jc w:val="left"/>
            </w:pPr>
            <w:r>
              <w:rPr>
                <w:rFonts w:ascii="Arial" w:cs="Arial" w:eastAsia="Arial" w:hAnsi="Arial"/>
                <w:b w:val="false"/>
                <w:bCs w:val="false"/>
                <w:i w:val="false"/>
                <w:iCs w:val="false"/>
                <w:color w:val="1B98E0"/>
                <w:sz w:val="20"/>
                <w:szCs w:val="20"/>
              </w:rPr>
              <w:t xml:space="preserve">GRC Analyst  ·  Cybersecurity Engineer</w:t>
            </w:r>
          </w:p>
          <w:p>
            <w:pPr>
              <w:spacing w:after="60" w:before="0"/>
              <w:jc w:val="left"/>
            </w:pPr>
            <w:r>
              <w:rPr>
                <w:rFonts w:ascii="Arial" w:cs="Arial" w:eastAsia="Arial" w:hAnsi="Arial"/>
                <w:b w:val="false"/>
                <w:bCs w:val="false"/>
                <w:i w:val="false"/>
                <w:iCs w:val="false"/>
                <w:color w:val="0D1B2A"/>
                <w:sz w:val="22"/>
                <w:szCs w:val="22"/>
              </w:rPr>
              <w:t xml:space="preserve"/>
            </w:r>
          </w:p>
          <w:p>
            <w:pPr>
              <w:spacing w:after="0" w:before="0"/>
              <w:jc w:val="left"/>
            </w:pPr>
            <w:r>
              <w:rPr>
                <w:rFonts w:ascii="Arial" w:cs="Arial" w:eastAsia="Arial" w:hAnsi="Arial"/>
                <w:b/>
                <w:bCs/>
                <w:i w:val="false"/>
                <w:iCs w:val="false"/>
                <w:color w:val="0D1B2A"/>
                <w:sz w:val="20"/>
                <w:szCs w:val="20"/>
              </w:rPr>
              <w:t xml:space="preserve">Certifications</w:t>
            </w:r>
          </w:p>
          <w:p>
            <w:pPr>
              <w:pStyle w:val="ListParagraph"/>
              <w:numPr>
                <w:ilvl w:val="0"/>
                <w:numId w:val="2"/>
              </w:numPr>
              <w:spacing w:after="40" w:before="40"/>
            </w:pPr>
            <w:r>
              <w:rPr>
                <w:rFonts w:ascii="Arial" w:cs="Arial" w:eastAsia="Arial" w:hAnsi="Arial"/>
                <w:color w:val="0D1B2A"/>
                <w:sz w:val="21"/>
                <w:szCs w:val="21"/>
              </w:rPr>
              <w:t xml:space="preserve">CompTIA A+</w:t>
            </w:r>
          </w:p>
          <w:p>
            <w:pPr>
              <w:pStyle w:val="ListParagraph"/>
              <w:numPr>
                <w:ilvl w:val="0"/>
                <w:numId w:val="2"/>
              </w:numPr>
              <w:spacing w:after="40" w:before="40"/>
            </w:pPr>
            <w:r>
              <w:rPr>
                <w:rFonts w:ascii="Arial" w:cs="Arial" w:eastAsia="Arial" w:hAnsi="Arial"/>
                <w:color w:val="0D1B2A"/>
                <w:sz w:val="21"/>
                <w:szCs w:val="21"/>
              </w:rPr>
              <w:t xml:space="preserve">CompTIA Network+</w:t>
            </w:r>
          </w:p>
          <w:p>
            <w:pPr>
              <w:pStyle w:val="ListParagraph"/>
              <w:numPr>
                <w:ilvl w:val="0"/>
                <w:numId w:val="2"/>
              </w:numPr>
              <w:spacing w:after="40" w:before="40"/>
            </w:pPr>
            <w:r>
              <w:rPr>
                <w:rFonts w:ascii="Arial" w:cs="Arial" w:eastAsia="Arial" w:hAnsi="Arial"/>
                <w:color w:val="0D1B2A"/>
                <w:sz w:val="21"/>
                <w:szCs w:val="21"/>
              </w:rPr>
              <w:t xml:space="preserve">CompTIA Security+</w:t>
            </w:r>
          </w:p>
          <w:p>
            <w:pPr>
              <w:spacing w:after="40" w:before="0"/>
              <w:jc w:val="left"/>
            </w:pPr>
            <w:r>
              <w:rPr>
                <w:rFonts w:ascii="Arial" w:cs="Arial" w:eastAsia="Arial" w:hAnsi="Arial"/>
                <w:b w:val="false"/>
                <w:bCs w:val="false"/>
                <w:i w:val="false"/>
                <w:iCs w:val="false"/>
                <w:color w:val="0D1B2A"/>
                <w:sz w:val="22"/>
                <w:szCs w:val="22"/>
              </w:rPr>
              <w:t xml:space="preserve"/>
            </w:r>
          </w:p>
          <w:p>
            <w:pPr>
              <w:spacing w:after="0" w:before="0"/>
              <w:jc w:val="left"/>
            </w:pPr>
            <w:r>
              <w:rPr>
                <w:rFonts w:ascii="Arial" w:cs="Arial" w:eastAsia="Arial" w:hAnsi="Arial"/>
                <w:b/>
                <w:bCs/>
                <w:i w:val="false"/>
                <w:iCs w:val="false"/>
                <w:color w:val="0D1B2A"/>
                <w:sz w:val="20"/>
                <w:szCs w:val="20"/>
              </w:rPr>
              <w:t xml:space="preserve">Framework Fluency</w:t>
            </w:r>
          </w:p>
          <w:p>
            <w:pPr>
              <w:pStyle w:val="ListParagraph"/>
              <w:numPr>
                <w:ilvl w:val="0"/>
                <w:numId w:val="2"/>
              </w:numPr>
              <w:spacing w:after="40" w:before="40"/>
            </w:pPr>
            <w:r>
              <w:rPr>
                <w:rFonts w:ascii="Arial" w:cs="Arial" w:eastAsia="Arial" w:hAnsi="Arial"/>
                <w:color w:val="0D1B2A"/>
                <w:sz w:val="21"/>
                <w:szCs w:val="21"/>
              </w:rPr>
              <w:t xml:space="preserve">NIST AI RMF 1.0</w:t>
            </w:r>
          </w:p>
          <w:p>
            <w:pPr>
              <w:pStyle w:val="ListParagraph"/>
              <w:numPr>
                <w:ilvl w:val="0"/>
                <w:numId w:val="2"/>
              </w:numPr>
              <w:spacing w:after="40" w:before="40"/>
            </w:pPr>
            <w:r>
              <w:rPr>
                <w:rFonts w:ascii="Arial" w:cs="Arial" w:eastAsia="Arial" w:hAnsi="Arial"/>
                <w:color w:val="0D1B2A"/>
                <w:sz w:val="21"/>
                <w:szCs w:val="21"/>
              </w:rPr>
              <w:t xml:space="preserve">ISO/IEC 42001:2023</w:t>
            </w:r>
          </w:p>
          <w:p>
            <w:pPr>
              <w:pStyle w:val="ListParagraph"/>
              <w:numPr>
                <w:ilvl w:val="0"/>
                <w:numId w:val="2"/>
              </w:numPr>
              <w:spacing w:after="40" w:before="40"/>
            </w:pPr>
            <w:r>
              <w:rPr>
                <w:rFonts w:ascii="Arial" w:cs="Arial" w:eastAsia="Arial" w:hAnsi="Arial"/>
                <w:color w:val="0D1B2A"/>
                <w:sz w:val="21"/>
                <w:szCs w:val="21"/>
              </w:rPr>
              <w:t xml:space="preserve">ISO 27001:2022</w:t>
            </w:r>
          </w:p>
          <w:p>
            <w:pPr>
              <w:pStyle w:val="ListParagraph"/>
              <w:numPr>
                <w:ilvl w:val="0"/>
                <w:numId w:val="2"/>
              </w:numPr>
              <w:spacing w:after="40" w:before="40"/>
            </w:pPr>
            <w:r>
              <w:rPr>
                <w:rFonts w:ascii="Arial" w:cs="Arial" w:eastAsia="Arial" w:hAnsi="Arial"/>
                <w:color w:val="0D1B2A"/>
                <w:sz w:val="21"/>
                <w:szCs w:val="21"/>
              </w:rPr>
              <w:t xml:space="preserve">NIST SP 800-207 Zero Trust</w:t>
            </w:r>
          </w:p>
          <w:p>
            <w:pPr>
              <w:pStyle w:val="ListParagraph"/>
              <w:numPr>
                <w:ilvl w:val="0"/>
                <w:numId w:val="2"/>
              </w:numPr>
              <w:spacing w:after="40" w:before="40"/>
            </w:pPr>
            <w:r>
              <w:rPr>
                <w:rFonts w:ascii="Arial" w:cs="Arial" w:eastAsia="Arial" w:hAnsi="Arial"/>
                <w:color w:val="0D1B2A"/>
                <w:sz w:val="21"/>
                <w:szCs w:val="21"/>
              </w:rPr>
              <w:t xml:space="preserve">SOC 2 Type II</w:t>
            </w:r>
          </w:p>
          <w:p>
            <w:pPr>
              <w:spacing w:after="60" w:before="0"/>
              <w:jc w:val="left"/>
            </w:pPr>
            <w:r>
              <w:rPr>
                <w:rFonts w:ascii="Arial" w:cs="Arial" w:eastAsia="Arial" w:hAnsi="Arial"/>
                <w:b w:val="false"/>
                <w:bCs w:val="false"/>
                <w:i w:val="false"/>
                <w:iCs w:val="false"/>
                <w:color w:val="0D1B2A"/>
                <w:sz w:val="22"/>
                <w:szCs w:val="22"/>
              </w:rPr>
              <w:t xml:space="preserve"/>
            </w:r>
          </w:p>
        </w:tc>
        <w:tc>
          <w:tcPr>
            <w:tcW w:type="dxa" w:w="5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60"/>
              <w:jc w:val="left"/>
            </w:pPr>
            <w:r>
              <w:rPr>
                <w:rFonts w:ascii="Arial" w:cs="Arial" w:eastAsia="Arial" w:hAnsi="Arial"/>
                <w:b/>
                <w:bCs/>
                <w:i w:val="false"/>
                <w:iCs w:val="false"/>
                <w:color w:val="0D1B2A"/>
                <w:sz w:val="20"/>
                <w:szCs w:val="20"/>
              </w:rPr>
              <w:t xml:space="preserve">Live Deliverables</w:t>
            </w:r>
          </w:p>
          <w:p>
            <w:pPr>
              <w:pStyle w:val="ListParagraph"/>
              <w:numPr>
                <w:ilvl w:val="0"/>
                <w:numId w:val="2"/>
              </w:numPr>
              <w:spacing w:after="40" w:before="40"/>
            </w:pPr>
            <w:r>
              <w:rPr>
                <w:rFonts w:ascii="Arial" w:cs="Arial" w:eastAsia="Arial" w:hAnsi="Arial"/>
                <w:color w:val="0D1B2A"/>
                <w:sz w:val="21"/>
                <w:szCs w:val="21"/>
              </w:rPr>
              <w:t xml:space="preserve">ZYFER — jmckenney3563.github.io/ZYFER_WEBSITE</w:t>
            </w:r>
          </w:p>
          <w:p>
            <w:pPr>
              <w:pStyle w:val="ListParagraph"/>
              <w:numPr>
                <w:ilvl w:val="0"/>
                <w:numId w:val="2"/>
              </w:numPr>
              <w:spacing w:after="40" w:before="40"/>
            </w:pPr>
            <w:r>
              <w:rPr>
                <w:rFonts w:ascii="Arial" w:cs="Arial" w:eastAsia="Arial" w:hAnsi="Arial"/>
                <w:color w:val="0D1B2A"/>
                <w:sz w:val="21"/>
                <w:szCs w:val="21"/>
              </w:rPr>
              <w:t xml:space="preserve">dalewoodfarmsllc.com — full e-commerce + subscription platform</w:t>
            </w:r>
          </w:p>
          <w:p>
            <w:pPr>
              <w:pStyle w:val="ListParagraph"/>
              <w:numPr>
                <w:ilvl w:val="0"/>
                <w:numId w:val="2"/>
              </w:numPr>
              <w:spacing w:after="40" w:before="40"/>
            </w:pPr>
            <w:r>
              <w:rPr>
                <w:rFonts w:ascii="Arial" w:cs="Arial" w:eastAsia="Arial" w:hAnsi="Arial"/>
                <w:color w:val="0D1B2A"/>
                <w:sz w:val="21"/>
                <w:szCs w:val="21"/>
              </w:rPr>
              <w:t xml:space="preserve">cosbytowing.pro — professional services site with logistics integration</w:t>
            </w:r>
          </w:p>
          <w:p>
            <w:pPr>
              <w:spacing w:after="60" w:before="0"/>
              <w:jc w:val="left"/>
            </w:pPr>
            <w:r>
              <w:rPr>
                <w:rFonts w:ascii="Arial" w:cs="Arial" w:eastAsia="Arial" w:hAnsi="Arial"/>
                <w:b w:val="false"/>
                <w:bCs w:val="false"/>
                <w:i w:val="false"/>
                <w:iCs w:val="false"/>
                <w:color w:val="0D1B2A"/>
                <w:sz w:val="22"/>
                <w:szCs w:val="22"/>
              </w:rPr>
              <w:t xml:space="preserve"/>
            </w:r>
          </w:p>
          <w:p>
            <w:pPr>
              <w:spacing w:after="0" w:before="0"/>
              <w:jc w:val="left"/>
            </w:pPr>
            <w:r>
              <w:rPr>
                <w:rFonts w:ascii="Arial" w:cs="Arial" w:eastAsia="Arial" w:hAnsi="Arial"/>
                <w:b/>
                <w:bCs/>
                <w:i w:val="false"/>
                <w:iCs w:val="false"/>
                <w:color w:val="0D1B2A"/>
                <w:sz w:val="20"/>
                <w:szCs w:val="20"/>
              </w:rPr>
              <w:t xml:space="preserve">Technical Domains</w:t>
            </w:r>
          </w:p>
          <w:p>
            <w:pPr>
              <w:pStyle w:val="ListParagraph"/>
              <w:numPr>
                <w:ilvl w:val="0"/>
                <w:numId w:val="2"/>
              </w:numPr>
              <w:spacing w:after="40" w:before="40"/>
            </w:pPr>
            <w:r>
              <w:rPr>
                <w:rFonts w:ascii="Arial" w:cs="Arial" w:eastAsia="Arial" w:hAnsi="Arial"/>
                <w:color w:val="0D1B2A"/>
                <w:sz w:val="21"/>
                <w:szCs w:val="21"/>
              </w:rPr>
              <w:t xml:space="preserve">AI/ML detection systems &amp; adversarial robustness</w:t>
            </w:r>
          </w:p>
          <w:p>
            <w:pPr>
              <w:pStyle w:val="ListParagraph"/>
              <w:numPr>
                <w:ilvl w:val="0"/>
                <w:numId w:val="2"/>
              </w:numPr>
              <w:spacing w:after="40" w:before="40"/>
            </w:pPr>
            <w:r>
              <w:rPr>
                <w:rFonts w:ascii="Arial" w:cs="Arial" w:eastAsia="Arial" w:hAnsi="Arial"/>
                <w:color w:val="0D1B2A"/>
                <w:sz w:val="21"/>
                <w:szCs w:val="21"/>
              </w:rPr>
              <w:t xml:space="preserve">Zero-trust security architecture</w:t>
            </w:r>
          </w:p>
          <w:p>
            <w:pPr>
              <w:pStyle w:val="ListParagraph"/>
              <w:numPr>
                <w:ilvl w:val="0"/>
                <w:numId w:val="2"/>
              </w:numPr>
              <w:spacing w:after="40" w:before="40"/>
            </w:pPr>
            <w:r>
              <w:rPr>
                <w:rFonts w:ascii="Arial" w:cs="Arial" w:eastAsia="Arial" w:hAnsi="Arial"/>
                <w:color w:val="0D1B2A"/>
                <w:sz w:val="21"/>
                <w:szCs w:val="21"/>
              </w:rPr>
              <w:t xml:space="preserve">Cloud-native platform design (AWS/Azure/GCP)</w:t>
            </w:r>
          </w:p>
          <w:p>
            <w:pPr>
              <w:pStyle w:val="ListParagraph"/>
              <w:numPr>
                <w:ilvl w:val="0"/>
                <w:numId w:val="2"/>
              </w:numPr>
              <w:spacing w:after="40" w:before="40"/>
            </w:pPr>
            <w:r>
              <w:rPr>
                <w:rFonts w:ascii="Arial" w:cs="Arial" w:eastAsia="Arial" w:hAnsi="Arial"/>
                <w:color w:val="0D1B2A"/>
                <w:sz w:val="21"/>
                <w:szCs w:val="21"/>
              </w:rPr>
              <w:t xml:space="preserve">GRC documentation &amp; compliance framework mapping</w:t>
            </w:r>
          </w:p>
          <w:p>
            <w:pPr>
              <w:pStyle w:val="ListParagraph"/>
              <w:numPr>
                <w:ilvl w:val="0"/>
                <w:numId w:val="2"/>
              </w:numPr>
              <w:spacing w:after="40" w:before="40"/>
            </w:pPr>
            <w:r>
              <w:rPr>
                <w:rFonts w:ascii="Arial" w:cs="Arial" w:eastAsia="Arial" w:hAnsi="Arial"/>
                <w:color w:val="0D1B2A"/>
                <w:sz w:val="21"/>
                <w:szCs w:val="21"/>
              </w:rPr>
              <w:t xml:space="preserve">Explainable AI (LIME, SHAP)</w:t>
            </w:r>
          </w:p>
          <w:p>
            <w:pPr>
              <w:pStyle w:val="ListParagraph"/>
              <w:numPr>
                <w:ilvl w:val="0"/>
                <w:numId w:val="2"/>
              </w:numPr>
              <w:spacing w:after="40" w:before="40"/>
            </w:pPr>
            <w:r>
              <w:rPr>
                <w:rFonts w:ascii="Arial" w:cs="Arial" w:eastAsia="Arial" w:hAnsi="Arial"/>
                <w:color w:val="0D1B2A"/>
                <w:sz w:val="21"/>
                <w:szCs w:val="21"/>
              </w:rPr>
              <w:t xml:space="preserve">Full-stack web development &amp; client delivery</w:t>
            </w:r>
          </w:p>
          <w:p>
            <w:pPr>
              <w:spacing w:after="60" w:before="0"/>
              <w:jc w:val="left"/>
            </w:pPr>
            <w:r>
              <w:rPr>
                <w:rFonts w:ascii="Arial" w:cs="Arial" w:eastAsia="Arial" w:hAnsi="Arial"/>
                <w:b w:val="false"/>
                <w:bCs w:val="false"/>
                <w:i w:val="false"/>
                <w:iCs w:val="false"/>
                <w:color w:val="0D1B2A"/>
                <w:sz w:val="22"/>
                <w:szCs w:val="22"/>
              </w:rPr>
              <w:t xml:space="preserve"/>
            </w:r>
          </w:p>
        </w:tc>
      </w:tr>
    </w:tbl>
    <w:p>
      <w:pPr>
        <w:pBdr>
          <w:bottom w:val="single" w:color="CBD5E1" w:sz="4" w:space="1"/>
        </w:pBd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top"/>
          </w:tcPr>
          <w:p>
            <w:pPr>
              <w:spacing w:after="0" w:before="100" w:line="276"/>
              <w:jc w:val="center"/>
            </w:pPr>
            <w:r>
              <w:rPr>
                <w:rFonts w:ascii="Arial" w:cs="Arial" w:eastAsia="Arial" w:hAnsi="Arial"/>
                <w:b w:val="false"/>
                <w:bCs w:val="false"/>
                <w:i w:val="false"/>
                <w:iCs w:val="false"/>
                <w:color w:val="E8F4FD"/>
                <w:sz w:val="20"/>
                <w:szCs w:val="20"/>
              </w:rPr>
              <w:t xml:space="preserve">ZYFER represents the convergence of enterprise GRC expertise, AI engineering, and zero-trust security architecture — built to address a threat category that most organizations are not yet equipped to handle.</w:t>
            </w:r>
          </w:p>
          <w:p>
            <w:pPr>
              <w:spacing w:after="0" w:before="80"/>
              <w:jc w:val="center"/>
            </w:pPr>
            <w:r>
              <w:rPr>
                <w:rFonts w:ascii="Arial" w:cs="Arial" w:eastAsia="Arial" w:hAnsi="Arial"/>
                <w:b/>
                <w:bCs/>
                <w:i w:val="false"/>
                <w:iCs w:val="false"/>
                <w:color w:val="FFFFFF"/>
                <w:sz w:val="22"/>
                <w:szCs w:val="22"/>
              </w:rPr>
              <w:t xml:space="preserve">Available for full-time, contract, and consulting engagements.</w:t>
            </w:r>
          </w:p>
          <w:p>
            <w:pPr>
              <w:spacing w:after="100" w:before="60"/>
              <w:jc w:val="center"/>
            </w:pPr>
            <w:r>
              <w:rPr>
                <w:rFonts w:ascii="Arial" w:cs="Arial" w:eastAsia="Arial" w:hAnsi="Arial"/>
                <w:b w:val="false"/>
                <w:bCs w:val="false"/>
                <w:i w:val="false"/>
                <w:iCs w:val="false"/>
                <w:color w:val="1B98E0"/>
                <w:sz w:val="18"/>
                <w:szCs w:val="18"/>
              </w:rPr>
              <w:t xml:space="preserve">GitHub: github.com/jmckenney3563  ·  ZYFER Live: jmckenney3563.github.io/ZYFER_WEBSITE</w:t>
            </w:r>
          </w:p>
        </w:tc>
      </w:tr>
    </w:tbl>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after="0" w:before="80"/>
      <w:jc w:val="center"/>
    </w:pPr>
    <w:r>
      <w:rPr>
        <w:rFonts w:ascii="Arial" w:cs="Arial" w:eastAsia="Arial" w:hAnsi="Arial"/>
        <w:color w:val="546E7A"/>
        <w:sz w:val="17"/>
        <w:szCs w:val="17"/>
      </w:rPr>
      <w:t xml:space="preserve">ZYFER Security Solutions  ·  Zero-Trust Synthetic Forensics Engine  ·  Page </w:t>
    </w:r>
    <w:r>
      <w:rPr>
        <w:rFonts w:ascii="Arial" w:cs="Arial" w:eastAsia="Arial" w:hAnsi="Arial"/>
        <w:color w:val="546E7A"/>
        <w:sz w:val="17"/>
        <w:szCs w:val="17"/>
      </w:rPr>
      <w:fldChar w:fldCharType="begin"/>
      <w:instrText xml:space="preserve">PAGE</w:instrText>
      <w:fldChar w:fldCharType="separate"/>
      <w:fldChar w:fldCharType="end"/>
    </w:r>
    <w:r>
      <w:rPr>
        <w:rFonts w:ascii="Arial" w:cs="Arial" w:eastAsia="Arial" w:hAnsi="Arial"/>
        <w:color w:val="546E7A"/>
        <w:sz w:val="17"/>
        <w:szCs w:val="17"/>
      </w:rPr>
      <w:t xml:space="preserve"> of </w:t>
    </w:r>
    <w:r>
      <w:rPr>
        <w:rFonts w:ascii="Arial" w:cs="Arial" w:eastAsia="Arial" w:hAnsi="Arial"/>
        <w:color w:val="546E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546E7A"/>
              <w:sz w:val="18"/>
              <w:szCs w:val="18"/>
            </w:rPr>
            <w:t xml:space="preserve">ZYFER  |  Case Study</w:t>
          </w:r>
        </w:p>
      </w:tc>
      <w:tc>
        <w:tcPr>
          <w:tcW w:type="dxa" w:w="3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top"/>
        </w:tcPr>
        <w:p>
          <w:pPr>
            <w:spacing w:after="0" w:before="0"/>
            <w:jc w:val="right"/>
          </w:pPr>
          <w:r>
            <w:rPr>
              <w:rFonts w:ascii="Arial" w:cs="Arial" w:eastAsia="Arial" w:hAnsi="Arial"/>
              <w:b w:val="false"/>
              <w:bCs w:val="false"/>
              <w:i w:val="false"/>
              <w:iCs w:val="false"/>
              <w:color w:val="CBD5E1"/>
              <w:sz w:val="17"/>
              <w:szCs w:val="17"/>
            </w:rPr>
            <w:t xml:space="preserve">Confidential — For Employer Review</w:t>
          </w:r>
        </w:p>
      </w:tc>
    </w:tr>
  </w:tbl>
  <w:p>
    <w:pPr>
      <w:pBdr>
        <w:bottom w:val="single" w:color="1B98E0" w:sz="4" w:space="2"/>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2026-05-15T03:09:27.330Z</dcterms:created>
  <dcterms:modified xsi:type="dcterms:W3CDTF">2026-05-15T03:09:27.330Z</dcterms:modified>
</cp:coreProperties>
</file>

<file path=docProps/custom.xml><?xml version="1.0" encoding="utf-8"?>
<Properties xmlns="http://schemas.openxmlformats.org/officeDocument/2006/custom-properties" xmlns:vt="http://schemas.openxmlformats.org/officeDocument/2006/docPropsVTypes"/>
</file>