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ccac8daf86c83395972787cdc9bb1779f145240"/>
    <w:p>
      <w:pPr>
        <w:pStyle w:val="Heading1"/>
      </w:pPr>
      <w:r>
        <w:t xml:space="preserve">School closure scenarios: what to weigh before deciding</w:t>
      </w:r>
    </w:p>
    <w:p>
      <w:pPr>
        <w:pStyle w:val="FirstParagraph"/>
      </w:pPr>
      <w:r>
        <w:rPr>
          <w:iCs/>
          <w:i/>
        </w:rPr>
        <w:t xml:space="preserve">Legion of Data Nerds · Budget brief · Fall 2026</w:t>
      </w:r>
    </w:p>
    <w:p>
      <w:pPr>
        <w:pStyle w:val="BodyText"/>
      </w:pPr>
      <w:r>
        <w:t xml:space="preserve">District 65 needs to cut about 10% of its budget. We looked at class sizes, the options on the table, our staffing against the State's funding model, building costs and the closure scenarios.</w:t>
      </w:r>
    </w:p>
    <w:p>
      <w:pPr>
        <w:pStyle w:val="BlockText"/>
      </w:pPr>
      <w:r>
        <w:rPr>
          <w:bCs/>
          <w:b/>
        </w:rPr>
        <w:t xml:space="preserve">About this version.</w:t>
      </w:r>
      <w:r>
        <w:t xml:space="preserve"> </w:t>
      </w:r>
      <w:r>
        <w:t xml:space="preserve">This is a text version of</w:t>
      </w:r>
      <w:r>
        <w:t xml:space="preserve"> </w:t>
      </w:r>
      <w:r>
        <w:rPr>
          <w:rStyle w:val="VerbatimChar"/>
        </w:rPr>
        <w:t xml:space="preserve">d65_budget_choices_handout.pdf</w:t>
      </w:r>
      <w:r>
        <w:t xml:space="preserve">. It adds three things, each marked</w:t>
      </w:r>
      <w:r>
        <w:t xml:space="preserve"> </w:t>
      </w:r>
      <w:r>
        <w:rPr>
          <w:bCs/>
          <w:b/>
        </w:rPr>
        <w:t xml:space="preserve">Added</w:t>
      </w:r>
      <w:r>
        <w:t xml:space="preserve">:</w:t>
      </w:r>
    </w:p>
    <w:p>
      <w:pPr>
        <w:numPr>
          <w:ilvl w:val="0"/>
          <w:numId w:val="1001"/>
        </w:numPr>
        <w:pStyle w:val="Compact"/>
      </w:pPr>
      <w:r>
        <w:t xml:space="preserve">The facility plan's capital needs, folded into the building-cost comparison (section 01)</w:t>
      </w:r>
    </w:p>
    <w:p>
      <w:pPr>
        <w:numPr>
          <w:ilvl w:val="0"/>
          <w:numId w:val="1001"/>
        </w:numPr>
        <w:pStyle w:val="Compact"/>
      </w:pPr>
      <w:r>
        <w:t xml:space="preserve">Closing Dawes, as a single closure and in pairs (section 02)</w:t>
      </w:r>
    </w:p>
    <w:p>
      <w:pPr>
        <w:numPr>
          <w:ilvl w:val="0"/>
          <w:numId w:val="1001"/>
        </w:numPr>
        <w:pStyle w:val="Compact"/>
      </w:pPr>
      <w:r>
        <w:t xml:space="preserve">A check of the handout's classroom counts against the District's March 2026 Facility Master Plan (appendix)</w:t>
      </w:r>
    </w:p>
    <w:bookmarkStart w:id="20" w:name="what-should-guide-the-plan"/>
    <w:p>
      <w:pPr>
        <w:pStyle w:val="Heading2"/>
      </w:pPr>
      <w:r>
        <w:t xml:space="preserve">What should guide the plan</w:t>
      </w:r>
    </w:p>
    <w:p>
      <w:pPr>
        <w:numPr>
          <w:ilvl w:val="0"/>
          <w:numId w:val="1002"/>
        </w:numPr>
        <w:pStyle w:val="Compact"/>
      </w:pPr>
      <w:r>
        <w:rPr>
          <w:bCs/>
          <w:b/>
        </w:rPr>
        <w:t xml:space="preserve">Decide by outcomes, not dollars.</w:t>
      </w:r>
      <w:r>
        <w:t xml:space="preserve"> </w:t>
      </w:r>
      <w:r>
        <w:t xml:space="preserve">Orient decisions and accountability toward what students learn, and judge every cut by its effect on the classroom.</w:t>
      </w:r>
    </w:p>
    <w:p>
      <w:pPr>
        <w:numPr>
          <w:ilvl w:val="0"/>
          <w:numId w:val="1002"/>
        </w:numPr>
        <w:pStyle w:val="Compact"/>
      </w:pPr>
      <w:r>
        <w:rPr>
          <w:bCs/>
          <w:b/>
        </w:rPr>
        <w:t xml:space="preserve">Build a learning organization.</w:t>
      </w:r>
      <w:r>
        <w:t xml:space="preserve"> </w:t>
      </w:r>
      <w:r>
        <w:t xml:space="preserve">Use data to improve, and be willing to say when something didn't work and change course.</w:t>
      </w:r>
    </w:p>
    <w:p>
      <w:pPr>
        <w:numPr>
          <w:ilvl w:val="0"/>
          <w:numId w:val="1002"/>
        </w:numPr>
        <w:pStyle w:val="Compact"/>
      </w:pPr>
      <w:r>
        <w:rPr>
          <w:bCs/>
          <w:b/>
        </w:rPr>
        <w:t xml:space="preserve">Engaged families are an asset.</w:t>
      </w:r>
      <w:r>
        <w:t xml:space="preserve"> </w:t>
      </w:r>
      <w:r>
        <w:t xml:space="preserve">Community groups like ours are part of a healthy district. When parents check out, the system has already failed.</w:t>
      </w:r>
    </w:p>
    <w:bookmarkEnd w:id="20"/>
    <w:bookmarkStart w:id="21" w:name="risk-assessment-a-building-first-plan"/>
    <w:p>
      <w:pPr>
        <w:pStyle w:val="Heading2"/>
      </w:pPr>
      <w:r>
        <w:t xml:space="preserve">Risk assessment: a building-first plan</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tblGrid>
      <w:tr>
        <w:trPr>
          <w:tblHeader w:val="true"/>
        </w:trPr>
        <w:tc>
          <w:tcPr>
            <w:shd w:val="clear" w:fill="E8ECF3"/>
          </w:tcPr>
          <w:p>
            <w:pPr>
              <w:pStyle w:val="Compact"/>
              <w:jc w:val="left"/>
            </w:pPr>
            <w:r>
              <w:rPr>
                <w:rFonts w:ascii="Arial" w:hAnsi="Arial"/>
                <w:b/>
                <w:sz w:val="18"/>
              </w:rPr>
              <w:t xml:space="preserve">Risk</w:t>
            </w:r>
          </w:p>
        </w:tc>
        <w:tc>
          <w:tcPr>
            <w:shd w:val="clear" w:fill="E8ECF3"/>
          </w:tcPr>
          <w:p>
            <w:pPr>
              <w:pStyle w:val="Compact"/>
              <w:jc w:val="left"/>
            </w:pPr>
            <w:r>
              <w:rPr>
                <w:rFonts w:ascii="Arial" w:hAnsi="Arial"/>
                <w:b/>
                <w:sz w:val="18"/>
              </w:rPr>
              <w:t xml:space="preserve">Level</w:t>
            </w:r>
          </w:p>
        </w:tc>
        <w:tc>
          <w:tcPr>
            <w:shd w:val="clear" w:fill="E8ECF3"/>
          </w:tcPr>
          <w:p>
            <w:pPr>
              <w:pStyle w:val="Compact"/>
              <w:jc w:val="left"/>
            </w:pPr>
            <w:r>
              <w:rPr>
                <w:rFonts w:ascii="Arial" w:hAnsi="Arial"/>
                <w:b/>
                <w:sz w:val="18"/>
              </w:rPr>
              <w:t xml:space="preserve">What we found</w:t>
            </w:r>
          </w:p>
        </w:tc>
      </w:tr>
      <w:tr>
        <w:tc>
          <w:tcPr/>
          <w:p>
            <w:pPr>
              <w:pStyle w:val="Compact"/>
              <w:jc w:val="left"/>
            </w:pPr>
            <w:r>
              <w:rPr>
                <w:rFonts w:ascii="Arial" w:hAnsi="Arial"/>
                <w:sz w:val="18"/>
              </w:rPr>
              <w:t xml:space="preserve">Enrollment numbers are off</w:t>
            </w:r>
          </w:p>
        </w:tc>
        <w:tc>
          <w:tcPr/>
          <w:p>
            <w:pPr>
              <w:pStyle w:val="Compact"/>
              <w:jc w:val="left"/>
            </w:pPr>
            <w:r>
              <w:rPr>
                <w:bCs/>
                <w:rFonts w:ascii="Arial" w:hAnsi="Arial"/>
                <w:b/>
                <w:sz w:val="18"/>
              </w:rPr>
              <w:t xml:space="preserve">High</w:t>
            </w:r>
          </w:p>
        </w:tc>
        <w:tc>
          <w:tcPr/>
          <w:p>
            <w:pPr>
              <w:pStyle w:val="Compact"/>
              <w:jc w:val="left"/>
            </w:pPr>
            <w:r>
              <w:rPr>
                <w:rFonts w:ascii="Arial" w:hAnsi="Arial"/>
                <w:sz w:val="18"/>
              </w:rPr>
              <w:t xml:space="preserve">May projection: 604 kindergartners; fall actual: 534 (−12%). About 210 students attend by permissive transfer.</w:t>
            </w:r>
          </w:p>
        </w:tc>
      </w:tr>
      <w:tr>
        <w:tc>
          <w:tcPr/>
          <w:p>
            <w:pPr>
              <w:pStyle w:val="Compact"/>
              <w:jc w:val="left"/>
            </w:pPr>
            <w:r>
              <w:rPr>
                <w:rFonts w:ascii="Arial" w:hAnsi="Arial"/>
                <w:sz w:val="18"/>
              </w:rPr>
              <w:t xml:space="preserve">Receiving schools overfill</w:t>
            </w:r>
          </w:p>
        </w:tc>
        <w:tc>
          <w:tcPr/>
          <w:p>
            <w:pPr>
              <w:pStyle w:val="Compact"/>
              <w:jc w:val="left"/>
            </w:pPr>
            <w:r>
              <w:rPr>
                <w:bCs/>
                <w:rFonts w:ascii="Arial" w:hAnsi="Arial"/>
                <w:b/>
                <w:sz w:val="18"/>
              </w:rPr>
              <w:t xml:space="preserve">High</w:t>
            </w:r>
          </w:p>
        </w:tc>
        <w:tc>
          <w:tcPr/>
          <w:p>
            <w:pPr>
              <w:pStyle w:val="Compact"/>
              <w:jc w:val="left"/>
            </w:pPr>
            <w:r>
              <w:rPr>
                <w:bCs/>
                <w:rFonts w:ascii="Arial" w:hAnsi="Arial"/>
                <w:b/>
                <w:sz w:val="18"/>
              </w:rPr>
              <w:t xml:space="preserve">8 of 19</w:t>
            </w:r>
            <w:r>
              <w:rPr>
                <w:rFonts w:ascii="Arial" w:hAnsi="Arial"/>
                <w:sz w:val="18"/>
              </w:rPr>
              <w:t xml:space="preserve"> </w:t>
            </w:r>
            <w:r>
              <w:rPr>
                <w:rFonts w:ascii="Arial" w:hAnsi="Arial"/>
                <w:sz w:val="18"/>
              </w:rPr>
              <w:t xml:space="preserve">scenarios push a school past capacity (7 of 15 before Dawes was added).</w:t>
            </w:r>
          </w:p>
        </w:tc>
      </w:tr>
      <w:tr>
        <w:tc>
          <w:tcPr/>
          <w:p>
            <w:pPr>
              <w:pStyle w:val="Compact"/>
              <w:jc w:val="left"/>
            </w:pPr>
            <w:r>
              <w:rPr>
                <w:rFonts w:ascii="Arial" w:hAnsi="Arial"/>
                <w:sz w:val="18"/>
              </w:rPr>
              <w:t xml:space="preserve">Low-enrollment programs</w:t>
            </w:r>
          </w:p>
        </w:tc>
        <w:tc>
          <w:tcPr/>
          <w:p>
            <w:pPr>
              <w:pStyle w:val="Compact"/>
              <w:jc w:val="left"/>
            </w:pPr>
            <w:r>
              <w:rPr>
                <w:bCs/>
                <w:rFonts w:ascii="Arial" w:hAnsi="Arial"/>
                <w:b/>
                <w:sz w:val="18"/>
              </w:rPr>
              <w:t xml:space="preserve">High</w:t>
            </w:r>
          </w:p>
        </w:tc>
        <w:tc>
          <w:tcPr/>
          <w:p>
            <w:pPr>
              <w:pStyle w:val="Compact"/>
              <w:jc w:val="left"/>
            </w:pPr>
            <w:r>
              <w:rPr>
                <w:rFonts w:ascii="Arial" w:hAnsi="Arial"/>
                <w:sz w:val="18"/>
              </w:rPr>
              <w:t xml:space="preserve">Closing TWI, ACC or STEP buildings means moving whole programs.</w:t>
            </w:r>
          </w:p>
        </w:tc>
      </w:tr>
      <w:tr>
        <w:tc>
          <w:tcPr/>
          <w:p>
            <w:pPr>
              <w:pStyle w:val="Compact"/>
              <w:jc w:val="left"/>
            </w:pPr>
            <w:r>
              <w:rPr>
                <w:rFonts w:ascii="Arial" w:hAnsi="Arial"/>
                <w:sz w:val="18"/>
              </w:rPr>
              <w:t xml:space="preserve">One-time costs and special ed</w:t>
            </w:r>
          </w:p>
        </w:tc>
        <w:tc>
          <w:tcPr/>
          <w:p>
            <w:pPr>
              <w:pStyle w:val="Compact"/>
              <w:jc w:val="left"/>
            </w:pPr>
            <w:r>
              <w:rPr>
                <w:bCs/>
                <w:rFonts w:ascii="Arial" w:hAnsi="Arial"/>
                <w:b/>
                <w:sz w:val="18"/>
              </w:rPr>
              <w:t xml:space="preserve">High</w:t>
            </w:r>
          </w:p>
        </w:tc>
        <w:tc>
          <w:tcPr/>
          <w:p>
            <w:pPr>
              <w:pStyle w:val="Compact"/>
              <w:jc w:val="left"/>
            </w:pPr>
            <w:r>
              <w:rPr>
                <w:rFonts w:ascii="Arial" w:hAnsi="Arial"/>
                <w:sz w:val="18"/>
              </w:rPr>
              <w:t xml:space="preserve">Costs come before savings; IEP services must continue uninterrupted.</w:t>
            </w:r>
          </w:p>
        </w:tc>
      </w:tr>
      <w:tr>
        <w:tc>
          <w:tcPr/>
          <w:p>
            <w:pPr>
              <w:pStyle w:val="Compact"/>
              <w:jc w:val="left"/>
            </w:pPr>
            <w:r>
              <w:rPr>
                <w:rFonts w:ascii="Arial" w:hAnsi="Arial"/>
                <w:sz w:val="18"/>
              </w:rPr>
              <w:t xml:space="preserve">A two-tier system</w:t>
            </w:r>
          </w:p>
        </w:tc>
        <w:tc>
          <w:tcPr/>
          <w:p>
            <w:pPr>
              <w:pStyle w:val="Compact"/>
              <w:jc w:val="left"/>
            </w:pPr>
            <w:r>
              <w:rPr>
                <w:bCs/>
                <w:rFonts w:ascii="Arial" w:hAnsi="Arial"/>
                <w:b/>
                <w:sz w:val="18"/>
              </w:rPr>
              <w:t xml:space="preserve">High</w:t>
            </w:r>
          </w:p>
        </w:tc>
        <w:tc>
          <w:tcPr/>
          <w:p>
            <w:pPr>
              <w:pStyle w:val="Compact"/>
              <w:jc w:val="left"/>
            </w:pPr>
            <w:r>
              <w:rPr>
                <w:rFonts w:ascii="Arial" w:hAnsi="Arial"/>
                <w:sz w:val="18"/>
              </w:rPr>
              <w:t xml:space="preserve">Families who can afford it opt for private school, leaving D65 with fewer resources and less engaged support.</w:t>
            </w:r>
          </w:p>
        </w:tc>
      </w:tr>
      <w:tr>
        <w:tc>
          <w:tcPr/>
          <w:p>
            <w:pPr>
              <w:pStyle w:val="Compact"/>
              <w:jc w:val="left"/>
            </w:pPr>
            <w:r>
              <w:rPr>
                <w:rFonts w:ascii="Arial" w:hAnsi="Arial"/>
                <w:sz w:val="18"/>
              </w:rPr>
              <w:t xml:space="preserve">Transportation costs</w:t>
            </w:r>
          </w:p>
        </w:tc>
        <w:tc>
          <w:tcPr/>
          <w:p>
            <w:pPr>
              <w:pStyle w:val="Compact"/>
              <w:jc w:val="left"/>
            </w:pPr>
            <w:r>
              <w:rPr>
                <w:rFonts w:ascii="Arial" w:hAnsi="Arial"/>
                <w:sz w:val="18"/>
              </w:rPr>
              <w:t xml:space="preserve">Medium</w:t>
            </w:r>
          </w:p>
        </w:tc>
        <w:tc>
          <w:tcPr/>
          <w:p>
            <w:pPr>
              <w:pStyle w:val="Compact"/>
              <w:jc w:val="left"/>
            </w:pPr>
            <w:r>
              <w:rPr>
                <w:rFonts w:ascii="Arial" w:hAnsi="Arial"/>
                <w:sz w:val="18"/>
              </w:rPr>
              <w:t xml:space="preserve">$150–270K a year per closure, 20–35% of building savings.</w:t>
            </w:r>
          </w:p>
        </w:tc>
      </w:tr>
      <w:tr>
        <w:tc>
          <w:tcPr/>
          <w:p>
            <w:pPr>
              <w:pStyle w:val="Compact"/>
              <w:jc w:val="left"/>
            </w:pPr>
            <w:r>
              <w:rPr>
                <w:rFonts w:ascii="Arial" w:hAnsi="Arial"/>
                <w:sz w:val="18"/>
              </w:rPr>
              <w:t xml:space="preserve">Equity</w:t>
            </w:r>
          </w:p>
        </w:tc>
        <w:tc>
          <w:tcPr/>
          <w:p>
            <w:pPr>
              <w:pStyle w:val="Compact"/>
              <w:jc w:val="left"/>
            </w:pPr>
            <w:r>
              <w:rPr>
                <w:rFonts w:ascii="Arial" w:hAnsi="Arial"/>
                <w:sz w:val="18"/>
              </w:rPr>
              <w:t xml:space="preserve">Medium</w:t>
            </w:r>
          </w:p>
        </w:tc>
        <w:tc>
          <w:tcPr/>
          <w:p>
            <w:pPr>
              <w:pStyle w:val="Compact"/>
              <w:jc w:val="left"/>
            </w:pPr>
            <w:r>
              <w:rPr>
                <w:rFonts w:ascii="Arial" w:hAnsi="Arial"/>
                <w:sz w:val="18"/>
              </w:rPr>
              <w:t xml:space="preserve">Closures land on specific neighborhoods and TWI access.</w:t>
            </w:r>
          </w:p>
        </w:tc>
      </w:tr>
      <w:tr>
        <w:tc>
          <w:tcPr/>
          <w:p>
            <w:pPr>
              <w:pStyle w:val="Compact"/>
              <w:jc w:val="left"/>
            </w:pPr>
            <w:r>
              <w:rPr>
                <w:rFonts w:ascii="Arial" w:hAnsi="Arial"/>
                <w:sz w:val="18"/>
              </w:rPr>
              <w:t xml:space="preserve">Attention is finite</w:t>
            </w:r>
          </w:p>
        </w:tc>
        <w:tc>
          <w:tcPr/>
          <w:p>
            <w:pPr>
              <w:pStyle w:val="Compact"/>
              <w:jc w:val="left"/>
            </w:pPr>
            <w:r>
              <w:rPr>
                <w:rFonts w:ascii="Arial" w:hAnsi="Arial"/>
                <w:sz w:val="18"/>
              </w:rPr>
              <w:t xml:space="preserve">Medium</w:t>
            </w:r>
          </w:p>
        </w:tc>
        <w:tc>
          <w:tcPr/>
          <w:p>
            <w:pPr>
              <w:pStyle w:val="Compact"/>
              <w:jc w:val="left"/>
            </w:pPr>
            <w:r>
              <w:rPr>
                <w:rFonts w:ascii="Arial" w:hAnsi="Arial"/>
                <w:sz w:val="18"/>
              </w:rPr>
              <w:t xml:space="preserve">Closure planning takes time that staffing decisions need.</w:t>
            </w:r>
          </w:p>
        </w:tc>
      </w:tr>
    </w:tbl>
    <w:bookmarkEnd w:id="21"/>
    <w:bookmarkStart w:id="26" w:name="class-size-and-the-student-experience"/>
    <w:p>
      <w:pPr>
        <w:pStyle w:val="Heading2"/>
      </w:pPr>
      <w:r>
        <w:t xml:space="preserve">Class size and the student experience</w:t>
      </w:r>
    </w:p>
    <w:bookmarkStart w:id="25" w:name="X3ac225c03566070d3d4c2deaced38c2b9f16836"/>
    <w:p>
      <w:pPr>
        <w:pStyle w:val="Heading3"/>
      </w:pPr>
      <w:r>
        <w:t xml:space="preserve">A child's class size depends on their school and grade</w:t>
      </w:r>
    </w:p>
    <w:p>
      <w:pPr>
        <w:pStyle w:val="FirstParagraph"/>
      </w:pPr>
      <w:r>
        <w:drawing>
          <wp:inline>
            <wp:extent cx="6035040" cy="2708030"/>
            <wp:effectExtent b="0" l="0" r="0" t="0"/>
            <wp:docPr descr="Students per class at each K–5 school, one dot per class" title="" id="23" name="Picture"/>
            <a:graphic>
              <a:graphicData uri="http://schemas.openxmlformats.org/drawingml/2006/picture">
                <pic:pic>
                  <pic:nvPicPr>
                    <pic:cNvPr descr="images/budget_handout/class_size_by_school.png" id="24" name="Picture"/>
                    <pic:cNvPicPr>
                      <a:picLocks noChangeArrowheads="1" noChangeAspect="1"/>
                    </pic:cNvPicPr>
                  </pic:nvPicPr>
                  <pic:blipFill>
                    <a:blip r:embed="rId22"/>
                    <a:stretch>
                      <a:fillRect/>
                    </a:stretch>
                  </pic:blipFill>
                  <pic:spPr bwMode="auto">
                    <a:xfrm>
                      <a:off x="0" y="0"/>
                      <a:ext cx="6035040" cy="2708030"/>
                    </a:xfrm>
                    <a:prstGeom prst="rect">
                      <a:avLst/>
                    </a:prstGeom>
                    <a:noFill/>
                    <a:ln w="9525">
                      <a:noFill/>
                      <a:headEnd/>
                      <a:tailEnd/>
                    </a:ln>
                  </pic:spPr>
                </pic:pic>
              </a:graphicData>
            </a:graphic>
          </wp:inline>
        </w:drawing>
      </w:r>
    </w:p>
    <w:p>
      <w:pPr>
        <w:numPr>
          <w:ilvl w:val="0"/>
          <w:numId w:val="1003"/>
        </w:numPr>
        <w:pStyle w:val="Compact"/>
      </w:pPr>
      <w:r>
        <w:rPr>
          <w:bCs/>
          <w:b/>
        </w:rPr>
        <w:t xml:space="preserve">Classes run from about 12 to 24 students.</w:t>
      </w:r>
      <w:r>
        <w:t xml:space="preserve"> </w:t>
      </w:r>
      <w:r>
        <w:t xml:space="preserve">Of 190 estimated K–5 classes, 36 have under 16 and 37 have over 21.</w:t>
      </w:r>
    </w:p>
    <w:p>
      <w:pPr>
        <w:numPr>
          <w:ilvl w:val="0"/>
          <w:numId w:val="1003"/>
        </w:numPr>
        <w:pStyle w:val="Compact"/>
      </w:pPr>
      <w:r>
        <w:rPr>
          <w:bCs/>
          <w:b/>
        </w:rPr>
        <w:t xml:space="preserve">Same grade, different school.</w:t>
      </w:r>
      <w:r>
        <w:t xml:space="preserve"> </w:t>
      </w:r>
      <w:r>
        <w:t xml:space="preserve">A 3rd grader at Oakton is in a class of 12–15; at Lincoln, about 21–22.</w:t>
      </w:r>
    </w:p>
    <w:p>
      <w:pPr>
        <w:numPr>
          <w:ilvl w:val="0"/>
          <w:numId w:val="1003"/>
        </w:numPr>
        <w:pStyle w:val="Compact"/>
      </w:pPr>
      <w:r>
        <w:rPr>
          <w:bCs/>
          <w:b/>
        </w:rPr>
        <w:t xml:space="preserve">Fuller buildings don't have bigger classes</w:t>
      </w:r>
      <w:r>
        <w:t xml:space="preserve"> </w:t>
      </w:r>
      <w:r>
        <w:t xml:space="preserve">(r = −0.11). The spread comes from how grades divide into classes and from TWI and ACC strands.</w:t>
      </w:r>
    </w:p>
    <w:p>
      <w:r>
        <w:pict>
          <v:rect style="width:0;height:1.5pt" o:hralign="center" o:hrstd="t" o:hr="t"/>
        </w:pict>
      </w:r>
    </w:p>
    <w:bookmarkEnd w:id="25"/>
    <w:bookmarkEnd w:id="26"/>
    <w:bookmarkStart w:id="35" w:name="Xe06f42fecd76f1a0692ed959469b7a2d112ba52"/>
    <w:p>
      <w:pPr>
        <w:pStyle w:val="Heading2"/>
      </w:pPr>
      <w:r>
        <w:t xml:space="preserve">01 · Building costs: which buildings cost the most to run?</w:t>
      </w:r>
    </w:p>
    <w:p>
      <w:pPr>
        <w:pStyle w:val="FirstParagraph"/>
      </w:pPr>
      <w:r>
        <w:t xml:space="preserve">Every building carries a principal, an office and custodians whatever its size, so emptier buildings cost more per student. At the average closure-scenario enrollment, Oakton, Dawes and Lincolnwood cost the most per student; Lincoln and Orrington the least.</w:t>
      </w:r>
    </w:p>
    <w:p>
      <w:pPr>
        <w:pStyle w:val="BodyText"/>
      </w:pPr>
      <w:r>
        <w:drawing>
          <wp:inline>
            <wp:extent cx="6035040" cy="2591971"/>
            <wp:effectExtent b="0" l="0" r="0" t="0"/>
            <wp:docPr descr="Building cost per student: today, each closure scenario, and the average" title="" id="28" name="Picture"/>
            <a:graphic>
              <a:graphicData uri="http://schemas.openxmlformats.org/drawingml/2006/picture">
                <pic:pic>
                  <pic:nvPicPr>
                    <pic:cNvPr descr="images/budget_handout/building_cost_per_student.png" id="29" name="Picture"/>
                    <pic:cNvPicPr>
                      <a:picLocks noChangeArrowheads="1" noChangeAspect="1"/>
                    </pic:cNvPicPr>
                  </pic:nvPicPr>
                  <pic:blipFill>
                    <a:blip r:embed="rId27"/>
                    <a:stretch>
                      <a:fillRect/>
                    </a:stretch>
                  </pic:blipFill>
                  <pic:spPr bwMode="auto">
                    <a:xfrm>
                      <a:off x="0" y="0"/>
                      <a:ext cx="6035040" cy="2591971"/>
                    </a:xfrm>
                    <a:prstGeom prst="rect">
                      <a:avLst/>
                    </a:prstGeom>
                    <a:noFill/>
                    <a:ln w="9525">
                      <a:noFill/>
                      <a:headEnd/>
                      <a:tailEnd/>
                    </a:ln>
                  </pic:spPr>
                </pic:pic>
              </a:graphicData>
            </a:graphic>
          </wp:inline>
        </w:drawing>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gridCol/>
        <w:gridCol/>
        <w:gridCol/>
        <w:gridCol/>
        <w:gridCol/>
        <w:gridCol/>
      </w:tblGrid>
      <w:tr>
        <w:trPr>
          <w:tblHeader w:val="true"/>
        </w:trPr>
        <w:tc>
          <w:tcPr>
            <w:shd w:val="clear" w:fill="E8ECF3"/>
          </w:tcPr>
          <w:p>
            <w:pPr>
              <w:pStyle w:val="Compact"/>
              <w:jc w:val="left"/>
            </w:pPr>
            <w:r>
              <w:rPr>
                <w:rFonts w:ascii="Arial" w:hAnsi="Arial"/>
                <w:b/>
                <w:sz w:val="18"/>
              </w:rPr>
              <w:t xml:space="preserve">Building</w:t>
            </w:r>
          </w:p>
        </w:tc>
        <w:tc>
          <w:tcPr>
            <w:shd w:val="clear" w:fill="E8ECF3"/>
          </w:tcPr>
          <w:p>
            <w:pPr>
              <w:pStyle w:val="Compact"/>
              <w:jc w:val="right"/>
            </w:pPr>
            <w:r>
              <w:rPr>
                <w:rFonts w:ascii="Arial" w:hAnsi="Arial"/>
                <w:b/>
                <w:sz w:val="18"/>
              </w:rPr>
              <w:t xml:space="preserve">Students</w:t>
            </w:r>
          </w:p>
        </w:tc>
        <w:tc>
          <w:tcPr>
            <w:shd w:val="clear" w:fill="E8ECF3"/>
          </w:tcPr>
          <w:p>
            <w:pPr>
              <w:pStyle w:val="Compact"/>
              <w:jc w:val="left"/>
            </w:pPr>
            <w:r>
              <w:rPr>
                <w:rFonts w:ascii="Arial" w:hAnsi="Arial"/>
                <w:b/>
                <w:sz w:val="18"/>
              </w:rPr>
              <w:t xml:space="preserve">Utilization now → avg*</w:t>
            </w:r>
          </w:p>
        </w:tc>
        <w:tc>
          <w:tcPr>
            <w:shd w:val="clear" w:fill="E8ECF3"/>
          </w:tcPr>
          <w:p>
            <w:pPr>
              <w:pStyle w:val="Compact"/>
              <w:jc w:val="right"/>
            </w:pPr>
            <w:r>
              <w:rPr>
                <w:rFonts w:ascii="Arial" w:hAnsi="Arial"/>
                <w:b/>
                <w:sz w:val="18"/>
              </w:rPr>
              <w:t xml:space="preserve">Principal + office</w:t>
            </w:r>
          </w:p>
        </w:tc>
        <w:tc>
          <w:tcPr>
            <w:shd w:val="clear" w:fill="E8ECF3"/>
          </w:tcPr>
          <w:p>
            <w:pPr>
              <w:pStyle w:val="Compact"/>
              <w:jc w:val="right"/>
            </w:pPr>
            <w:r>
              <w:rPr>
                <w:rFonts w:ascii="Arial" w:hAnsi="Arial"/>
                <w:b/>
                <w:sz w:val="18"/>
              </w:rPr>
              <w:t xml:space="preserve">Custodians</w:t>
            </w:r>
          </w:p>
        </w:tc>
        <w:tc>
          <w:tcPr>
            <w:shd w:val="clear" w:fill="E8ECF3"/>
          </w:tcPr>
          <w:p>
            <w:pPr>
              <w:pStyle w:val="Compact"/>
              <w:jc w:val="right"/>
            </w:pPr>
            <w:r>
              <w:rPr>
                <w:rFonts w:ascii="Arial" w:hAnsi="Arial"/>
                <w:b/>
                <w:sz w:val="18"/>
              </w:rPr>
              <w:t xml:space="preserve">Utilities</w:t>
            </w:r>
          </w:p>
        </w:tc>
        <w:tc>
          <w:tcPr>
            <w:shd w:val="clear" w:fill="E8ECF3"/>
          </w:tcPr>
          <w:p>
            <w:pPr>
              <w:pStyle w:val="Compact"/>
              <w:jc w:val="right"/>
            </w:pPr>
            <w:r>
              <w:rPr>
                <w:rFonts w:ascii="Arial" w:hAnsi="Arial"/>
                <w:b/>
                <w:sz w:val="18"/>
              </w:rPr>
              <w:t xml:space="preserve">Total a year</w:t>
            </w:r>
          </w:p>
        </w:tc>
        <w:tc>
          <w:tcPr>
            <w:shd w:val="clear" w:fill="E8ECF3"/>
          </w:tcPr>
          <w:p>
            <w:pPr>
              <w:pStyle w:val="Compact"/>
              <w:jc w:val="right"/>
            </w:pPr>
            <w:r>
              <w:rPr>
                <w:rFonts w:ascii="Arial" w:hAnsi="Arial"/>
                <w:b/>
                <w:sz w:val="18"/>
              </w:rPr>
              <w:t xml:space="preserve">Per student now</w:t>
            </w:r>
          </w:p>
        </w:tc>
        <w:tc>
          <w:tcPr>
            <w:shd w:val="clear" w:fill="E8ECF3"/>
          </w:tcPr>
          <w:p>
            <w:pPr>
              <w:pStyle w:val="Compact"/>
              <w:jc w:val="right"/>
            </w:pPr>
            <w:r>
              <w:rPr>
                <w:rFonts w:ascii="Arial" w:hAnsi="Arial"/>
                <w:b/>
                <w:sz w:val="18"/>
              </w:rPr>
              <w:t xml:space="preserve">Per student, scenario avg*</w:t>
            </w:r>
          </w:p>
        </w:tc>
      </w:tr>
      <w:tr>
        <w:tc>
          <w:tcPr/>
          <w:p>
            <w:pPr>
              <w:pStyle w:val="Compact"/>
              <w:jc w:val="left"/>
            </w:pPr>
            <w:r>
              <w:rPr>
                <w:rFonts w:ascii="Arial" w:hAnsi="Arial"/>
                <w:sz w:val="18"/>
              </w:rPr>
              <w:t xml:space="preserve">Oakton</w:t>
            </w:r>
          </w:p>
        </w:tc>
        <w:tc>
          <w:tcPr/>
          <w:p>
            <w:pPr>
              <w:pStyle w:val="Compact"/>
              <w:jc w:val="right"/>
            </w:pPr>
            <w:r>
              <w:rPr>
                <w:rFonts w:ascii="Arial" w:hAnsi="Arial"/>
                <w:sz w:val="18"/>
              </w:rPr>
              <w:t xml:space="preserve">367</w:t>
            </w:r>
          </w:p>
        </w:tc>
        <w:tc>
          <w:tcPr/>
          <w:p>
            <w:pPr>
              <w:pStyle w:val="Compact"/>
              <w:jc w:val="left"/>
            </w:pPr>
            <w:r>
              <w:rPr>
                <w:rFonts w:ascii="Arial" w:hAnsi="Arial"/>
                <w:sz w:val="18"/>
              </w:rPr>
              <w:t xml:space="preserve">79% → 84%</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$345K</w:t>
            </w:r>
          </w:p>
        </w:tc>
        <w:tc>
          <w:tcPr/>
          <w:p>
            <w:pPr>
              <w:pStyle w:val="Compact"/>
              <w:jc w:val="right"/>
            </w:pPr>
            <w:r>
              <w:rPr>
                <w:rFonts w:ascii="Arial" w:hAnsi="Arial"/>
                <w:sz w:val="18"/>
              </w:rPr>
              <w:t xml:space="preserve">$66K</w:t>
            </w:r>
          </w:p>
        </w:tc>
        <w:tc>
          <w:tcPr/>
          <w:p>
            <w:pPr>
              <w:pStyle w:val="Compact"/>
              <w:jc w:val="right"/>
            </w:pPr>
            <w:r>
              <w:rPr>
                <w:rFonts w:ascii="Arial" w:hAnsi="Arial"/>
                <w:sz w:val="18"/>
              </w:rPr>
              <w:t xml:space="preserve">$652K</w:t>
            </w:r>
          </w:p>
        </w:tc>
        <w:tc>
          <w:tcPr/>
          <w:p>
            <w:pPr>
              <w:pStyle w:val="Compact"/>
              <w:jc w:val="right"/>
            </w:pPr>
            <w:r>
              <w:rPr>
                <w:rFonts w:ascii="Arial" w:hAnsi="Arial"/>
                <w:sz w:val="18"/>
              </w:rPr>
              <w:t xml:space="preserve">$1,778</w:t>
            </w:r>
          </w:p>
        </w:tc>
        <w:tc>
          <w:tcPr/>
          <w:p>
            <w:pPr>
              <w:pStyle w:val="Compact"/>
              <w:jc w:val="right"/>
            </w:pPr>
            <w:r>
              <w:rPr>
                <w:rFonts w:ascii="Arial" w:hAnsi="Arial"/>
                <w:sz w:val="18"/>
              </w:rPr>
              <w:t xml:space="preserve">$1,673</w:t>
            </w:r>
          </w:p>
        </w:tc>
      </w:tr>
      <w:tr>
        <w:tc>
          <w:tcPr/>
          <w:p>
            <w:pPr>
              <w:pStyle w:val="Compact"/>
              <w:jc w:val="left"/>
            </w:pPr>
            <w:r>
              <w:rPr>
                <w:rFonts w:ascii="Arial" w:hAnsi="Arial"/>
                <w:sz w:val="18"/>
              </w:rPr>
              <w:t xml:space="preserve">Dawes</w:t>
            </w:r>
          </w:p>
        </w:tc>
        <w:tc>
          <w:tcPr/>
          <w:p>
            <w:pPr>
              <w:pStyle w:val="Compact"/>
              <w:jc w:val="right"/>
            </w:pPr>
            <w:r>
              <w:rPr>
                <w:rFonts w:ascii="Arial" w:hAnsi="Arial"/>
                <w:sz w:val="18"/>
              </w:rPr>
              <w:t xml:space="preserve">288</w:t>
            </w:r>
          </w:p>
        </w:tc>
        <w:tc>
          <w:tcPr/>
          <w:p>
            <w:pPr>
              <w:pStyle w:val="Compact"/>
              <w:jc w:val="left"/>
            </w:pPr>
            <w:r>
              <w:rPr>
                <w:rFonts w:ascii="Arial" w:hAnsi="Arial"/>
                <w:sz w:val="18"/>
              </w:rPr>
              <w:t xml:space="preserve">67% → 75%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$209K</w:t>
            </w:r>
          </w:p>
        </w:tc>
        <w:tc>
          <w:tcPr/>
          <w:p>
            <w:pPr>
              <w:pStyle w:val="Compact"/>
              <w:jc w:val="right"/>
            </w:pPr>
            <w:r>
              <w:rPr>
                <w:rFonts w:ascii="Arial" w:hAnsi="Arial"/>
                <w:sz w:val="18"/>
              </w:rPr>
              <w:t xml:space="preserve">$58K</w:t>
            </w:r>
          </w:p>
        </w:tc>
        <w:tc>
          <w:tcPr/>
          <w:p>
            <w:pPr>
              <w:pStyle w:val="Compact"/>
              <w:jc w:val="right"/>
            </w:pPr>
            <w:r>
              <w:rPr>
                <w:rFonts w:ascii="Arial" w:hAnsi="Arial"/>
                <w:sz w:val="18"/>
              </w:rPr>
              <w:t xml:space="preserve">$507K</w:t>
            </w:r>
          </w:p>
        </w:tc>
        <w:tc>
          <w:tcPr/>
          <w:p>
            <w:pPr>
              <w:pStyle w:val="Compact"/>
              <w:jc w:val="right"/>
            </w:pPr>
            <w:r>
              <w:rPr>
                <w:rFonts w:ascii="Arial" w:hAnsi="Arial"/>
                <w:sz w:val="18"/>
              </w:rPr>
              <w:t xml:space="preserve">$1,761</w:t>
            </w:r>
          </w:p>
        </w:tc>
        <w:tc>
          <w:tcPr/>
          <w:p>
            <w:pPr>
              <w:pStyle w:val="Compact"/>
              <w:jc w:val="right"/>
            </w:pPr>
            <w:r>
              <w:rPr>
                <w:rFonts w:ascii="Arial" w:hAnsi="Arial"/>
                <w:sz w:val="18"/>
              </w:rPr>
              <w:t xml:space="preserve">$1,555</w:t>
            </w:r>
          </w:p>
        </w:tc>
      </w:tr>
      <w:tr>
        <w:tc>
          <w:tcPr/>
          <w:p>
            <w:pPr>
              <w:pStyle w:val="Compact"/>
              <w:jc w:val="left"/>
            </w:pPr>
            <w:r>
              <w:rPr>
                <w:rFonts w:ascii="Arial" w:hAnsi="Arial"/>
                <w:sz w:val="18"/>
              </w:rPr>
              <w:t xml:space="preserve">Lincolnwood</w:t>
            </w:r>
          </w:p>
        </w:tc>
        <w:tc>
          <w:tcPr/>
          <w:p>
            <w:pPr>
              <w:pStyle w:val="Compact"/>
              <w:jc w:val="right"/>
            </w:pPr>
            <w:r>
              <w:rPr>
                <w:rFonts w:ascii="Arial" w:hAnsi="Arial"/>
                <w:sz w:val="18"/>
              </w:rPr>
              <w:t xml:space="preserve">331</w:t>
            </w:r>
          </w:p>
        </w:tc>
        <w:tc>
          <w:tcPr/>
          <w:p>
            <w:pPr>
              <w:pStyle w:val="Compact"/>
              <w:jc w:val="left"/>
            </w:pPr>
            <w:r>
              <w:rPr>
                <w:rFonts w:ascii="Arial" w:hAnsi="Arial"/>
                <w:sz w:val="18"/>
              </w:rPr>
              <w:t xml:space="preserve">77% → 77%</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$221K</w:t>
            </w:r>
          </w:p>
        </w:tc>
        <w:tc>
          <w:tcPr/>
          <w:p>
            <w:pPr>
              <w:pStyle w:val="Compact"/>
              <w:jc w:val="right"/>
            </w:pPr>
            <w:r>
              <w:rPr>
                <w:rFonts w:ascii="Arial" w:hAnsi="Arial"/>
                <w:sz w:val="18"/>
              </w:rPr>
              <w:t xml:space="preserve">$50K</w:t>
            </w:r>
          </w:p>
        </w:tc>
        <w:tc>
          <w:tcPr/>
          <w:p>
            <w:pPr>
              <w:pStyle w:val="Compact"/>
              <w:jc w:val="right"/>
            </w:pPr>
            <w:r>
              <w:rPr>
                <w:rFonts w:ascii="Arial" w:hAnsi="Arial"/>
                <w:sz w:val="18"/>
              </w:rPr>
              <w:t xml:space="preserve">$512K</w:t>
            </w:r>
          </w:p>
        </w:tc>
        <w:tc>
          <w:tcPr/>
          <w:p>
            <w:pPr>
              <w:pStyle w:val="Compact"/>
              <w:jc w:val="right"/>
            </w:pPr>
            <w:r>
              <w:rPr>
                <w:rFonts w:ascii="Arial" w:hAnsi="Arial"/>
                <w:sz w:val="18"/>
              </w:rPr>
              <w:t xml:space="preserve">$1,546</w:t>
            </w:r>
          </w:p>
        </w:tc>
        <w:tc>
          <w:tcPr/>
          <w:p>
            <w:pPr>
              <w:pStyle w:val="Compact"/>
              <w:jc w:val="right"/>
            </w:pPr>
            <w:r>
              <w:rPr>
                <w:rFonts w:ascii="Arial" w:hAnsi="Arial"/>
                <w:sz w:val="18"/>
              </w:rPr>
              <w:t xml:space="preserve">$1,541</w:t>
            </w:r>
          </w:p>
        </w:tc>
      </w:tr>
      <w:tr>
        <w:tc>
          <w:tcPr/>
          <w:p>
            <w:pPr>
              <w:pStyle w:val="Compact"/>
              <w:jc w:val="left"/>
            </w:pPr>
            <w:r>
              <w:rPr>
                <w:rFonts w:ascii="Arial" w:hAnsi="Arial"/>
                <w:sz w:val="18"/>
              </w:rPr>
              <w:t xml:space="preserve">Willard</w:t>
            </w:r>
          </w:p>
        </w:tc>
        <w:tc>
          <w:tcPr/>
          <w:p>
            <w:pPr>
              <w:pStyle w:val="Compact"/>
              <w:jc w:val="right"/>
            </w:pPr>
            <w:r>
              <w:rPr>
                <w:rFonts w:ascii="Arial" w:hAnsi="Arial"/>
                <w:sz w:val="18"/>
              </w:rPr>
              <w:t xml:space="preserve">273</w:t>
            </w:r>
          </w:p>
        </w:tc>
        <w:tc>
          <w:tcPr/>
          <w:p>
            <w:pPr>
              <w:pStyle w:val="Compact"/>
              <w:jc w:val="left"/>
            </w:pPr>
            <w:r>
              <w:rPr>
                <w:rFonts w:ascii="Arial" w:hAnsi="Arial"/>
                <w:sz w:val="18"/>
              </w:rPr>
              <w:t xml:space="preserve">51% → 65%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$227K</w:t>
            </w:r>
          </w:p>
        </w:tc>
        <w:tc>
          <w:tcPr/>
          <w:p>
            <w:pPr>
              <w:pStyle w:val="Compact"/>
              <w:jc w:val="right"/>
            </w:pPr>
            <w:r>
              <w:rPr>
                <w:rFonts w:ascii="Arial" w:hAnsi="Arial"/>
                <w:sz w:val="18"/>
              </w:rPr>
              <w:t xml:space="preserve">$62K</w:t>
            </w:r>
          </w:p>
        </w:tc>
        <w:tc>
          <w:tcPr/>
          <w:p>
            <w:pPr>
              <w:pStyle w:val="Compact"/>
              <w:jc w:val="right"/>
            </w:pPr>
            <w:r>
              <w:rPr>
                <w:rFonts w:ascii="Arial" w:hAnsi="Arial"/>
                <w:sz w:val="18"/>
              </w:rPr>
              <w:t xml:space="preserve">$530K</w:t>
            </w:r>
          </w:p>
        </w:tc>
        <w:tc>
          <w:tcPr/>
          <w:p>
            <w:pPr>
              <w:pStyle w:val="Compact"/>
              <w:jc w:val="right"/>
            </w:pPr>
            <w:r>
              <w:rPr>
                <w:rFonts w:ascii="Arial" w:hAnsi="Arial"/>
                <w:sz w:val="18"/>
              </w:rPr>
              <w:t xml:space="preserve">$1,940</w:t>
            </w:r>
          </w:p>
        </w:tc>
        <w:tc>
          <w:tcPr/>
          <w:p>
            <w:pPr>
              <w:pStyle w:val="Compact"/>
              <w:jc w:val="right"/>
            </w:pPr>
            <w:r>
              <w:rPr>
                <w:rFonts w:ascii="Arial" w:hAnsi="Arial"/>
                <w:sz w:val="18"/>
              </w:rPr>
              <w:t xml:space="preserve">$1,534</w:t>
            </w:r>
          </w:p>
        </w:tc>
      </w:tr>
      <w:tr>
        <w:tc>
          <w:tcPr/>
          <w:p>
            <w:pPr>
              <w:pStyle w:val="Compact"/>
              <w:jc w:val="left"/>
            </w:pPr>
            <w:r>
              <w:rPr>
                <w:rFonts w:ascii="Arial" w:hAnsi="Arial"/>
                <w:sz w:val="18"/>
              </w:rPr>
              <w:t xml:space="preserve">Washington</w:t>
            </w:r>
          </w:p>
        </w:tc>
        <w:tc>
          <w:tcPr/>
          <w:p>
            <w:pPr>
              <w:pStyle w:val="Compact"/>
              <w:jc w:val="right"/>
            </w:pPr>
            <w:r>
              <w:rPr>
                <w:rFonts w:ascii="Arial" w:hAnsi="Arial"/>
                <w:sz w:val="18"/>
              </w:rPr>
              <w:t xml:space="preserve">387</w:t>
            </w:r>
          </w:p>
        </w:tc>
        <w:tc>
          <w:tcPr/>
          <w:p>
            <w:pPr>
              <w:pStyle w:val="Compact"/>
              <w:jc w:val="left"/>
            </w:pPr>
            <w:r>
              <w:rPr>
                <w:rFonts w:ascii="Arial" w:hAnsi="Arial"/>
                <w:sz w:val="18"/>
              </w:rPr>
              <w:t xml:space="preserve">73% → 75%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$278K</w:t>
            </w:r>
          </w:p>
        </w:tc>
        <w:tc>
          <w:tcPr/>
          <w:p>
            <w:pPr>
              <w:pStyle w:val="Compact"/>
              <w:jc w:val="right"/>
            </w:pPr>
            <w:r>
              <w:rPr>
                <w:rFonts w:ascii="Arial" w:hAnsi="Arial"/>
                <w:sz w:val="18"/>
              </w:rPr>
              <w:t xml:space="preserve">$90K</w:t>
            </w:r>
          </w:p>
        </w:tc>
        <w:tc>
          <w:tcPr/>
          <w:p>
            <w:pPr>
              <w:pStyle w:val="Compact"/>
              <w:jc w:val="right"/>
            </w:pPr>
            <w:r>
              <w:rPr>
                <w:rFonts w:ascii="Arial" w:hAnsi="Arial"/>
                <w:sz w:val="18"/>
              </w:rPr>
              <w:t xml:space="preserve">$608K</w:t>
            </w:r>
          </w:p>
        </w:tc>
        <w:tc>
          <w:tcPr/>
          <w:p>
            <w:pPr>
              <w:pStyle w:val="Compact"/>
              <w:jc w:val="right"/>
            </w:pPr>
            <w:r>
              <w:rPr>
                <w:rFonts w:ascii="Arial" w:hAnsi="Arial"/>
                <w:sz w:val="18"/>
              </w:rPr>
              <w:t xml:space="preserve">$1,571</w:t>
            </w:r>
          </w:p>
        </w:tc>
        <w:tc>
          <w:tcPr/>
          <w:p>
            <w:pPr>
              <w:pStyle w:val="Compact"/>
              <w:jc w:val="right"/>
            </w:pPr>
            <w:r>
              <w:rPr>
                <w:rFonts w:ascii="Arial" w:hAnsi="Arial"/>
                <w:sz w:val="18"/>
              </w:rPr>
              <w:t xml:space="preserve">$1,528</w:t>
            </w:r>
          </w:p>
        </w:tc>
      </w:tr>
      <w:tr>
        <w:tc>
          <w:tcPr/>
          <w:p>
            <w:pPr>
              <w:pStyle w:val="Compact"/>
              <w:jc w:val="left"/>
            </w:pPr>
            <w:r>
              <w:rPr>
                <w:rFonts w:ascii="Arial" w:hAnsi="Arial"/>
                <w:sz w:val="18"/>
              </w:rPr>
              <w:t xml:space="preserve">Dewey</w:t>
            </w:r>
          </w:p>
        </w:tc>
        <w:tc>
          <w:tcPr/>
          <w:p>
            <w:pPr>
              <w:pStyle w:val="Compact"/>
              <w:jc w:val="right"/>
            </w:pPr>
            <w:r>
              <w:rPr>
                <w:rFonts w:ascii="Arial" w:hAnsi="Arial"/>
                <w:sz w:val="18"/>
              </w:rPr>
              <w:t xml:space="preserve">315</w:t>
            </w:r>
          </w:p>
        </w:tc>
        <w:tc>
          <w:tcPr/>
          <w:p>
            <w:pPr>
              <w:pStyle w:val="Compact"/>
              <w:jc w:val="left"/>
            </w:pPr>
            <w:r>
              <w:rPr>
                <w:rFonts w:ascii="Arial" w:hAnsi="Arial"/>
                <w:sz w:val="18"/>
              </w:rPr>
              <w:t xml:space="preserve">59% → 67%</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$236K</w:t>
            </w:r>
          </w:p>
        </w:tc>
        <w:tc>
          <w:tcPr/>
          <w:p>
            <w:pPr>
              <w:pStyle w:val="Compact"/>
              <w:jc w:val="right"/>
            </w:pPr>
            <w:r>
              <w:rPr>
                <w:rFonts w:ascii="Arial" w:hAnsi="Arial"/>
                <w:sz w:val="18"/>
              </w:rPr>
              <w:t xml:space="preserve">$70K</w:t>
            </w:r>
          </w:p>
        </w:tc>
        <w:tc>
          <w:tcPr/>
          <w:p>
            <w:pPr>
              <w:pStyle w:val="Compact"/>
              <w:jc w:val="right"/>
            </w:pPr>
            <w:r>
              <w:rPr>
                <w:rFonts w:ascii="Arial" w:hAnsi="Arial"/>
                <w:sz w:val="18"/>
              </w:rPr>
              <w:t xml:space="preserve">$546K</w:t>
            </w:r>
          </w:p>
        </w:tc>
        <w:tc>
          <w:tcPr/>
          <w:p>
            <w:pPr>
              <w:pStyle w:val="Compact"/>
              <w:jc w:val="right"/>
            </w:pPr>
            <w:r>
              <w:rPr>
                <w:rFonts w:ascii="Arial" w:hAnsi="Arial"/>
                <w:sz w:val="18"/>
              </w:rPr>
              <w:t xml:space="preserve">$1,734</w:t>
            </w:r>
          </w:p>
        </w:tc>
        <w:tc>
          <w:tcPr/>
          <w:p>
            <w:pPr>
              <w:pStyle w:val="Compact"/>
              <w:jc w:val="right"/>
            </w:pPr>
            <w:r>
              <w:rPr>
                <w:rFonts w:ascii="Arial" w:hAnsi="Arial"/>
                <w:sz w:val="18"/>
              </w:rPr>
              <w:t xml:space="preserve">$1,507</w:t>
            </w:r>
          </w:p>
        </w:tc>
      </w:tr>
      <w:tr>
        <w:tc>
          <w:tcPr/>
          <w:p>
            <w:pPr>
              <w:pStyle w:val="Compact"/>
              <w:jc w:val="left"/>
            </w:pPr>
            <w:r>
              <w:rPr>
                <w:rFonts w:ascii="Arial" w:hAnsi="Arial"/>
                <w:sz w:val="18"/>
              </w:rPr>
              <w:t xml:space="preserve">Walker</w:t>
            </w:r>
          </w:p>
        </w:tc>
        <w:tc>
          <w:tcPr/>
          <w:p>
            <w:pPr>
              <w:pStyle w:val="Compact"/>
              <w:jc w:val="right"/>
            </w:pPr>
            <w:r>
              <w:rPr>
                <w:rFonts w:ascii="Arial" w:hAnsi="Arial"/>
                <w:sz w:val="18"/>
              </w:rPr>
              <w:t xml:space="preserve">317</w:t>
            </w:r>
          </w:p>
        </w:tc>
        <w:tc>
          <w:tcPr/>
          <w:p>
            <w:pPr>
              <w:pStyle w:val="Compact"/>
              <w:jc w:val="left"/>
            </w:pPr>
            <w:r>
              <w:rPr>
                <w:rFonts w:ascii="Arial" w:hAnsi="Arial"/>
                <w:sz w:val="18"/>
              </w:rPr>
              <w:t xml:space="preserve">73% → 74%</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$186K</w:t>
            </w:r>
          </w:p>
        </w:tc>
        <w:tc>
          <w:tcPr/>
          <w:p>
            <w:pPr>
              <w:pStyle w:val="Compact"/>
              <w:jc w:val="right"/>
            </w:pPr>
            <w:r>
              <w:rPr>
                <w:rFonts w:ascii="Arial" w:hAnsi="Arial"/>
                <w:sz w:val="18"/>
              </w:rPr>
              <w:t xml:space="preserve">$48K</w:t>
            </w:r>
          </w:p>
        </w:tc>
        <w:tc>
          <w:tcPr/>
          <w:p>
            <w:pPr>
              <w:pStyle w:val="Compact"/>
              <w:jc w:val="right"/>
            </w:pPr>
            <w:r>
              <w:rPr>
                <w:rFonts w:ascii="Arial" w:hAnsi="Arial"/>
                <w:sz w:val="18"/>
              </w:rPr>
              <w:t xml:space="preserve">$475K</w:t>
            </w:r>
          </w:p>
        </w:tc>
        <w:tc>
          <w:tcPr/>
          <w:p>
            <w:pPr>
              <w:pStyle w:val="Compact"/>
              <w:jc w:val="right"/>
            </w:pPr>
            <w:r>
              <w:rPr>
                <w:rFonts w:ascii="Arial" w:hAnsi="Arial"/>
                <w:sz w:val="18"/>
              </w:rPr>
              <w:t xml:space="preserve">$1,498</w:t>
            </w:r>
          </w:p>
        </w:tc>
        <w:tc>
          <w:tcPr/>
          <w:p>
            <w:pPr>
              <w:pStyle w:val="Compact"/>
              <w:jc w:val="right"/>
            </w:pPr>
            <w:r>
              <w:rPr>
                <w:rFonts w:ascii="Arial" w:hAnsi="Arial"/>
                <w:sz w:val="18"/>
              </w:rPr>
              <w:t xml:space="preserve">$1,493</w:t>
            </w:r>
          </w:p>
        </w:tc>
      </w:tr>
      <w:tr>
        <w:tc>
          <w:tcPr/>
          <w:p>
            <w:pPr>
              <w:pStyle w:val="Compact"/>
              <w:jc w:val="left"/>
            </w:pPr>
            <w:r>
              <w:rPr>
                <w:rFonts w:ascii="Arial" w:hAnsi="Arial"/>
                <w:sz w:val="18"/>
              </w:rPr>
              <w:t xml:space="preserve">Lincoln</w:t>
            </w:r>
          </w:p>
        </w:tc>
        <w:tc>
          <w:tcPr/>
          <w:p>
            <w:pPr>
              <w:pStyle w:val="Compact"/>
              <w:jc w:val="right"/>
            </w:pPr>
            <w:r>
              <w:rPr>
                <w:rFonts w:ascii="Arial" w:hAnsi="Arial"/>
                <w:sz w:val="18"/>
              </w:rPr>
              <w:t xml:space="preserve">350</w:t>
            </w:r>
          </w:p>
        </w:tc>
        <w:tc>
          <w:tcPr/>
          <w:p>
            <w:pPr>
              <w:pStyle w:val="Compact"/>
              <w:jc w:val="left"/>
            </w:pPr>
            <w:r>
              <w:rPr>
                <w:rFonts w:ascii="Arial" w:hAnsi="Arial"/>
                <w:sz w:val="18"/>
              </w:rPr>
              <w:t xml:space="preserve">61% → 71%</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$266K</w:t>
            </w:r>
          </w:p>
        </w:tc>
        <w:tc>
          <w:tcPr/>
          <w:p>
            <w:pPr>
              <w:pStyle w:val="Compact"/>
              <w:jc w:val="right"/>
            </w:pPr>
            <w:r>
              <w:rPr>
                <w:rFonts w:ascii="Arial" w:hAnsi="Arial"/>
                <w:sz w:val="18"/>
              </w:rPr>
              <w:t xml:space="preserve">$79K</w:t>
            </w:r>
          </w:p>
        </w:tc>
        <w:tc>
          <w:tcPr/>
          <w:p>
            <w:pPr>
              <w:pStyle w:val="Compact"/>
              <w:jc w:val="right"/>
            </w:pPr>
            <w:r>
              <w:rPr>
                <w:rFonts w:ascii="Arial" w:hAnsi="Arial"/>
                <w:sz w:val="18"/>
              </w:rPr>
              <w:t xml:space="preserve">$585K</w:t>
            </w:r>
          </w:p>
        </w:tc>
        <w:tc>
          <w:tcPr/>
          <w:p>
            <w:pPr>
              <w:pStyle w:val="Compact"/>
              <w:jc w:val="right"/>
            </w:pPr>
            <w:r>
              <w:rPr>
                <w:rFonts w:ascii="Arial" w:hAnsi="Arial"/>
                <w:sz w:val="18"/>
              </w:rPr>
              <w:t xml:space="preserve">$1,673</w:t>
            </w:r>
          </w:p>
        </w:tc>
        <w:tc>
          <w:tcPr/>
          <w:p>
            <w:pPr>
              <w:pStyle w:val="Compact"/>
              <w:jc w:val="right"/>
            </w:pPr>
            <w:r>
              <w:rPr>
                <w:rFonts w:ascii="Arial" w:hAnsi="Arial"/>
                <w:sz w:val="18"/>
              </w:rPr>
              <w:t xml:space="preserve">$1,438</w:t>
            </w:r>
          </w:p>
        </w:tc>
      </w:tr>
      <w:tr>
        <w:tc>
          <w:tcPr/>
          <w:p>
            <w:pPr>
              <w:pStyle w:val="Compact"/>
              <w:jc w:val="left"/>
            </w:pPr>
            <w:r>
              <w:rPr>
                <w:rFonts w:ascii="Arial" w:hAnsi="Arial"/>
                <w:sz w:val="18"/>
              </w:rPr>
              <w:t xml:space="preserve">Orrington</w:t>
            </w:r>
          </w:p>
        </w:tc>
        <w:tc>
          <w:tcPr/>
          <w:p>
            <w:pPr>
              <w:pStyle w:val="Compact"/>
              <w:jc w:val="right"/>
            </w:pPr>
            <w:r>
              <w:rPr>
                <w:rFonts w:ascii="Arial" w:hAnsi="Arial"/>
                <w:sz w:val="18"/>
              </w:rPr>
              <w:t xml:space="preserve">251</w:t>
            </w:r>
          </w:p>
        </w:tc>
        <w:tc>
          <w:tcPr/>
          <w:p>
            <w:pPr>
              <w:pStyle w:val="Compact"/>
              <w:jc w:val="left"/>
            </w:pPr>
            <w:r>
              <w:rPr>
                <w:rFonts w:ascii="Arial" w:hAnsi="Arial"/>
                <w:sz w:val="18"/>
              </w:rPr>
              <w:t xml:space="preserve">58% → 73%</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$170K</w:t>
            </w:r>
          </w:p>
        </w:tc>
        <w:tc>
          <w:tcPr/>
          <w:p>
            <w:pPr>
              <w:pStyle w:val="Compact"/>
              <w:jc w:val="right"/>
            </w:pPr>
            <w:r>
              <w:rPr>
                <w:rFonts w:ascii="Arial" w:hAnsi="Arial"/>
                <w:sz w:val="18"/>
              </w:rPr>
              <w:t xml:space="preserve">$45K</w:t>
            </w:r>
          </w:p>
        </w:tc>
        <w:tc>
          <w:tcPr/>
          <w:p>
            <w:pPr>
              <w:pStyle w:val="Compact"/>
              <w:jc w:val="right"/>
            </w:pPr>
            <w:r>
              <w:rPr>
                <w:rFonts w:ascii="Arial" w:hAnsi="Arial"/>
                <w:sz w:val="18"/>
              </w:rPr>
              <w:t xml:space="preserve">$455K</w:t>
            </w:r>
          </w:p>
        </w:tc>
        <w:tc>
          <w:tcPr/>
          <w:p>
            <w:pPr>
              <w:pStyle w:val="Compact"/>
              <w:jc w:val="right"/>
            </w:pPr>
            <w:r>
              <w:rPr>
                <w:rFonts w:ascii="Arial" w:hAnsi="Arial"/>
                <w:sz w:val="18"/>
              </w:rPr>
              <w:t xml:space="preserve">$1,813</w:t>
            </w:r>
          </w:p>
        </w:tc>
        <w:tc>
          <w:tcPr/>
          <w:p>
            <w:pPr>
              <w:pStyle w:val="Compact"/>
              <w:jc w:val="right"/>
            </w:pPr>
            <w:r>
              <w:rPr>
                <w:rFonts w:ascii="Arial" w:hAnsi="Arial"/>
                <w:sz w:val="18"/>
              </w:rPr>
              <w:t xml:space="preserve">$1,438</w:t>
            </w:r>
          </w:p>
        </w:tc>
      </w:tr>
      <w:tr>
        <w:tc>
          <w:tcPr/>
          <w:p>
            <w:pPr>
              <w:pStyle w:val="Compact"/>
              <w:jc w:val="left"/>
            </w:pPr>
            <w:r>
              <w:rPr>
                <w:rFonts w:ascii="Arial" w:hAnsi="Arial"/>
                <w:sz w:val="18"/>
              </w:rPr>
              <w:t xml:space="preserve">King Arts</w:t>
            </w:r>
          </w:p>
        </w:tc>
        <w:tc>
          <w:tcPr/>
          <w:p>
            <w:pPr>
              <w:pStyle w:val="Compact"/>
              <w:jc w:val="right"/>
            </w:pPr>
            <w:r>
              <w:rPr>
                <w:rFonts w:ascii="Arial" w:hAnsi="Arial"/>
                <w:sz w:val="18"/>
              </w:rPr>
              <w:t xml:space="preserve">445</w:t>
            </w:r>
          </w:p>
        </w:tc>
        <w:tc>
          <w:tcPr/>
          <w:p>
            <w:pPr>
              <w:pStyle w:val="Compact"/>
              <w:jc w:val="left"/>
            </w:pPr>
            <w:r>
              <w:rPr>
                <w:rFonts w:ascii="Arial" w:hAnsi="Arial"/>
                <w:sz w:val="18"/>
              </w:rPr>
              <w:t xml:space="preserve">68%</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$362K</w:t>
            </w:r>
          </w:p>
        </w:tc>
        <w:tc>
          <w:tcPr/>
          <w:p>
            <w:pPr>
              <w:pStyle w:val="Compact"/>
              <w:jc w:val="right"/>
            </w:pPr>
            <w:r>
              <w:rPr>
                <w:rFonts w:ascii="Arial" w:hAnsi="Arial"/>
                <w:sz w:val="18"/>
              </w:rPr>
              <w:t xml:space="preserve">$101K</w:t>
            </w:r>
          </w:p>
        </w:tc>
        <w:tc>
          <w:tcPr/>
          <w:p>
            <w:pPr>
              <w:pStyle w:val="Compact"/>
              <w:jc w:val="right"/>
            </w:pPr>
            <w:r>
              <w:rPr>
                <w:rFonts w:ascii="Arial" w:hAnsi="Arial"/>
                <w:sz w:val="18"/>
              </w:rPr>
              <w:t xml:space="preserve">$703K</w:t>
            </w:r>
          </w:p>
        </w:tc>
        <w:tc>
          <w:tcPr/>
          <w:p>
            <w:pPr>
              <w:pStyle w:val="Compact"/>
              <w:jc w:val="right"/>
            </w:pPr>
            <w:r>
              <w:rPr>
                <w:rFonts w:ascii="Arial" w:hAnsi="Arial"/>
                <w:sz w:val="18"/>
              </w:rPr>
              <w:t xml:space="preserve">$1,580</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Haven (MS)</w:t>
            </w:r>
          </w:p>
        </w:tc>
        <w:tc>
          <w:tcPr/>
          <w:p>
            <w:pPr>
              <w:pStyle w:val="Compact"/>
              <w:jc w:val="right"/>
            </w:pPr>
            <w:r>
              <w:rPr>
                <w:rFonts w:ascii="Arial" w:hAnsi="Arial"/>
                <w:sz w:val="18"/>
              </w:rPr>
              <w:t xml:space="preserve">604</w:t>
            </w:r>
          </w:p>
        </w:tc>
        <w:tc>
          <w:tcPr/>
          <w:p>
            <w:pPr>
              <w:pStyle w:val="Compact"/>
              <w:jc w:val="left"/>
            </w:pPr>
            <w:r>
              <w:rPr>
                <w:rFonts w:ascii="Arial" w:hAnsi="Arial"/>
                <w:sz w:val="18"/>
              </w:rPr>
              <w:t xml:space="preserve">65%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$514K</w:t>
            </w:r>
          </w:p>
        </w:tc>
        <w:tc>
          <w:tcPr/>
          <w:p>
            <w:pPr>
              <w:pStyle w:val="Compact"/>
              <w:jc w:val="right"/>
            </w:pPr>
            <w:r>
              <w:rPr>
                <w:rFonts w:ascii="Arial" w:hAnsi="Arial"/>
                <w:sz w:val="18"/>
              </w:rPr>
              <w:t xml:space="preserve">$96K</w:t>
            </w:r>
          </w:p>
        </w:tc>
        <w:tc>
          <w:tcPr/>
          <w:p>
            <w:pPr>
              <w:pStyle w:val="Compact"/>
              <w:jc w:val="right"/>
            </w:pPr>
            <w:r>
              <w:rPr>
                <w:rFonts w:ascii="Arial" w:hAnsi="Arial"/>
                <w:sz w:val="18"/>
              </w:rPr>
              <w:t xml:space="preserve">$850K</w:t>
            </w:r>
          </w:p>
        </w:tc>
        <w:tc>
          <w:tcPr/>
          <w:p>
            <w:pPr>
              <w:pStyle w:val="Compact"/>
              <w:jc w:val="right"/>
            </w:pPr>
            <w:r>
              <w:rPr>
                <w:rFonts w:ascii="Arial" w:hAnsi="Arial"/>
                <w:sz w:val="18"/>
              </w:rPr>
              <w:t xml:space="preserve">$1,408</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Chute (MS)</w:t>
            </w:r>
          </w:p>
        </w:tc>
        <w:tc>
          <w:tcPr/>
          <w:p>
            <w:pPr>
              <w:pStyle w:val="Compact"/>
              <w:jc w:val="right"/>
            </w:pPr>
            <w:r>
              <w:rPr>
                <w:rFonts w:ascii="Arial" w:hAnsi="Arial"/>
                <w:sz w:val="18"/>
              </w:rPr>
              <w:t xml:space="preserve">591</w:t>
            </w:r>
          </w:p>
        </w:tc>
        <w:tc>
          <w:tcPr/>
          <w:p>
            <w:pPr>
              <w:pStyle w:val="Compact"/>
              <w:jc w:val="left"/>
            </w:pPr>
            <w:r>
              <w:rPr>
                <w:rFonts w:ascii="Arial" w:hAnsi="Arial"/>
                <w:sz w:val="18"/>
              </w:rPr>
              <w:t xml:space="preserve">75%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$408K</w:t>
            </w:r>
          </w:p>
        </w:tc>
        <w:tc>
          <w:tcPr/>
          <w:p>
            <w:pPr>
              <w:pStyle w:val="Compact"/>
              <w:jc w:val="right"/>
            </w:pPr>
            <w:r>
              <w:rPr>
                <w:rFonts w:ascii="Arial" w:hAnsi="Arial"/>
                <w:sz w:val="18"/>
              </w:rPr>
              <w:t xml:space="preserve">$102K</w:t>
            </w:r>
          </w:p>
        </w:tc>
        <w:tc>
          <w:tcPr/>
          <w:p>
            <w:pPr>
              <w:pStyle w:val="Compact"/>
              <w:jc w:val="right"/>
            </w:pPr>
            <w:r>
              <w:rPr>
                <w:rFonts w:ascii="Arial" w:hAnsi="Arial"/>
                <w:sz w:val="18"/>
              </w:rPr>
              <w:t xml:space="preserve">$752K</w:t>
            </w:r>
          </w:p>
        </w:tc>
        <w:tc>
          <w:tcPr/>
          <w:p>
            <w:pPr>
              <w:pStyle w:val="Compact"/>
              <w:jc w:val="right"/>
            </w:pPr>
            <w:r>
              <w:rPr>
                <w:rFonts w:ascii="Arial" w:hAnsi="Arial"/>
                <w:sz w:val="18"/>
              </w:rPr>
              <w:t xml:space="preserve">$1,272</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Nichols (MS)</w:t>
            </w:r>
          </w:p>
        </w:tc>
        <w:tc>
          <w:tcPr/>
          <w:p>
            <w:pPr>
              <w:pStyle w:val="Compact"/>
              <w:jc w:val="right"/>
            </w:pPr>
            <w:r>
              <w:rPr>
                <w:rFonts w:ascii="Arial" w:hAnsi="Arial"/>
                <w:sz w:val="18"/>
              </w:rPr>
              <w:t xml:space="preserve">582</w:t>
            </w:r>
          </w:p>
        </w:tc>
        <w:tc>
          <w:tcPr/>
          <w:p>
            <w:pPr>
              <w:pStyle w:val="Compact"/>
              <w:jc w:val="left"/>
            </w:pPr>
            <w:r>
              <w:rPr>
                <w:rFonts w:ascii="Arial" w:hAnsi="Arial"/>
                <w:sz w:val="18"/>
              </w:rPr>
              <w:t xml:space="preserve">83%</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$354K</w:t>
            </w:r>
          </w:p>
        </w:tc>
        <w:tc>
          <w:tcPr/>
          <w:p>
            <w:pPr>
              <w:pStyle w:val="Compact"/>
              <w:jc w:val="right"/>
            </w:pPr>
            <w:r>
              <w:rPr>
                <w:rFonts w:ascii="Arial" w:hAnsi="Arial"/>
                <w:sz w:val="18"/>
              </w:rPr>
              <w:t xml:space="preserve">$83K</w:t>
            </w:r>
          </w:p>
        </w:tc>
        <w:tc>
          <w:tcPr/>
          <w:p>
            <w:pPr>
              <w:pStyle w:val="Compact"/>
              <w:jc w:val="right"/>
            </w:pPr>
            <w:r>
              <w:rPr>
                <w:rFonts w:ascii="Arial" w:hAnsi="Arial"/>
                <w:sz w:val="18"/>
              </w:rPr>
              <w:t xml:space="preserve">$678K</w:t>
            </w:r>
          </w:p>
        </w:tc>
        <w:tc>
          <w:tcPr/>
          <w:p>
            <w:pPr>
              <w:pStyle w:val="Compact"/>
              <w:jc w:val="right"/>
            </w:pPr>
            <w:r>
              <w:rPr>
                <w:rFonts w:ascii="Arial" w:hAnsi="Arial"/>
                <w:sz w:val="18"/>
              </w:rPr>
              <w:t xml:space="preserve">$1,164</w:t>
            </w:r>
          </w:p>
        </w:tc>
        <w:tc>
          <w:tcPr/>
          <w:p>
            <w:pPr>
              <w:pStyle w:val="Compact"/>
              <w:jc w:val="right"/>
            </w:pPr>
            <w:r>
              <w:rPr>
                <w:rFonts w:ascii="Arial" w:hAnsi="Arial"/>
                <w:sz w:val="18"/>
              </w:rPr>
              <w:t xml:space="preserve">—</w:t>
            </w:r>
          </w:p>
        </w:tc>
      </w:tr>
    </w:tbl>
    <w:p>
      <w:pPr>
        <w:pStyle w:val="BodyText"/>
      </w:pPr>
      <w:r>
        <w:rPr>
          <w:bCs/>
          <w:b/>
        </w:rPr>
        <w:t xml:space="preserve">What stands out</w:t>
      </w:r>
    </w:p>
    <w:p>
      <w:pPr>
        <w:numPr>
          <w:ilvl w:val="0"/>
          <w:numId w:val="1004"/>
        </w:numPr>
        <w:pStyle w:val="Compact"/>
      </w:pPr>
      <w:r>
        <w:rPr>
          <w:bCs/>
          <w:b/>
        </w:rPr>
        <w:t xml:space="preserve">Receiving buildings get cheaper, but the district doesn't save that.</w:t>
      </w:r>
      <w:r>
        <w:t xml:space="preserve"> </w:t>
      </w:r>
      <w:r>
        <w:t xml:space="preserve">Adding students lowers cost per student only at the receiving buildings; the district saves just the closed building's costs.</w:t>
      </w:r>
    </w:p>
    <w:p>
      <w:pPr>
        <w:numPr>
          <w:ilvl w:val="0"/>
          <w:numId w:val="1004"/>
        </w:numPr>
        <w:pStyle w:val="Compact"/>
      </w:pPr>
      <w:r>
        <w:rPr>
          <w:bCs/>
          <w:b/>
        </w:rPr>
        <w:t xml:space="preserve">Utilities are small.</w:t>
      </w:r>
      <w:r>
        <w:t xml:space="preserve"> </w:t>
      </w:r>
      <w:r>
        <w:t xml:space="preserve">They come to $1.33M district-wide.</w:t>
      </w:r>
    </w:p>
    <w:p>
      <w:pPr>
        <w:pStyle w:val="FirstParagraph"/>
      </w:pPr>
      <w:r>
        <w:rPr>
          <w:bCs/>
          <w:b/>
        </w:rPr>
        <w:t xml:space="preserve">Data we still need:</w:t>
      </w:r>
    </w:p>
    <w:p>
      <w:pPr>
        <w:numPr>
          <w:ilvl w:val="0"/>
          <w:numId w:val="1005"/>
        </w:numPr>
        <w:pStyle w:val="Compact"/>
      </w:pPr>
      <w:r>
        <w:t xml:space="preserve">Maintenance and capital needs by building, likely larger than utilities (sources: 10-year Health/Life Safety survey, facility assessment).</w:t>
      </w:r>
      <w:r>
        <w:t xml:space="preserve"> </w:t>
      </w:r>
      <w:r>
        <w:rPr>
          <w:iCs/>
          <w:i/>
        </w:rPr>
        <w:t xml:space="preserve">Now added below from the Facility Master Plan.</w:t>
      </w:r>
    </w:p>
    <w:p>
      <w:pPr>
        <w:numPr>
          <w:ilvl w:val="0"/>
          <w:numId w:val="1005"/>
        </w:numPr>
        <w:pStyle w:val="Compact"/>
      </w:pPr>
      <w:r>
        <w:t xml:space="preserve">Actual building staff by school</w:t>
      </w:r>
    </w:p>
    <w:p>
      <w:pPr>
        <w:numPr>
          <w:ilvl w:val="0"/>
          <w:numId w:val="1005"/>
        </w:numPr>
        <w:pStyle w:val="Compact"/>
      </w:pPr>
      <w:r>
        <w:t xml:space="preserve">Site-level spending per student (ISBE report card)</w:t>
      </w:r>
    </w:p>
    <w:p>
      <w:pPr>
        <w:numPr>
          <w:ilvl w:val="0"/>
          <w:numId w:val="1005"/>
        </w:numPr>
        <w:pStyle w:val="Compact"/>
      </w:pPr>
      <w:r>
        <w:t xml:space="preserve">Full-year 2026 utilities</w:t>
      </w:r>
    </w:p>
    <w:p>
      <w:pPr>
        <w:pStyle w:val="FirstParagraph"/>
      </w:pPr>
      <w:r>
        <w:t xml:space="preserve">*Scenario average = today's cost ÷ the building's average 2027–28 enrollment across the closure scenarios in section 02 where it stays open and at or under capacity (90% of displaced students stay). Foster has no utility account.</w:t>
      </w:r>
    </w:p>
    <w:p>
      <w:pPr>
        <w:pStyle w:val="BodyText"/>
      </w:pPr>
      <w:r>
        <w:rPr>
          <w:bCs/>
          <w:b/>
        </w:rPr>
        <w:t xml:space="preserve">Sources and assumptions:</w:t>
      </w:r>
    </w:p>
    <w:p>
      <w:pPr>
        <w:numPr>
          <w:ilvl w:val="0"/>
          <w:numId w:val="1006"/>
        </w:numPr>
        <w:pStyle w:val="Compact"/>
      </w:pPr>
      <w:r>
        <w:t xml:space="preserve">Utilities and energy use: D65 dashboard (2025 data, pulled 9/23/2026). Square feet derived from energy use ÷ EUI.</w:t>
      </w:r>
    </w:p>
    <w:p>
      <w:pPr>
        <w:numPr>
          <w:ilvl w:val="0"/>
          <w:numId w:val="1006"/>
        </w:numPr>
        <w:pStyle w:val="Compact"/>
      </w:pPr>
      <w:r>
        <w:t xml:space="preserve">Enrollment: fall 2026 (D65 dashboard).</w:t>
      </w:r>
    </w:p>
    <w:p>
      <w:pPr>
        <w:numPr>
          <w:ilvl w:val="0"/>
          <w:numId w:val="1006"/>
        </w:numPr>
        <w:pStyle w:val="Compact"/>
      </w:pPr>
      <w:r>
        <w:t xml:space="preserve">Capacity: the smaller of the district's Cap Total and Cordogan Clark (2022).</w:t>
      </w:r>
    </w:p>
    <w:p>
      <w:pPr>
        <w:numPr>
          <w:ilvl w:val="0"/>
          <w:numId w:val="1006"/>
        </w:numPr>
        <w:pStyle w:val="Compact"/>
      </w:pPr>
      <w:r>
        <w:t xml:space="preserve">Principal pay: FY26 PA 96-0434 salary report ($180,753 average).</w:t>
      </w:r>
    </w:p>
    <w:p>
      <w:pPr>
        <w:numPr>
          <w:ilvl w:val="0"/>
          <w:numId w:val="1006"/>
        </w:numPr>
        <w:pStyle w:val="Compact"/>
      </w:pPr>
      <w:r>
        <w:t xml:space="preserve">Custodians: 64, from the district's employee-category table, allocated by square feet.</w:t>
      </w:r>
    </w:p>
    <w:p>
      <w:pPr>
        <w:numPr>
          <w:ilvl w:val="0"/>
          <w:numId w:val="1006"/>
        </w:numPr>
        <w:pStyle w:val="Compact"/>
      </w:pPr>
      <w:r>
        <w:t xml:space="preserve">Assumed: custodian pay $65K and office staff $60K per building.</w:t>
      </w:r>
    </w:p>
    <w:p>
      <w:pPr>
        <w:pStyle w:val="FirstParagraph"/>
      </w:pPr>
      <w:r>
        <w:t xml:space="preserve">Built with help from Claude (AI); please verify.</w:t>
      </w:r>
    </w:p>
    <w:bookmarkStart w:id="34" w:name="Xbe5b8447c274a539ee438cf8006e11bc7c573d7"/>
    <w:p>
      <w:pPr>
        <w:pStyle w:val="Heading3"/>
      </w:pPr>
      <w:r>
        <w:t xml:space="preserve">Added: the same comparison with the facility plan's capital needs</w:t>
      </w:r>
    </w:p>
    <w:p>
      <w:pPr>
        <w:pStyle w:val="FirstParagraph"/>
      </w:pPr>
      <w:r>
        <w:t xml:space="preserve">The District's</w:t>
      </w:r>
      <w:r>
        <w:t xml:space="preserve"> </w:t>
      </w:r>
      <w:hyperlink r:id="rId30">
        <w:r>
          <w:rPr>
            <w:rStyle w:val="Hyperlink"/>
          </w:rPr>
          <w:t xml:space="preserve">Facility Master Plan</w:t>
        </w:r>
      </w:hyperlink>
      <w:r>
        <w:t xml:space="preserve"> </w:t>
      </w:r>
      <w:r>
        <w:t xml:space="preserve">(Studio GC, March 2026 draft, pp. 22–23) estimates each building's capital and maintenance needs year by year. We spread each building's 2027–36 total evenly over 10 years and added it to the operating costs above.</w:t>
      </w:r>
    </w:p>
    <w:p>
      <w:pPr>
        <w:pStyle w:val="BodyText"/>
      </w:pPr>
      <w:r>
        <w:drawing>
          <wp:inline>
            <wp:extent cx="6035040" cy="3741724"/>
            <wp:effectExtent b="0" l="0" r="0" t="0"/>
            <wp:docPr descr="Cost per student to run each building, with facility-plan capital needs" title="" id="32" name="Picture"/>
            <a:graphic>
              <a:graphicData uri="http://schemas.openxmlformats.org/drawingml/2006/picture">
                <pic:pic>
                  <pic:nvPicPr>
                    <pic:cNvPr descr="images/budget_handout/building_cost_with_capital.png" id="33" name="Picture"/>
                    <pic:cNvPicPr>
                      <a:picLocks noChangeArrowheads="1" noChangeAspect="1"/>
                    </pic:cNvPicPr>
                  </pic:nvPicPr>
                  <pic:blipFill>
                    <a:blip r:embed="rId31"/>
                    <a:stretch>
                      <a:fillRect/>
                    </a:stretch>
                  </pic:blipFill>
                  <pic:spPr bwMode="auto">
                    <a:xfrm>
                      <a:off x="0" y="0"/>
                      <a:ext cx="6035040" cy="3741724"/>
                    </a:xfrm>
                    <a:prstGeom prst="rect">
                      <a:avLst/>
                    </a:prstGeom>
                    <a:noFill/>
                    <a:ln w="9525">
                      <a:noFill/>
                      <a:headEnd/>
                      <a:tailEnd/>
                    </a:ln>
                  </pic:spPr>
                </pic:pic>
              </a:graphicData>
            </a:graphic>
          </wp:inline>
        </w:drawing>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gridCol/>
        <w:gridCol/>
        <w:gridCol/>
        <w:gridCol/>
        <w:gridCol/>
        <w:gridCol/>
      </w:tblGrid>
      <w:tr>
        <w:trPr>
          <w:tblHeader w:val="true"/>
        </w:trPr>
        <w:tc>
          <w:tcPr>
            <w:shd w:val="clear" w:fill="E8ECF3"/>
          </w:tcPr>
          <w:p>
            <w:pPr>
              <w:pStyle w:val="Compact"/>
              <w:jc w:val="left"/>
            </w:pPr>
            <w:r>
              <w:rPr>
                <w:rFonts w:ascii="Arial" w:hAnsi="Arial"/>
                <w:b/>
                <w:sz w:val="18"/>
              </w:rPr>
              <w:t xml:space="preserve">Building</w:t>
            </w:r>
          </w:p>
        </w:tc>
        <w:tc>
          <w:tcPr>
            <w:shd w:val="clear" w:fill="E8ECF3"/>
          </w:tcPr>
          <w:p>
            <w:pPr>
              <w:pStyle w:val="Compact"/>
              <w:jc w:val="right"/>
            </w:pPr>
            <w:r>
              <w:rPr>
                <w:rFonts w:ascii="Arial" w:hAnsi="Arial"/>
                <w:b/>
                <w:sz w:val="18"/>
              </w:rPr>
              <w:t xml:space="preserve">Students</w:t>
            </w:r>
          </w:p>
        </w:tc>
        <w:tc>
          <w:tcPr>
            <w:shd w:val="clear" w:fill="E8ECF3"/>
          </w:tcPr>
          <w:p>
            <w:pPr>
              <w:pStyle w:val="Compact"/>
              <w:jc w:val="right"/>
            </w:pPr>
            <w:r>
              <w:rPr>
                <w:rFonts w:ascii="Arial" w:hAnsi="Arial"/>
                <w:b/>
                <w:sz w:val="18"/>
              </w:rPr>
              <w:t xml:space="preserve">Operating a year</w:t>
            </w:r>
          </w:p>
        </w:tc>
        <w:tc>
          <w:tcPr>
            <w:shd w:val="clear" w:fill="E8ECF3"/>
          </w:tcPr>
          <w:p>
            <w:pPr>
              <w:pStyle w:val="Compact"/>
              <w:jc w:val="right"/>
            </w:pPr>
            <w:r>
              <w:rPr>
                <w:rFonts w:ascii="Arial" w:hAnsi="Arial"/>
                <w:b/>
                <w:sz w:val="18"/>
              </w:rPr>
              <w:t xml:space="preserve">Capital need a year, 2027–31</w:t>
            </w:r>
          </w:p>
        </w:tc>
        <w:tc>
          <w:tcPr>
            <w:shd w:val="clear" w:fill="E8ECF3"/>
          </w:tcPr>
          <w:p>
            <w:pPr>
              <w:pStyle w:val="Compact"/>
              <w:jc w:val="right"/>
            </w:pPr>
            <w:r>
              <w:rPr>
                <w:rFonts w:ascii="Arial" w:hAnsi="Arial"/>
                <w:b/>
                <w:sz w:val="18"/>
              </w:rPr>
              <w:t xml:space="preserve">Capital need a year, 2027–36</w:t>
            </w:r>
          </w:p>
        </w:tc>
        <w:tc>
          <w:tcPr>
            <w:shd w:val="clear" w:fill="E8ECF3"/>
          </w:tcPr>
          <w:p>
            <w:pPr>
              <w:pStyle w:val="Compact"/>
              <w:jc w:val="right"/>
            </w:pPr>
            <w:r>
              <w:rPr>
                <w:rFonts w:ascii="Arial" w:hAnsi="Arial"/>
                <w:b/>
                <w:sz w:val="18"/>
              </w:rPr>
              <w:t xml:space="preserve">Operating per student</w:t>
            </w:r>
          </w:p>
        </w:tc>
        <w:tc>
          <w:tcPr>
            <w:shd w:val="clear" w:fill="E8ECF3"/>
          </w:tcPr>
          <w:p>
            <w:pPr>
              <w:pStyle w:val="Compact"/>
              <w:jc w:val="right"/>
            </w:pPr>
            <w:r>
              <w:rPr>
                <w:rFonts w:ascii="Arial" w:hAnsi="Arial"/>
                <w:b/>
                <w:sz w:val="18"/>
              </w:rPr>
              <w:t xml:space="preserve">Capital per student</w:t>
            </w:r>
          </w:p>
        </w:tc>
        <w:tc>
          <w:tcPr>
            <w:shd w:val="clear" w:fill="E8ECF3"/>
          </w:tcPr>
          <w:p>
            <w:pPr>
              <w:pStyle w:val="Compact"/>
              <w:jc w:val="right"/>
            </w:pPr>
            <w:r>
              <w:rPr>
                <w:bCs/>
                <w:rFonts w:ascii="Arial" w:hAnsi="Arial"/>
                <w:b/>
                <w:sz w:val="18"/>
              </w:rPr>
              <w:t xml:space="preserve">Total per student</w:t>
            </w:r>
          </w:p>
        </w:tc>
        <w:tc>
          <w:tcPr>
            <w:shd w:val="clear" w:fill="E8ECF3"/>
          </w:tcPr>
          <w:p>
            <w:pPr>
              <w:pStyle w:val="Compact"/>
              <w:jc w:val="right"/>
            </w:pPr>
            <w:r>
              <w:rPr>
                <w:rFonts w:ascii="Arial" w:hAnsi="Arial"/>
                <w:b/>
                <w:sz w:val="18"/>
              </w:rPr>
              <w:t xml:space="preserve">Total per student, scenario avg*</w:t>
            </w:r>
          </w:p>
        </w:tc>
      </w:tr>
      <w:tr>
        <w:tc>
          <w:tcPr/>
          <w:p>
            <w:pPr>
              <w:pStyle w:val="Compact"/>
              <w:jc w:val="left"/>
            </w:pPr>
            <w:r>
              <w:rPr>
                <w:rFonts w:ascii="Arial" w:hAnsi="Arial"/>
                <w:sz w:val="18"/>
              </w:rPr>
              <w:t xml:space="preserve">Washington</w:t>
            </w:r>
          </w:p>
        </w:tc>
        <w:tc>
          <w:tcPr/>
          <w:p>
            <w:pPr>
              <w:pStyle w:val="Compact"/>
              <w:jc w:val="right"/>
            </w:pPr>
            <w:r>
              <w:rPr>
                <w:rFonts w:ascii="Arial" w:hAnsi="Arial"/>
                <w:sz w:val="18"/>
              </w:rPr>
              <w:t xml:space="preserve">387</w:t>
            </w:r>
          </w:p>
        </w:tc>
        <w:tc>
          <w:tcPr/>
          <w:p>
            <w:pPr>
              <w:pStyle w:val="Compact"/>
              <w:jc w:val="right"/>
            </w:pPr>
            <w:r>
              <w:rPr>
                <w:rFonts w:ascii="Arial" w:hAnsi="Arial"/>
                <w:sz w:val="18"/>
              </w:rPr>
              <w:t xml:space="preserve">$608K</w:t>
            </w:r>
          </w:p>
        </w:tc>
        <w:tc>
          <w:tcPr/>
          <w:p>
            <w:pPr>
              <w:pStyle w:val="Compact"/>
              <w:jc w:val="right"/>
            </w:pPr>
            <w:r>
              <w:rPr>
                <w:rFonts w:ascii="Arial" w:hAnsi="Arial"/>
                <w:sz w:val="18"/>
              </w:rPr>
              <w:t xml:space="preserve">$3.1M</w:t>
            </w:r>
          </w:p>
        </w:tc>
        <w:tc>
          <w:tcPr/>
          <w:p>
            <w:pPr>
              <w:pStyle w:val="Compact"/>
              <w:jc w:val="right"/>
            </w:pPr>
            <w:r>
              <w:rPr>
                <w:rFonts w:ascii="Arial" w:hAnsi="Arial"/>
                <w:sz w:val="18"/>
              </w:rPr>
              <w:t xml:space="preserve">$3.4M</w:t>
            </w:r>
          </w:p>
        </w:tc>
        <w:tc>
          <w:tcPr/>
          <w:p>
            <w:pPr>
              <w:pStyle w:val="Compact"/>
              <w:jc w:val="right"/>
            </w:pPr>
            <w:r>
              <w:rPr>
                <w:rFonts w:ascii="Arial" w:hAnsi="Arial"/>
                <w:sz w:val="18"/>
              </w:rPr>
              <w:t xml:space="preserve">$1,571</w:t>
            </w:r>
          </w:p>
        </w:tc>
        <w:tc>
          <w:tcPr/>
          <w:p>
            <w:pPr>
              <w:pStyle w:val="Compact"/>
              <w:jc w:val="right"/>
            </w:pPr>
            <w:r>
              <w:rPr>
                <w:rFonts w:ascii="Arial" w:hAnsi="Arial"/>
                <w:sz w:val="18"/>
              </w:rPr>
              <w:t xml:space="preserve">$8,656</w:t>
            </w:r>
          </w:p>
        </w:tc>
        <w:tc>
          <w:tcPr/>
          <w:p>
            <w:pPr>
              <w:pStyle w:val="Compact"/>
              <w:jc w:val="right"/>
            </w:pPr>
            <w:r>
              <w:rPr>
                <w:bCs/>
                <w:rFonts w:ascii="Arial" w:hAnsi="Arial"/>
                <w:b/>
                <w:sz w:val="18"/>
              </w:rPr>
              <w:t xml:space="preserve">$10,227</w:t>
            </w:r>
          </w:p>
        </w:tc>
        <w:tc>
          <w:tcPr/>
          <w:p>
            <w:pPr>
              <w:pStyle w:val="Compact"/>
              <w:jc w:val="right"/>
            </w:pPr>
            <w:r>
              <w:rPr>
                <w:rFonts w:ascii="Arial" w:hAnsi="Arial"/>
                <w:sz w:val="18"/>
              </w:rPr>
              <w:t xml:space="preserve">$9,947</w:t>
            </w:r>
          </w:p>
        </w:tc>
      </w:tr>
      <w:tr>
        <w:tc>
          <w:tcPr/>
          <w:p>
            <w:pPr>
              <w:pStyle w:val="Compact"/>
              <w:jc w:val="left"/>
            </w:pPr>
            <w:r>
              <w:rPr>
                <w:rFonts w:ascii="Arial" w:hAnsi="Arial"/>
                <w:sz w:val="18"/>
              </w:rPr>
              <w:t xml:space="preserve">Dawes</w:t>
            </w:r>
          </w:p>
        </w:tc>
        <w:tc>
          <w:tcPr/>
          <w:p>
            <w:pPr>
              <w:pStyle w:val="Compact"/>
              <w:jc w:val="right"/>
            </w:pPr>
            <w:r>
              <w:rPr>
                <w:rFonts w:ascii="Arial" w:hAnsi="Arial"/>
                <w:sz w:val="18"/>
              </w:rPr>
              <w:t xml:space="preserve">288</w:t>
            </w:r>
          </w:p>
        </w:tc>
        <w:tc>
          <w:tcPr/>
          <w:p>
            <w:pPr>
              <w:pStyle w:val="Compact"/>
              <w:jc w:val="right"/>
            </w:pPr>
            <w:r>
              <w:rPr>
                <w:rFonts w:ascii="Arial" w:hAnsi="Arial"/>
                <w:sz w:val="18"/>
              </w:rPr>
              <w:t xml:space="preserve">$507K</w:t>
            </w:r>
          </w:p>
        </w:tc>
        <w:tc>
          <w:tcPr/>
          <w:p>
            <w:pPr>
              <w:pStyle w:val="Compact"/>
              <w:jc w:val="right"/>
            </w:pPr>
            <w:r>
              <w:rPr>
                <w:rFonts w:ascii="Arial" w:hAnsi="Arial"/>
                <w:sz w:val="18"/>
              </w:rPr>
              <w:t xml:space="preserve">$2.1M</w:t>
            </w:r>
          </w:p>
        </w:tc>
        <w:tc>
          <w:tcPr/>
          <w:p>
            <w:pPr>
              <w:pStyle w:val="Compact"/>
              <w:jc w:val="right"/>
            </w:pPr>
            <w:r>
              <w:rPr>
                <w:rFonts w:ascii="Arial" w:hAnsi="Arial"/>
                <w:sz w:val="18"/>
              </w:rPr>
              <w:t xml:space="preserve">$2.4M</w:t>
            </w:r>
          </w:p>
        </w:tc>
        <w:tc>
          <w:tcPr/>
          <w:p>
            <w:pPr>
              <w:pStyle w:val="Compact"/>
              <w:jc w:val="right"/>
            </w:pPr>
            <w:r>
              <w:rPr>
                <w:rFonts w:ascii="Arial" w:hAnsi="Arial"/>
                <w:sz w:val="18"/>
              </w:rPr>
              <w:t xml:space="preserve">$1,761</w:t>
            </w:r>
          </w:p>
        </w:tc>
        <w:tc>
          <w:tcPr/>
          <w:p>
            <w:pPr>
              <w:pStyle w:val="Compact"/>
              <w:jc w:val="right"/>
            </w:pPr>
            <w:r>
              <w:rPr>
                <w:rFonts w:ascii="Arial" w:hAnsi="Arial"/>
                <w:sz w:val="18"/>
              </w:rPr>
              <w:t xml:space="preserve">$8,368</w:t>
            </w:r>
          </w:p>
        </w:tc>
        <w:tc>
          <w:tcPr/>
          <w:p>
            <w:pPr>
              <w:pStyle w:val="Compact"/>
              <w:jc w:val="right"/>
            </w:pPr>
            <w:r>
              <w:rPr>
                <w:bCs/>
                <w:rFonts w:ascii="Arial" w:hAnsi="Arial"/>
                <w:b/>
                <w:sz w:val="18"/>
              </w:rPr>
              <w:t xml:space="preserve">$10,129</w:t>
            </w:r>
          </w:p>
        </w:tc>
        <w:tc>
          <w:tcPr/>
          <w:p>
            <w:pPr>
              <w:pStyle w:val="Compact"/>
              <w:jc w:val="right"/>
            </w:pPr>
            <w:r>
              <w:rPr>
                <w:rFonts w:ascii="Arial" w:hAnsi="Arial"/>
                <w:sz w:val="18"/>
              </w:rPr>
              <w:t xml:space="preserve">$8,947</w:t>
            </w:r>
          </w:p>
        </w:tc>
      </w:tr>
      <w:tr>
        <w:tc>
          <w:tcPr/>
          <w:p>
            <w:pPr>
              <w:pStyle w:val="Compact"/>
              <w:jc w:val="left"/>
            </w:pPr>
            <w:r>
              <w:rPr>
                <w:rFonts w:ascii="Arial" w:hAnsi="Arial"/>
                <w:sz w:val="18"/>
              </w:rPr>
              <w:t xml:space="preserve">Willard</w:t>
            </w:r>
          </w:p>
        </w:tc>
        <w:tc>
          <w:tcPr/>
          <w:p>
            <w:pPr>
              <w:pStyle w:val="Compact"/>
              <w:jc w:val="right"/>
            </w:pPr>
            <w:r>
              <w:rPr>
                <w:rFonts w:ascii="Arial" w:hAnsi="Arial"/>
                <w:sz w:val="18"/>
              </w:rPr>
              <w:t xml:space="preserve">273</w:t>
            </w:r>
          </w:p>
        </w:tc>
        <w:tc>
          <w:tcPr/>
          <w:p>
            <w:pPr>
              <w:pStyle w:val="Compact"/>
              <w:jc w:val="right"/>
            </w:pPr>
            <w:r>
              <w:rPr>
                <w:rFonts w:ascii="Arial" w:hAnsi="Arial"/>
                <w:sz w:val="18"/>
              </w:rPr>
              <w:t xml:space="preserve">$530K</w:t>
            </w:r>
          </w:p>
        </w:tc>
        <w:tc>
          <w:tcPr/>
          <w:p>
            <w:pPr>
              <w:pStyle w:val="Compact"/>
              <w:jc w:val="right"/>
            </w:pPr>
            <w:r>
              <w:rPr>
                <w:rFonts w:ascii="Arial" w:hAnsi="Arial"/>
                <w:sz w:val="18"/>
              </w:rPr>
              <w:t xml:space="preserve">$2.6M</w:t>
            </w:r>
          </w:p>
        </w:tc>
        <w:tc>
          <w:tcPr/>
          <w:p>
            <w:pPr>
              <w:pStyle w:val="Compact"/>
              <w:jc w:val="right"/>
            </w:pPr>
            <w:r>
              <w:rPr>
                <w:rFonts w:ascii="Arial" w:hAnsi="Arial"/>
                <w:sz w:val="18"/>
              </w:rPr>
              <w:t xml:space="preserve">$2.1M</w:t>
            </w:r>
          </w:p>
        </w:tc>
        <w:tc>
          <w:tcPr/>
          <w:p>
            <w:pPr>
              <w:pStyle w:val="Compact"/>
              <w:jc w:val="right"/>
            </w:pPr>
            <w:r>
              <w:rPr>
                <w:rFonts w:ascii="Arial" w:hAnsi="Arial"/>
                <w:sz w:val="18"/>
              </w:rPr>
              <w:t xml:space="preserve">$1,940</w:t>
            </w:r>
          </w:p>
        </w:tc>
        <w:tc>
          <w:tcPr/>
          <w:p>
            <w:pPr>
              <w:pStyle w:val="Compact"/>
              <w:jc w:val="right"/>
            </w:pPr>
            <w:r>
              <w:rPr>
                <w:rFonts w:ascii="Arial" w:hAnsi="Arial"/>
                <w:sz w:val="18"/>
              </w:rPr>
              <w:t xml:space="preserve">$7,546</w:t>
            </w:r>
          </w:p>
        </w:tc>
        <w:tc>
          <w:tcPr/>
          <w:p>
            <w:pPr>
              <w:pStyle w:val="Compact"/>
              <w:jc w:val="right"/>
            </w:pPr>
            <w:r>
              <w:rPr>
                <w:bCs/>
                <w:rFonts w:ascii="Arial" w:hAnsi="Arial"/>
                <w:b/>
                <w:sz w:val="18"/>
              </w:rPr>
              <w:t xml:space="preserve">$9,486</w:t>
            </w:r>
          </w:p>
        </w:tc>
        <w:tc>
          <w:tcPr/>
          <w:p>
            <w:pPr>
              <w:pStyle w:val="Compact"/>
              <w:jc w:val="right"/>
            </w:pPr>
            <w:r>
              <w:rPr>
                <w:rFonts w:ascii="Arial" w:hAnsi="Arial"/>
                <w:sz w:val="18"/>
              </w:rPr>
              <w:t xml:space="preserve">$7,496</w:t>
            </w:r>
          </w:p>
        </w:tc>
      </w:tr>
      <w:tr>
        <w:tc>
          <w:tcPr/>
          <w:p>
            <w:pPr>
              <w:pStyle w:val="Compact"/>
              <w:jc w:val="left"/>
            </w:pPr>
            <w:r>
              <w:rPr>
                <w:rFonts w:ascii="Arial" w:hAnsi="Arial"/>
                <w:sz w:val="18"/>
              </w:rPr>
              <w:t xml:space="preserve">Lincolnwood</w:t>
            </w:r>
          </w:p>
        </w:tc>
        <w:tc>
          <w:tcPr/>
          <w:p>
            <w:pPr>
              <w:pStyle w:val="Compact"/>
              <w:jc w:val="right"/>
            </w:pPr>
            <w:r>
              <w:rPr>
                <w:rFonts w:ascii="Arial" w:hAnsi="Arial"/>
                <w:sz w:val="18"/>
              </w:rPr>
              <w:t xml:space="preserve">331</w:t>
            </w:r>
          </w:p>
        </w:tc>
        <w:tc>
          <w:tcPr/>
          <w:p>
            <w:pPr>
              <w:pStyle w:val="Compact"/>
              <w:jc w:val="right"/>
            </w:pPr>
            <w:r>
              <w:rPr>
                <w:rFonts w:ascii="Arial" w:hAnsi="Arial"/>
                <w:sz w:val="18"/>
              </w:rPr>
              <w:t xml:space="preserve">$512K</w:t>
            </w:r>
          </w:p>
        </w:tc>
        <w:tc>
          <w:tcPr/>
          <w:p>
            <w:pPr>
              <w:pStyle w:val="Compact"/>
              <w:jc w:val="right"/>
            </w:pPr>
            <w:r>
              <w:rPr>
                <w:rFonts w:ascii="Arial" w:hAnsi="Arial"/>
                <w:sz w:val="18"/>
              </w:rPr>
              <w:t xml:space="preserve">$2.2M</w:t>
            </w:r>
          </w:p>
        </w:tc>
        <w:tc>
          <w:tcPr/>
          <w:p>
            <w:pPr>
              <w:pStyle w:val="Compact"/>
              <w:jc w:val="right"/>
            </w:pPr>
            <w:r>
              <w:rPr>
                <w:rFonts w:ascii="Arial" w:hAnsi="Arial"/>
                <w:sz w:val="18"/>
              </w:rPr>
              <w:t xml:space="preserve">$2.6M</w:t>
            </w:r>
          </w:p>
        </w:tc>
        <w:tc>
          <w:tcPr/>
          <w:p>
            <w:pPr>
              <w:pStyle w:val="Compact"/>
              <w:jc w:val="right"/>
            </w:pPr>
            <w:r>
              <w:rPr>
                <w:rFonts w:ascii="Arial" w:hAnsi="Arial"/>
                <w:sz w:val="18"/>
              </w:rPr>
              <w:t xml:space="preserve">$1,546</w:t>
            </w:r>
          </w:p>
        </w:tc>
        <w:tc>
          <w:tcPr/>
          <w:p>
            <w:pPr>
              <w:pStyle w:val="Compact"/>
              <w:jc w:val="right"/>
            </w:pPr>
            <w:r>
              <w:rPr>
                <w:rFonts w:ascii="Arial" w:hAnsi="Arial"/>
                <w:sz w:val="18"/>
              </w:rPr>
              <w:t xml:space="preserve">$7,825</w:t>
            </w:r>
          </w:p>
        </w:tc>
        <w:tc>
          <w:tcPr/>
          <w:p>
            <w:pPr>
              <w:pStyle w:val="Compact"/>
              <w:jc w:val="right"/>
            </w:pPr>
            <w:r>
              <w:rPr>
                <w:bCs/>
                <w:rFonts w:ascii="Arial" w:hAnsi="Arial"/>
                <w:b/>
                <w:sz w:val="18"/>
              </w:rPr>
              <w:t xml:space="preserve">$9,371</w:t>
            </w:r>
          </w:p>
        </w:tc>
        <w:tc>
          <w:tcPr/>
          <w:p>
            <w:pPr>
              <w:pStyle w:val="Compact"/>
              <w:jc w:val="right"/>
            </w:pPr>
            <w:r>
              <w:rPr>
                <w:rFonts w:ascii="Arial" w:hAnsi="Arial"/>
                <w:sz w:val="18"/>
              </w:rPr>
              <w:t xml:space="preserve">$9,336</w:t>
            </w:r>
          </w:p>
        </w:tc>
      </w:tr>
      <w:tr>
        <w:tc>
          <w:tcPr/>
          <w:p>
            <w:pPr>
              <w:pStyle w:val="Compact"/>
              <w:jc w:val="left"/>
            </w:pPr>
            <w:r>
              <w:rPr>
                <w:rFonts w:ascii="Arial" w:hAnsi="Arial"/>
                <w:sz w:val="18"/>
              </w:rPr>
              <w:t xml:space="preserve">Oakton</w:t>
            </w:r>
          </w:p>
        </w:tc>
        <w:tc>
          <w:tcPr/>
          <w:p>
            <w:pPr>
              <w:pStyle w:val="Compact"/>
              <w:jc w:val="right"/>
            </w:pPr>
            <w:r>
              <w:rPr>
                <w:rFonts w:ascii="Arial" w:hAnsi="Arial"/>
                <w:sz w:val="18"/>
              </w:rPr>
              <w:t xml:space="preserve">367</w:t>
            </w:r>
          </w:p>
        </w:tc>
        <w:tc>
          <w:tcPr/>
          <w:p>
            <w:pPr>
              <w:pStyle w:val="Compact"/>
              <w:jc w:val="right"/>
            </w:pPr>
            <w:r>
              <w:rPr>
                <w:rFonts w:ascii="Arial" w:hAnsi="Arial"/>
                <w:sz w:val="18"/>
              </w:rPr>
              <w:t xml:space="preserve">$652K</w:t>
            </w:r>
          </w:p>
        </w:tc>
        <w:tc>
          <w:tcPr/>
          <w:p>
            <w:pPr>
              <w:pStyle w:val="Compact"/>
              <w:jc w:val="right"/>
            </w:pPr>
            <w:r>
              <w:rPr>
                <w:rFonts w:ascii="Arial" w:hAnsi="Arial"/>
                <w:sz w:val="18"/>
              </w:rPr>
              <w:t xml:space="preserve">$2.1M</w:t>
            </w:r>
          </w:p>
        </w:tc>
        <w:tc>
          <w:tcPr/>
          <w:p>
            <w:pPr>
              <w:pStyle w:val="Compact"/>
              <w:jc w:val="right"/>
            </w:pPr>
            <w:r>
              <w:rPr>
                <w:rFonts w:ascii="Arial" w:hAnsi="Arial"/>
                <w:sz w:val="18"/>
              </w:rPr>
              <w:t xml:space="preserve">$2.8M</w:t>
            </w:r>
          </w:p>
        </w:tc>
        <w:tc>
          <w:tcPr/>
          <w:p>
            <w:pPr>
              <w:pStyle w:val="Compact"/>
              <w:jc w:val="right"/>
            </w:pPr>
            <w:r>
              <w:rPr>
                <w:rFonts w:ascii="Arial" w:hAnsi="Arial"/>
                <w:sz w:val="18"/>
              </w:rPr>
              <w:t xml:space="preserve">$1,778</w:t>
            </w:r>
          </w:p>
        </w:tc>
        <w:tc>
          <w:tcPr/>
          <w:p>
            <w:pPr>
              <w:pStyle w:val="Compact"/>
              <w:jc w:val="right"/>
            </w:pPr>
            <w:r>
              <w:rPr>
                <w:rFonts w:ascii="Arial" w:hAnsi="Arial"/>
                <w:sz w:val="18"/>
              </w:rPr>
              <w:t xml:space="preserve">$7,575</w:t>
            </w:r>
          </w:p>
        </w:tc>
        <w:tc>
          <w:tcPr/>
          <w:p>
            <w:pPr>
              <w:pStyle w:val="Compact"/>
              <w:jc w:val="right"/>
            </w:pPr>
            <w:r>
              <w:rPr>
                <w:bCs/>
                <w:rFonts w:ascii="Arial" w:hAnsi="Arial"/>
                <w:b/>
                <w:sz w:val="18"/>
              </w:rPr>
              <w:t xml:space="preserve">$9,353</w:t>
            </w:r>
          </w:p>
        </w:tc>
        <w:tc>
          <w:tcPr/>
          <w:p>
            <w:pPr>
              <w:pStyle w:val="Compact"/>
              <w:jc w:val="right"/>
            </w:pPr>
            <w:r>
              <w:rPr>
                <w:rFonts w:ascii="Arial" w:hAnsi="Arial"/>
                <w:sz w:val="18"/>
              </w:rPr>
              <w:t xml:space="preserve">$8,806</w:t>
            </w:r>
          </w:p>
        </w:tc>
      </w:tr>
      <w:tr>
        <w:tc>
          <w:tcPr/>
          <w:p>
            <w:pPr>
              <w:pStyle w:val="Compact"/>
              <w:jc w:val="left"/>
            </w:pPr>
            <w:r>
              <w:rPr>
                <w:rFonts w:ascii="Arial" w:hAnsi="Arial"/>
                <w:sz w:val="18"/>
              </w:rPr>
              <w:t xml:space="preserve">Haven (MS)</w:t>
            </w:r>
          </w:p>
        </w:tc>
        <w:tc>
          <w:tcPr/>
          <w:p>
            <w:pPr>
              <w:pStyle w:val="Compact"/>
              <w:jc w:val="right"/>
            </w:pPr>
            <w:r>
              <w:rPr>
                <w:rFonts w:ascii="Arial" w:hAnsi="Arial"/>
                <w:sz w:val="18"/>
              </w:rPr>
              <w:t xml:space="preserve">604</w:t>
            </w:r>
          </w:p>
        </w:tc>
        <w:tc>
          <w:tcPr/>
          <w:p>
            <w:pPr>
              <w:pStyle w:val="Compact"/>
              <w:jc w:val="right"/>
            </w:pPr>
            <w:r>
              <w:rPr>
                <w:rFonts w:ascii="Arial" w:hAnsi="Arial"/>
                <w:sz w:val="18"/>
              </w:rPr>
              <w:t xml:space="preserve">$850K</w:t>
            </w:r>
          </w:p>
        </w:tc>
        <w:tc>
          <w:tcPr/>
          <w:p>
            <w:pPr>
              <w:pStyle w:val="Compact"/>
              <w:jc w:val="right"/>
            </w:pPr>
            <w:r>
              <w:rPr>
                <w:rFonts w:ascii="Arial" w:hAnsi="Arial"/>
                <w:sz w:val="18"/>
              </w:rPr>
              <w:t xml:space="preserve">$4.4M</w:t>
            </w:r>
          </w:p>
        </w:tc>
        <w:tc>
          <w:tcPr/>
          <w:p>
            <w:pPr>
              <w:pStyle w:val="Compact"/>
              <w:jc w:val="right"/>
            </w:pPr>
            <w:r>
              <w:rPr>
                <w:rFonts w:ascii="Arial" w:hAnsi="Arial"/>
                <w:sz w:val="18"/>
              </w:rPr>
              <w:t xml:space="preserve">$4.4M</w:t>
            </w:r>
          </w:p>
        </w:tc>
        <w:tc>
          <w:tcPr/>
          <w:p>
            <w:pPr>
              <w:pStyle w:val="Compact"/>
              <w:jc w:val="right"/>
            </w:pPr>
            <w:r>
              <w:rPr>
                <w:rFonts w:ascii="Arial" w:hAnsi="Arial"/>
                <w:sz w:val="18"/>
              </w:rPr>
              <w:t xml:space="preserve">$1,408</w:t>
            </w:r>
          </w:p>
        </w:tc>
        <w:tc>
          <w:tcPr/>
          <w:p>
            <w:pPr>
              <w:pStyle w:val="Compact"/>
              <w:jc w:val="right"/>
            </w:pPr>
            <w:r>
              <w:rPr>
                <w:rFonts w:ascii="Arial" w:hAnsi="Arial"/>
                <w:sz w:val="18"/>
              </w:rPr>
              <w:t xml:space="preserve">$7,268</w:t>
            </w:r>
          </w:p>
        </w:tc>
        <w:tc>
          <w:tcPr/>
          <w:p>
            <w:pPr>
              <w:pStyle w:val="Compact"/>
              <w:jc w:val="right"/>
            </w:pPr>
            <w:r>
              <w:rPr>
                <w:bCs/>
                <w:rFonts w:ascii="Arial" w:hAnsi="Arial"/>
                <w:b/>
                <w:sz w:val="18"/>
              </w:rPr>
              <w:t xml:space="preserve">$8,676</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Chute (MS)</w:t>
            </w:r>
          </w:p>
        </w:tc>
        <w:tc>
          <w:tcPr/>
          <w:p>
            <w:pPr>
              <w:pStyle w:val="Compact"/>
              <w:jc w:val="right"/>
            </w:pPr>
            <w:r>
              <w:rPr>
                <w:rFonts w:ascii="Arial" w:hAnsi="Arial"/>
                <w:sz w:val="18"/>
              </w:rPr>
              <w:t xml:space="preserve">591</w:t>
            </w:r>
          </w:p>
        </w:tc>
        <w:tc>
          <w:tcPr/>
          <w:p>
            <w:pPr>
              <w:pStyle w:val="Compact"/>
              <w:jc w:val="right"/>
            </w:pPr>
            <w:r>
              <w:rPr>
                <w:rFonts w:ascii="Arial" w:hAnsi="Arial"/>
                <w:sz w:val="18"/>
              </w:rPr>
              <w:t xml:space="preserve">$752K</w:t>
            </w:r>
          </w:p>
        </w:tc>
        <w:tc>
          <w:tcPr/>
          <w:p>
            <w:pPr>
              <w:pStyle w:val="Compact"/>
              <w:jc w:val="right"/>
            </w:pPr>
            <w:r>
              <w:rPr>
                <w:rFonts w:ascii="Arial" w:hAnsi="Arial"/>
                <w:sz w:val="18"/>
              </w:rPr>
              <w:t xml:space="preserve">$3.9M</w:t>
            </w:r>
          </w:p>
        </w:tc>
        <w:tc>
          <w:tcPr/>
          <w:p>
            <w:pPr>
              <w:pStyle w:val="Compact"/>
              <w:jc w:val="right"/>
            </w:pPr>
            <w:r>
              <w:rPr>
                <w:rFonts w:ascii="Arial" w:hAnsi="Arial"/>
                <w:sz w:val="18"/>
              </w:rPr>
              <w:t xml:space="preserve">$4.3M</w:t>
            </w:r>
          </w:p>
        </w:tc>
        <w:tc>
          <w:tcPr/>
          <w:p>
            <w:pPr>
              <w:pStyle w:val="Compact"/>
              <w:jc w:val="right"/>
            </w:pPr>
            <w:r>
              <w:rPr>
                <w:rFonts w:ascii="Arial" w:hAnsi="Arial"/>
                <w:sz w:val="18"/>
              </w:rPr>
              <w:t xml:space="preserve">$1,272</w:t>
            </w:r>
          </w:p>
        </w:tc>
        <w:tc>
          <w:tcPr/>
          <w:p>
            <w:pPr>
              <w:pStyle w:val="Compact"/>
              <w:jc w:val="right"/>
            </w:pPr>
            <w:r>
              <w:rPr>
                <w:rFonts w:ascii="Arial" w:hAnsi="Arial"/>
                <w:sz w:val="18"/>
              </w:rPr>
              <w:t xml:space="preserve">$7,259</w:t>
            </w:r>
          </w:p>
        </w:tc>
        <w:tc>
          <w:tcPr/>
          <w:p>
            <w:pPr>
              <w:pStyle w:val="Compact"/>
              <w:jc w:val="right"/>
            </w:pPr>
            <w:r>
              <w:rPr>
                <w:bCs/>
                <w:rFonts w:ascii="Arial" w:hAnsi="Arial"/>
                <w:b/>
                <w:sz w:val="18"/>
              </w:rPr>
              <w:t xml:space="preserve">$8,531</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Dewey</w:t>
            </w:r>
          </w:p>
        </w:tc>
        <w:tc>
          <w:tcPr/>
          <w:p>
            <w:pPr>
              <w:pStyle w:val="Compact"/>
              <w:jc w:val="right"/>
            </w:pPr>
            <w:r>
              <w:rPr>
                <w:rFonts w:ascii="Arial" w:hAnsi="Arial"/>
                <w:sz w:val="18"/>
              </w:rPr>
              <w:t xml:space="preserve">315</w:t>
            </w:r>
          </w:p>
        </w:tc>
        <w:tc>
          <w:tcPr/>
          <w:p>
            <w:pPr>
              <w:pStyle w:val="Compact"/>
              <w:jc w:val="right"/>
            </w:pPr>
            <w:r>
              <w:rPr>
                <w:rFonts w:ascii="Arial" w:hAnsi="Arial"/>
                <w:sz w:val="18"/>
              </w:rPr>
              <w:t xml:space="preserve">$546K</w:t>
            </w:r>
          </w:p>
        </w:tc>
        <w:tc>
          <w:tcPr/>
          <w:p>
            <w:pPr>
              <w:pStyle w:val="Compact"/>
              <w:jc w:val="right"/>
            </w:pPr>
            <w:r>
              <w:rPr>
                <w:rFonts w:ascii="Arial" w:hAnsi="Arial"/>
                <w:sz w:val="18"/>
              </w:rPr>
              <w:t xml:space="preserve">$1.7M</w:t>
            </w:r>
          </w:p>
        </w:tc>
        <w:tc>
          <w:tcPr/>
          <w:p>
            <w:pPr>
              <w:pStyle w:val="Compact"/>
              <w:jc w:val="right"/>
            </w:pPr>
            <w:r>
              <w:rPr>
                <w:rFonts w:ascii="Arial" w:hAnsi="Arial"/>
                <w:sz w:val="18"/>
              </w:rPr>
              <w:t xml:space="preserve">$2.1M</w:t>
            </w:r>
          </w:p>
        </w:tc>
        <w:tc>
          <w:tcPr/>
          <w:p>
            <w:pPr>
              <w:pStyle w:val="Compact"/>
              <w:jc w:val="right"/>
            </w:pPr>
            <w:r>
              <w:rPr>
                <w:rFonts w:ascii="Arial" w:hAnsi="Arial"/>
                <w:sz w:val="18"/>
              </w:rPr>
              <w:t xml:space="preserve">$1,734</w:t>
            </w:r>
          </w:p>
        </w:tc>
        <w:tc>
          <w:tcPr/>
          <w:p>
            <w:pPr>
              <w:pStyle w:val="Compact"/>
              <w:jc w:val="right"/>
            </w:pPr>
            <w:r>
              <w:rPr>
                <w:rFonts w:ascii="Arial" w:hAnsi="Arial"/>
                <w:sz w:val="18"/>
              </w:rPr>
              <w:t xml:space="preserve">$6,794</w:t>
            </w:r>
          </w:p>
        </w:tc>
        <w:tc>
          <w:tcPr/>
          <w:p>
            <w:pPr>
              <w:pStyle w:val="Compact"/>
              <w:jc w:val="right"/>
            </w:pPr>
            <w:r>
              <w:rPr>
                <w:bCs/>
                <w:rFonts w:ascii="Arial" w:hAnsi="Arial"/>
                <w:b/>
                <w:sz w:val="18"/>
              </w:rPr>
              <w:t xml:space="preserve">$8,528</w:t>
            </w:r>
          </w:p>
        </w:tc>
        <w:tc>
          <w:tcPr/>
          <w:p>
            <w:pPr>
              <w:pStyle w:val="Compact"/>
              <w:jc w:val="right"/>
            </w:pPr>
            <w:r>
              <w:rPr>
                <w:rFonts w:ascii="Arial" w:hAnsi="Arial"/>
                <w:sz w:val="18"/>
              </w:rPr>
              <w:t xml:space="preserve">$7,414</w:t>
            </w:r>
          </w:p>
        </w:tc>
      </w:tr>
      <w:tr>
        <w:tc>
          <w:tcPr/>
          <w:p>
            <w:pPr>
              <w:pStyle w:val="Compact"/>
              <w:jc w:val="left"/>
            </w:pPr>
            <w:r>
              <w:rPr>
                <w:rFonts w:ascii="Arial" w:hAnsi="Arial"/>
                <w:sz w:val="18"/>
              </w:rPr>
              <w:t xml:space="preserve">Orrington</w:t>
            </w:r>
          </w:p>
        </w:tc>
        <w:tc>
          <w:tcPr/>
          <w:p>
            <w:pPr>
              <w:pStyle w:val="Compact"/>
              <w:jc w:val="right"/>
            </w:pPr>
            <w:r>
              <w:rPr>
                <w:rFonts w:ascii="Arial" w:hAnsi="Arial"/>
                <w:sz w:val="18"/>
              </w:rPr>
              <w:t xml:space="preserve">251</w:t>
            </w:r>
          </w:p>
        </w:tc>
        <w:tc>
          <w:tcPr/>
          <w:p>
            <w:pPr>
              <w:pStyle w:val="Compact"/>
              <w:jc w:val="right"/>
            </w:pPr>
            <w:r>
              <w:rPr>
                <w:rFonts w:ascii="Arial" w:hAnsi="Arial"/>
                <w:sz w:val="18"/>
              </w:rPr>
              <w:t xml:space="preserve">$455K</w:t>
            </w:r>
          </w:p>
        </w:tc>
        <w:tc>
          <w:tcPr/>
          <w:p>
            <w:pPr>
              <w:pStyle w:val="Compact"/>
              <w:jc w:val="right"/>
            </w:pPr>
            <w:r>
              <w:rPr>
                <w:rFonts w:ascii="Arial" w:hAnsi="Arial"/>
                <w:sz w:val="18"/>
              </w:rPr>
              <w:t xml:space="preserve">$1.2M</w:t>
            </w:r>
          </w:p>
        </w:tc>
        <w:tc>
          <w:tcPr/>
          <w:p>
            <w:pPr>
              <w:pStyle w:val="Compact"/>
              <w:jc w:val="right"/>
            </w:pPr>
            <w:r>
              <w:rPr>
                <w:rFonts w:ascii="Arial" w:hAnsi="Arial"/>
                <w:sz w:val="18"/>
              </w:rPr>
              <w:t xml:space="preserve">$1.6M</w:t>
            </w:r>
          </w:p>
        </w:tc>
        <w:tc>
          <w:tcPr/>
          <w:p>
            <w:pPr>
              <w:pStyle w:val="Compact"/>
              <w:jc w:val="right"/>
            </w:pPr>
            <w:r>
              <w:rPr>
                <w:rFonts w:ascii="Arial" w:hAnsi="Arial"/>
                <w:sz w:val="18"/>
              </w:rPr>
              <w:t xml:space="preserve">$1,813</w:t>
            </w:r>
          </w:p>
        </w:tc>
        <w:tc>
          <w:tcPr/>
          <w:p>
            <w:pPr>
              <w:pStyle w:val="Compact"/>
              <w:jc w:val="right"/>
            </w:pPr>
            <w:r>
              <w:rPr>
                <w:rFonts w:ascii="Arial" w:hAnsi="Arial"/>
                <w:sz w:val="18"/>
              </w:rPr>
              <w:t xml:space="preserve">$6,375</w:t>
            </w:r>
          </w:p>
        </w:tc>
        <w:tc>
          <w:tcPr/>
          <w:p>
            <w:pPr>
              <w:pStyle w:val="Compact"/>
              <w:jc w:val="right"/>
            </w:pPr>
            <w:r>
              <w:rPr>
                <w:bCs/>
                <w:rFonts w:ascii="Arial" w:hAnsi="Arial"/>
                <w:b/>
                <w:sz w:val="18"/>
              </w:rPr>
              <w:t xml:space="preserve">$8,188</w:t>
            </w:r>
          </w:p>
        </w:tc>
        <w:tc>
          <w:tcPr/>
          <w:p>
            <w:pPr>
              <w:pStyle w:val="Compact"/>
              <w:jc w:val="right"/>
            </w:pPr>
            <w:r>
              <w:rPr>
                <w:rFonts w:ascii="Arial" w:hAnsi="Arial"/>
                <w:sz w:val="18"/>
              </w:rPr>
              <w:t xml:space="preserve">$6,495</w:t>
            </w:r>
          </w:p>
        </w:tc>
      </w:tr>
      <w:tr>
        <w:tc>
          <w:tcPr/>
          <w:p>
            <w:pPr>
              <w:pStyle w:val="Compact"/>
              <w:jc w:val="left"/>
            </w:pPr>
            <w:r>
              <w:rPr>
                <w:rFonts w:ascii="Arial" w:hAnsi="Arial"/>
                <w:sz w:val="18"/>
              </w:rPr>
              <w:t xml:space="preserve">Walker</w:t>
            </w:r>
          </w:p>
        </w:tc>
        <w:tc>
          <w:tcPr/>
          <w:p>
            <w:pPr>
              <w:pStyle w:val="Compact"/>
              <w:jc w:val="right"/>
            </w:pPr>
            <w:r>
              <w:rPr>
                <w:rFonts w:ascii="Arial" w:hAnsi="Arial"/>
                <w:sz w:val="18"/>
              </w:rPr>
              <w:t xml:space="preserve">317</w:t>
            </w:r>
          </w:p>
        </w:tc>
        <w:tc>
          <w:tcPr/>
          <w:p>
            <w:pPr>
              <w:pStyle w:val="Compact"/>
              <w:jc w:val="right"/>
            </w:pPr>
            <w:r>
              <w:rPr>
                <w:rFonts w:ascii="Arial" w:hAnsi="Arial"/>
                <w:sz w:val="18"/>
              </w:rPr>
              <w:t xml:space="preserve">$475K</w:t>
            </w:r>
          </w:p>
        </w:tc>
        <w:tc>
          <w:tcPr/>
          <w:p>
            <w:pPr>
              <w:pStyle w:val="Compact"/>
              <w:jc w:val="right"/>
            </w:pPr>
            <w:r>
              <w:rPr>
                <w:rFonts w:ascii="Arial" w:hAnsi="Arial"/>
                <w:sz w:val="18"/>
              </w:rPr>
              <w:t xml:space="preserve">$2.0M</w:t>
            </w:r>
          </w:p>
        </w:tc>
        <w:tc>
          <w:tcPr/>
          <w:p>
            <w:pPr>
              <w:pStyle w:val="Compact"/>
              <w:jc w:val="right"/>
            </w:pPr>
            <w:r>
              <w:rPr>
                <w:rFonts w:ascii="Arial" w:hAnsi="Arial"/>
                <w:sz w:val="18"/>
              </w:rPr>
              <w:t xml:space="preserve">$2.0M</w:t>
            </w:r>
          </w:p>
        </w:tc>
        <w:tc>
          <w:tcPr/>
          <w:p>
            <w:pPr>
              <w:pStyle w:val="Compact"/>
              <w:jc w:val="right"/>
            </w:pPr>
            <w:r>
              <w:rPr>
                <w:rFonts w:ascii="Arial" w:hAnsi="Arial"/>
                <w:sz w:val="18"/>
              </w:rPr>
              <w:t xml:space="preserve">$1,498</w:t>
            </w:r>
          </w:p>
        </w:tc>
        <w:tc>
          <w:tcPr/>
          <w:p>
            <w:pPr>
              <w:pStyle w:val="Compact"/>
              <w:jc w:val="right"/>
            </w:pPr>
            <w:r>
              <w:rPr>
                <w:rFonts w:ascii="Arial" w:hAnsi="Arial"/>
                <w:sz w:val="18"/>
              </w:rPr>
              <w:t xml:space="preserve">$6,404</w:t>
            </w:r>
          </w:p>
        </w:tc>
        <w:tc>
          <w:tcPr/>
          <w:p>
            <w:pPr>
              <w:pStyle w:val="Compact"/>
              <w:jc w:val="right"/>
            </w:pPr>
            <w:r>
              <w:rPr>
                <w:bCs/>
                <w:rFonts w:ascii="Arial" w:hAnsi="Arial"/>
                <w:b/>
                <w:sz w:val="18"/>
              </w:rPr>
              <w:t xml:space="preserve">$7,902</w:t>
            </w:r>
          </w:p>
        </w:tc>
        <w:tc>
          <w:tcPr/>
          <w:p>
            <w:pPr>
              <w:pStyle w:val="Compact"/>
              <w:jc w:val="right"/>
            </w:pPr>
            <w:r>
              <w:rPr>
                <w:rFonts w:ascii="Arial" w:hAnsi="Arial"/>
                <w:sz w:val="18"/>
              </w:rPr>
              <w:t xml:space="preserve">$7,874</w:t>
            </w:r>
          </w:p>
        </w:tc>
      </w:tr>
      <w:tr>
        <w:tc>
          <w:tcPr/>
          <w:p>
            <w:pPr>
              <w:pStyle w:val="Compact"/>
              <w:jc w:val="left"/>
            </w:pPr>
            <w:r>
              <w:rPr>
                <w:rFonts w:ascii="Arial" w:hAnsi="Arial"/>
                <w:sz w:val="18"/>
              </w:rPr>
              <w:t xml:space="preserve">Lincoln</w:t>
            </w:r>
          </w:p>
        </w:tc>
        <w:tc>
          <w:tcPr/>
          <w:p>
            <w:pPr>
              <w:pStyle w:val="Compact"/>
              <w:jc w:val="right"/>
            </w:pPr>
            <w:r>
              <w:rPr>
                <w:rFonts w:ascii="Arial" w:hAnsi="Arial"/>
                <w:sz w:val="18"/>
              </w:rPr>
              <w:t xml:space="preserve">350</w:t>
            </w:r>
          </w:p>
        </w:tc>
        <w:tc>
          <w:tcPr/>
          <w:p>
            <w:pPr>
              <w:pStyle w:val="Compact"/>
              <w:jc w:val="right"/>
            </w:pPr>
            <w:r>
              <w:rPr>
                <w:rFonts w:ascii="Arial" w:hAnsi="Arial"/>
                <w:sz w:val="18"/>
              </w:rPr>
              <w:t xml:space="preserve">$585K</w:t>
            </w:r>
          </w:p>
        </w:tc>
        <w:tc>
          <w:tcPr/>
          <w:p>
            <w:pPr>
              <w:pStyle w:val="Compact"/>
              <w:jc w:val="right"/>
            </w:pPr>
            <w:r>
              <w:rPr>
                <w:rFonts w:ascii="Arial" w:hAnsi="Arial"/>
                <w:sz w:val="18"/>
              </w:rPr>
              <w:t xml:space="preserve">$1.5M</w:t>
            </w:r>
          </w:p>
        </w:tc>
        <w:tc>
          <w:tcPr/>
          <w:p>
            <w:pPr>
              <w:pStyle w:val="Compact"/>
              <w:jc w:val="right"/>
            </w:pPr>
            <w:r>
              <w:rPr>
                <w:rFonts w:ascii="Arial" w:hAnsi="Arial"/>
                <w:sz w:val="18"/>
              </w:rPr>
              <w:t xml:space="preserve">$1.9M</w:t>
            </w:r>
          </w:p>
        </w:tc>
        <w:tc>
          <w:tcPr/>
          <w:p>
            <w:pPr>
              <w:pStyle w:val="Compact"/>
              <w:jc w:val="right"/>
            </w:pPr>
            <w:r>
              <w:rPr>
                <w:rFonts w:ascii="Arial" w:hAnsi="Arial"/>
                <w:sz w:val="18"/>
              </w:rPr>
              <w:t xml:space="preserve">$1,673</w:t>
            </w:r>
          </w:p>
        </w:tc>
        <w:tc>
          <w:tcPr/>
          <w:p>
            <w:pPr>
              <w:pStyle w:val="Compact"/>
              <w:jc w:val="right"/>
            </w:pPr>
            <w:r>
              <w:rPr>
                <w:rFonts w:ascii="Arial" w:hAnsi="Arial"/>
                <w:sz w:val="18"/>
              </w:rPr>
              <w:t xml:space="preserve">$5,571</w:t>
            </w:r>
          </w:p>
        </w:tc>
        <w:tc>
          <w:tcPr/>
          <w:p>
            <w:pPr>
              <w:pStyle w:val="Compact"/>
              <w:jc w:val="right"/>
            </w:pPr>
            <w:r>
              <w:rPr>
                <w:bCs/>
                <w:rFonts w:ascii="Arial" w:hAnsi="Arial"/>
                <w:b/>
                <w:sz w:val="18"/>
              </w:rPr>
              <w:t xml:space="preserve">$7,244</w:t>
            </w:r>
          </w:p>
        </w:tc>
        <w:tc>
          <w:tcPr/>
          <w:p>
            <w:pPr>
              <w:pStyle w:val="Compact"/>
              <w:jc w:val="right"/>
            </w:pPr>
            <w:r>
              <w:rPr>
                <w:rFonts w:ascii="Arial" w:hAnsi="Arial"/>
                <w:sz w:val="18"/>
              </w:rPr>
              <w:t xml:space="preserve">$6,231</w:t>
            </w:r>
          </w:p>
        </w:tc>
      </w:tr>
      <w:tr>
        <w:tc>
          <w:tcPr/>
          <w:p>
            <w:pPr>
              <w:pStyle w:val="Compact"/>
              <w:jc w:val="left"/>
            </w:pPr>
            <w:r>
              <w:rPr>
                <w:rFonts w:ascii="Arial" w:hAnsi="Arial"/>
                <w:sz w:val="18"/>
              </w:rPr>
              <w:t xml:space="preserve">Nichols (MS)</w:t>
            </w:r>
          </w:p>
        </w:tc>
        <w:tc>
          <w:tcPr/>
          <w:p>
            <w:pPr>
              <w:pStyle w:val="Compact"/>
              <w:jc w:val="right"/>
            </w:pPr>
            <w:r>
              <w:rPr>
                <w:rFonts w:ascii="Arial" w:hAnsi="Arial"/>
                <w:sz w:val="18"/>
              </w:rPr>
              <w:t xml:space="preserve">582</w:t>
            </w:r>
          </w:p>
        </w:tc>
        <w:tc>
          <w:tcPr/>
          <w:p>
            <w:pPr>
              <w:pStyle w:val="Compact"/>
              <w:jc w:val="right"/>
            </w:pPr>
            <w:r>
              <w:rPr>
                <w:rFonts w:ascii="Arial" w:hAnsi="Arial"/>
                <w:sz w:val="18"/>
              </w:rPr>
              <w:t xml:space="preserve">$678K</w:t>
            </w:r>
          </w:p>
        </w:tc>
        <w:tc>
          <w:tcPr/>
          <w:p>
            <w:pPr>
              <w:pStyle w:val="Compact"/>
              <w:jc w:val="right"/>
            </w:pPr>
            <w:r>
              <w:rPr>
                <w:rFonts w:ascii="Arial" w:hAnsi="Arial"/>
                <w:sz w:val="18"/>
              </w:rPr>
              <w:t xml:space="preserve">$2.9M</w:t>
            </w:r>
          </w:p>
        </w:tc>
        <w:tc>
          <w:tcPr/>
          <w:p>
            <w:pPr>
              <w:pStyle w:val="Compact"/>
              <w:jc w:val="right"/>
            </w:pPr>
            <w:r>
              <w:rPr>
                <w:rFonts w:ascii="Arial" w:hAnsi="Arial"/>
                <w:sz w:val="18"/>
              </w:rPr>
              <w:t xml:space="preserve">$3.3M</w:t>
            </w:r>
          </w:p>
        </w:tc>
        <w:tc>
          <w:tcPr/>
          <w:p>
            <w:pPr>
              <w:pStyle w:val="Compact"/>
              <w:jc w:val="right"/>
            </w:pPr>
            <w:r>
              <w:rPr>
                <w:rFonts w:ascii="Arial" w:hAnsi="Arial"/>
                <w:sz w:val="18"/>
              </w:rPr>
              <w:t xml:space="preserve">$1,164</w:t>
            </w:r>
          </w:p>
        </w:tc>
        <w:tc>
          <w:tcPr/>
          <w:p>
            <w:pPr>
              <w:pStyle w:val="Compact"/>
              <w:jc w:val="right"/>
            </w:pPr>
            <w:r>
              <w:rPr>
                <w:rFonts w:ascii="Arial" w:hAnsi="Arial"/>
                <w:sz w:val="18"/>
              </w:rPr>
              <w:t xml:space="preserve">$5,653</w:t>
            </w:r>
          </w:p>
        </w:tc>
        <w:tc>
          <w:tcPr/>
          <w:p>
            <w:pPr>
              <w:pStyle w:val="Compact"/>
              <w:jc w:val="right"/>
            </w:pPr>
            <w:r>
              <w:rPr>
                <w:bCs/>
                <w:rFonts w:ascii="Arial" w:hAnsi="Arial"/>
                <w:b/>
                <w:sz w:val="18"/>
              </w:rPr>
              <w:t xml:space="preserve">$6,817</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King Arts</w:t>
            </w:r>
          </w:p>
        </w:tc>
        <w:tc>
          <w:tcPr/>
          <w:p>
            <w:pPr>
              <w:pStyle w:val="Compact"/>
              <w:jc w:val="right"/>
            </w:pPr>
            <w:r>
              <w:rPr>
                <w:rFonts w:ascii="Arial" w:hAnsi="Arial"/>
                <w:sz w:val="18"/>
              </w:rPr>
              <w:t xml:space="preserve">445</w:t>
            </w:r>
          </w:p>
        </w:tc>
        <w:tc>
          <w:tcPr/>
          <w:p>
            <w:pPr>
              <w:pStyle w:val="Compact"/>
              <w:jc w:val="right"/>
            </w:pPr>
            <w:r>
              <w:rPr>
                <w:rFonts w:ascii="Arial" w:hAnsi="Arial"/>
                <w:sz w:val="18"/>
              </w:rPr>
              <w:t xml:space="preserve">$703K</w:t>
            </w:r>
          </w:p>
        </w:tc>
        <w:tc>
          <w:tcPr/>
          <w:p>
            <w:pPr>
              <w:pStyle w:val="Compact"/>
              <w:jc w:val="right"/>
            </w:pPr>
            <w:r>
              <w:rPr>
                <w:rFonts w:ascii="Arial" w:hAnsi="Arial"/>
                <w:sz w:val="18"/>
              </w:rPr>
              <w:t xml:space="preserve">$1.4M</w:t>
            </w:r>
          </w:p>
        </w:tc>
        <w:tc>
          <w:tcPr/>
          <w:p>
            <w:pPr>
              <w:pStyle w:val="Compact"/>
              <w:jc w:val="right"/>
            </w:pPr>
            <w:r>
              <w:rPr>
                <w:rFonts w:ascii="Arial" w:hAnsi="Arial"/>
                <w:sz w:val="18"/>
              </w:rPr>
              <w:t xml:space="preserve">$1.9M</w:t>
            </w:r>
          </w:p>
        </w:tc>
        <w:tc>
          <w:tcPr/>
          <w:p>
            <w:pPr>
              <w:pStyle w:val="Compact"/>
              <w:jc w:val="right"/>
            </w:pPr>
            <w:r>
              <w:rPr>
                <w:rFonts w:ascii="Arial" w:hAnsi="Arial"/>
                <w:sz w:val="18"/>
              </w:rPr>
              <w:t xml:space="preserve">$1,580</w:t>
            </w:r>
          </w:p>
        </w:tc>
        <w:tc>
          <w:tcPr/>
          <w:p>
            <w:pPr>
              <w:pStyle w:val="Compact"/>
              <w:jc w:val="right"/>
            </w:pPr>
            <w:r>
              <w:rPr>
                <w:rFonts w:ascii="Arial" w:hAnsi="Arial"/>
                <w:sz w:val="18"/>
              </w:rPr>
              <w:t xml:space="preserve">$4,225</w:t>
            </w:r>
          </w:p>
        </w:tc>
        <w:tc>
          <w:tcPr/>
          <w:p>
            <w:pPr>
              <w:pStyle w:val="Compact"/>
              <w:jc w:val="right"/>
            </w:pPr>
            <w:r>
              <w:rPr>
                <w:bCs/>
                <w:rFonts w:ascii="Arial" w:hAnsi="Arial"/>
                <w:b/>
                <w:sz w:val="18"/>
              </w:rPr>
              <w:t xml:space="preserve">$5,805</w:t>
            </w:r>
          </w:p>
        </w:tc>
        <w:tc>
          <w:tcPr/>
          <w:p>
            <w:pPr>
              <w:pStyle w:val="Compact"/>
              <w:jc w:val="right"/>
            </w:pPr>
            <w:r>
              <w:rPr>
                <w:rFonts w:ascii="Arial" w:hAnsi="Arial"/>
                <w:sz w:val="18"/>
              </w:rPr>
              <w:t xml:space="preserve">—</w:t>
            </w:r>
          </w:p>
        </w:tc>
      </w:tr>
    </w:tbl>
    <w:p>
      <w:pPr>
        <w:pStyle w:val="BodyText"/>
      </w:pPr>
      <w:r>
        <w:t xml:space="preserve">*Scenario average uses the same enrollments as the operating table (operating total ÷ scenario-average per-student cost). Operating per student is the handout's figure; capital per student is the 2027–36 yearly average ÷ fall 2026 students.</w:t>
      </w:r>
    </w:p>
    <w:p>
      <w:pPr>
        <w:pStyle w:val="BodyText"/>
      </w:pPr>
      <w:r>
        <w:rPr>
          <w:bCs/>
          <w:b/>
        </w:rPr>
        <w:t xml:space="preserve">What changes when capital needs are included</w:t>
      </w:r>
    </w:p>
    <w:p>
      <w:pPr>
        <w:numPr>
          <w:ilvl w:val="0"/>
          <w:numId w:val="1007"/>
        </w:numPr>
        <w:pStyle w:val="Compact"/>
      </w:pPr>
      <w:r>
        <w:rPr>
          <w:bCs/>
          <w:b/>
        </w:rPr>
        <w:t xml:space="preserve">Capital dwarfs operating costs.</w:t>
      </w:r>
      <w:r>
        <w:t xml:space="preserve"> </w:t>
      </w:r>
      <w:r>
        <w:t xml:space="preserve">Each building's capital need averages $1.6–4.4M a year, about 3–6 times its principal, office, custodian and utility costs of $455–850K (from 2.7× at King Arts to 5.7× at Chute). Across these 13 buildings that's $34.8M a year in capital against $7.9M in operating costs.</w:t>
      </w:r>
    </w:p>
    <w:p>
      <w:pPr>
        <w:numPr>
          <w:ilvl w:val="0"/>
          <w:numId w:val="1007"/>
        </w:numPr>
        <w:pStyle w:val="Compact"/>
      </w:pPr>
      <w:r>
        <w:rPr>
          <w:bCs/>
          <w:b/>
        </w:rPr>
        <w:t xml:space="preserve">The ranking shifts.</w:t>
      </w:r>
    </w:p>
    <w:p>
      <w:pPr>
        <w:numPr>
          <w:ilvl w:val="1"/>
          <w:numId w:val="1008"/>
        </w:numPr>
        <w:pStyle w:val="Compact"/>
      </w:pPr>
      <w:r>
        <w:rPr>
          <w:bCs/>
          <w:b/>
        </w:rPr>
        <w:t xml:space="preserve">Most expensive:</w:t>
      </w:r>
      <w:r>
        <w:t xml:space="preserve"> </w:t>
      </w:r>
      <w:r>
        <w:t xml:space="preserve">Washington and Dawes, at about $10,100–10,200 per student a year. Then Willard, Lincolnwood and Oakton at about $9,400–9,500.</w:t>
      </w:r>
    </w:p>
    <w:p>
      <w:pPr>
        <w:numPr>
          <w:ilvl w:val="1"/>
          <w:numId w:val="1008"/>
        </w:numPr>
        <w:pStyle w:val="Compact"/>
      </w:pPr>
      <w:r>
        <w:rPr>
          <w:bCs/>
          <w:b/>
        </w:rPr>
        <w:t xml:space="preserve">Least expensive:</w:t>
      </w:r>
      <w:r>
        <w:t xml:space="preserve"> </w:t>
      </w:r>
      <w:r>
        <w:t xml:space="preserve">King Arts (</w:t>
      </w:r>
      <m:oMath>
        <m:r>
          <m:t>5</m:t>
        </m:r>
        <m:r>
          <m:rPr>
            <m:sty m:val="p"/>
          </m:rPr>
          <m:t>,</m:t>
        </m:r>
        <m:r>
          <m:t>800</m:t>
        </m:r>
        <m:r>
          <m:rPr>
            <m:sty m:val="p"/>
          </m:rPr>
          <m:t>)</m:t>
        </m:r>
        <m:r>
          <m:rPr>
            <m:sty m:val="p"/>
          </m:rPr>
          <m:t>,</m:t>
        </m:r>
        <m:r>
          <m:t>N</m:t>
        </m:r>
        <m:r>
          <m:t>i</m:t>
        </m:r>
        <m:r>
          <m:t>c</m:t>
        </m:r>
        <m:r>
          <m:t>h</m:t>
        </m:r>
        <m:r>
          <m:t>o</m:t>
        </m:r>
        <m:r>
          <m:t>l</m:t>
        </m:r>
        <m:r>
          <m:t>s</m:t>
        </m:r>
        <m:r>
          <m:rPr>
            <m:sty m:val="p"/>
          </m:rPr>
          <m:t>(</m:t>
        </m:r>
      </m:oMath>
      <w:r>
        <w:t xml:space="preserve">6,800) and Lincoln ($7,200).</w:t>
      </w:r>
    </w:p>
    <w:p>
      <w:pPr>
        <w:numPr>
          <w:ilvl w:val="1"/>
          <w:numId w:val="1008"/>
        </w:numPr>
        <w:pStyle w:val="Compact"/>
      </w:pPr>
      <w:r>
        <w:t xml:space="preserve">Orrington, among the costliest per student on operating costs alone, drops to the middle because its capital need is the smallest ($1.6M a year).</w:t>
      </w:r>
    </w:p>
    <w:p>
      <w:pPr>
        <w:numPr>
          <w:ilvl w:val="0"/>
          <w:numId w:val="1007"/>
        </w:numPr>
        <w:pStyle w:val="Compact"/>
      </w:pPr>
      <w:r>
        <w:rPr>
          <w:bCs/>
          <w:b/>
        </w:rPr>
        <w:t xml:space="preserve">Closure savings could be much larger, but only if the building leaves the district's books.</w:t>
      </w:r>
      <w:r>
        <w:t xml:space="preserve"> </w:t>
      </w:r>
      <w:r>
        <w:t xml:space="preserve">The handout's $0.2–0.7M a year per closure counts operating costs only. A closed building that is sold, leased long-term or demolished also avoids its capital needs: $1.6–3.4M a year for the K–5 schools, and $6–15M over the next five years. A building that is only mothballed still needs a roof, envelope, heat and life-safety upkeep, so most of that need stays.</w:t>
      </w:r>
    </w:p>
    <w:p>
      <w:pPr>
        <w:numPr>
          <w:ilvl w:val="0"/>
          <w:numId w:val="1007"/>
        </w:numPr>
        <w:pStyle w:val="Compact"/>
      </w:pPr>
      <w:r>
        <w:rPr>
          <w:bCs/>
          <w:b/>
        </w:rPr>
        <w:t xml:space="preserve">Receiving schools' capital needs don't shrink.</w:t>
      </w:r>
      <w:r>
        <w:t xml:space="preserve"> </w:t>
      </w:r>
      <w:r>
        <w:t xml:space="preserve">The facility plan's needs are driven by building condition, not enrollment. Moving students into a building lowers its cost per student but not the dollars.</w:t>
      </w:r>
    </w:p>
    <w:p>
      <w:pPr>
        <w:numPr>
          <w:ilvl w:val="0"/>
          <w:numId w:val="1007"/>
        </w:numPr>
        <w:pStyle w:val="Compact"/>
      </w:pPr>
      <w:r>
        <w:rPr>
          <w:bCs/>
          <w:b/>
        </w:rPr>
        <w:t xml:space="preserve">Treat these as planning estimates.</w:t>
      </w:r>
    </w:p>
    <w:p>
      <w:pPr>
        <w:numPr>
          <w:ilvl w:val="1"/>
          <w:numId w:val="1009"/>
        </w:numPr>
        <w:pStyle w:val="Compact"/>
      </w:pPr>
      <w:r>
        <w:t xml:space="preserve">The plan's figures are escalated at 4.5% a year and include a district-wide spike in 2034 ($131.7M, when many systems come due at once), so the 10-year average runs higher than the 5-year one for most buildings.</w:t>
      </w:r>
    </w:p>
    <w:p>
      <w:pPr>
        <w:numPr>
          <w:ilvl w:val="1"/>
          <w:numId w:val="1009"/>
        </w:numPr>
        <w:pStyle w:val="Compact"/>
      </w:pPr>
      <w:r>
        <w:t xml:space="preserve">The plan is a draft, and it doesn't separate must-do safety items from discretionary upgrades.</w:t>
      </w:r>
    </w:p>
    <w:p>
      <w:r>
        <w:pict>
          <v:rect style="width:0;height:1.5pt" o:hralign="center" o:hrstd="t" o:hr="t"/>
        </w:pict>
      </w:r>
    </w:p>
    <w:bookmarkEnd w:id="34"/>
    <w:bookmarkEnd w:id="35"/>
    <w:bookmarkStart w:id="41" w:name="X63d74e19900b3a6f6df7be11f015ea56a1e2ca9"/>
    <w:p>
      <w:pPr>
        <w:pStyle w:val="Heading2"/>
      </w:pPr>
      <w:r>
        <w:t xml:space="preserve">02 · Closure scenarios: what closures would do to the receiving schools</w:t>
      </w:r>
    </w:p>
    <w:p>
      <w:pPr>
        <w:pStyle w:val="FirstParagraph"/>
      </w:pPr>
      <w:r>
        <w:t xml:space="preserve">Each closed school's projected 2027–28 students go to its receiving schools, with 90% staying in D65. Pairs close one south school (Dewey, Washington, Oakton or</w:t>
      </w:r>
      <w:r>
        <w:t xml:space="preserve"> </w:t>
      </w:r>
      <w:r>
        <w:rPr>
          <w:bCs/>
          <w:b/>
        </w:rPr>
        <w:t xml:space="preserve">Dawes</w:t>
      </w:r>
      <w:r>
        <w:t xml:space="preserve">) and one north school (Willard, Lincolnwood or Orrington). "Kept together" sends a school to one building; "split" divides it by open seats.</w:t>
      </w:r>
    </w:p>
    <w:p>
      <w:pPr>
        <w:pStyle w:val="BodyText"/>
      </w:pPr>
      <w:r>
        <w:drawing>
          <wp:inline>
            <wp:extent cx="6035040" cy="4949545"/>
            <wp:effectExtent b="0" l="0" r="0" t="0"/>
            <wp:docPr descr="Projected 2027–28 K–5 utilization after each closure scenario, at 90% retention" title="" id="37" name="Picture"/>
            <a:graphic>
              <a:graphicData uri="http://schemas.openxmlformats.org/drawingml/2006/picture">
                <pic:pic>
                  <pic:nvPicPr>
                    <pic:cNvPr descr="images/budget_handout/closure_utilization_grid.png" id="38" name="Picture"/>
                    <pic:cNvPicPr>
                      <a:picLocks noChangeArrowheads="1" noChangeAspect="1"/>
                    </pic:cNvPicPr>
                  </pic:nvPicPr>
                  <pic:blipFill>
                    <a:blip r:embed="rId36"/>
                    <a:stretch>
                      <a:fillRect/>
                    </a:stretch>
                  </pic:blipFill>
                  <pic:spPr bwMode="auto">
                    <a:xfrm>
                      <a:off x="0" y="0"/>
                      <a:ext cx="6035040" cy="4949545"/>
                    </a:xfrm>
                    <a:prstGeom prst="rect">
                      <a:avLst/>
                    </a:prstGeom>
                    <a:noFill/>
                    <a:ln w="9525">
                      <a:noFill/>
                      <a:headEnd/>
                      <a:tailEnd/>
                    </a:ln>
                  </pic:spPr>
                </pic:pic>
              </a:graphicData>
            </a:graphic>
          </wp:inline>
        </w:drawing>
      </w:r>
    </w:p>
    <w:bookmarkStart w:id="39" w:name="one-closure"/>
    <w:p>
      <w:pPr>
        <w:pStyle w:val="Heading3"/>
      </w:pPr>
      <w:r>
        <w:t xml:space="preserve">One closure</w:t>
      </w:r>
    </w:p>
    <w:p>
      <w:pPr>
        <w:numPr>
          <w:ilvl w:val="0"/>
          <w:numId w:val="1010"/>
        </w:numPr>
        <w:pStyle w:val="Compact"/>
      </w:pPr>
      <w:r>
        <w:rPr>
          <w:bCs/>
          <w:b/>
        </w:rPr>
        <w:t xml:space="preserve">Dewey</w:t>
      </w:r>
      <w:r>
        <w:t xml:space="preserve">, split three ways, leaves every receiver at 74–78%, but its TWI strand needs a new home.</w:t>
      </w:r>
    </w:p>
    <w:p>
      <w:pPr>
        <w:numPr>
          <w:ilvl w:val="0"/>
          <w:numId w:val="1010"/>
        </w:numPr>
        <w:pStyle w:val="Compact"/>
      </w:pPr>
      <w:r>
        <w:rPr>
          <w:bCs/>
          <w:b/>
        </w:rPr>
        <w:t xml:space="preserve">Orrington</w:t>
      </w:r>
      <w:r>
        <w:t xml:space="preserve">, kept together, fills Willard to 90% and all 24 of its classrooms.</w:t>
      </w:r>
    </w:p>
    <w:p>
      <w:pPr>
        <w:numPr>
          <w:ilvl w:val="0"/>
          <w:numId w:val="1010"/>
        </w:numPr>
        <w:pStyle w:val="Compact"/>
      </w:pPr>
      <w:r>
        <w:rPr>
          <w:bCs/>
          <w:b/>
        </w:rPr>
        <w:t xml:space="preserve">Lincolnwood</w:t>
      </w:r>
      <w:r>
        <w:t xml:space="preserve"> </w:t>
      </w:r>
      <w:r>
        <w:t xml:space="preserve">kept together doesn't fit:</w:t>
      </w:r>
    </w:p>
    <w:p>
      <w:pPr>
        <w:numPr>
          <w:ilvl w:val="1"/>
          <w:numId w:val="1011"/>
        </w:numPr>
        <w:pStyle w:val="Compact"/>
      </w:pPr>
      <w:r>
        <w:t xml:space="preserve">Sent whole to Orrington, it would reach 117%, with 23 classes for 19 classrooms.</w:t>
      </w:r>
    </w:p>
    <w:p>
      <w:pPr>
        <w:numPr>
          <w:ilvl w:val="1"/>
          <w:numId w:val="1011"/>
        </w:numPr>
        <w:pStyle w:val="Compact"/>
      </w:pPr>
      <w:r>
        <w:t xml:space="preserve">Sent whole to Willard instead, it lands right at the limit (101%, 25 classes for 24 classrooms).</w:t>
      </w:r>
    </w:p>
    <w:p>
      <w:pPr>
        <w:numPr>
          <w:ilvl w:val="1"/>
          <w:numId w:val="1011"/>
        </w:numPr>
        <w:pStyle w:val="Compact"/>
      </w:pPr>
      <w:r>
        <w:t xml:space="preserve">Split between Orrington and Willard, it fits (81% and 79%), but every grade is divided between two schools.</w:t>
      </w:r>
    </w:p>
    <w:p>
      <w:pPr>
        <w:numPr>
          <w:ilvl w:val="1"/>
          <w:numId w:val="1011"/>
        </w:numPr>
        <w:pStyle w:val="Compact"/>
      </w:pPr>
      <w:r>
        <w:t xml:space="preserve">STEP moves either way.</w:t>
      </w:r>
    </w:p>
    <w:p>
      <w:pPr>
        <w:numPr>
          <w:ilvl w:val="0"/>
          <w:numId w:val="1010"/>
        </w:numPr>
        <w:pStyle w:val="Compact"/>
      </w:pPr>
      <w:r>
        <w:rPr>
          <w:bCs/>
          <w:b/>
        </w:rPr>
        <w:t xml:space="preserve">Oakton</w:t>
      </w:r>
      <w:r>
        <w:t xml:space="preserve">, the fullest building today, splits three ways into Dawes, Washington and Dewey at 84–88%. Washington would use all 24 classrooms, and Oakton's TWI strand and ACC program both need new hosts.</w:t>
      </w:r>
    </w:p>
    <w:p>
      <w:pPr>
        <w:numPr>
          <w:ilvl w:val="0"/>
          <w:numId w:val="1010"/>
        </w:numPr>
        <w:pStyle w:val="Compact"/>
      </w:pPr>
      <w:r>
        <w:rPr>
          <w:bCs/>
          <w:b/>
        </w:rPr>
        <w:t xml:space="preserve">Added: Dawes</w:t>
      </w:r>
      <w:r>
        <w:t xml:space="preserve"> </w:t>
      </w:r>
      <w:r>
        <w:t xml:space="preserve">splits three ways into Oakton, Washington and Dewey. Every receiver stays under capacity (Dewey 80%, Washington 85%, Oakton 90%), with classrooms to spare: 20 of 24 at Dewey, 21 of 25 at Oakton, 22 of 24 at Washington.</w:t>
      </w:r>
    </w:p>
    <w:p>
      <w:pPr>
        <w:numPr>
          <w:ilvl w:val="1"/>
          <w:numId w:val="1012"/>
        </w:numPr>
        <w:pStyle w:val="Compact"/>
      </w:pPr>
      <w:r>
        <w:t xml:space="preserve">It displaces 280 students, the fewest of any south closure, and 14–42 would leave D65.</w:t>
      </w:r>
    </w:p>
    <w:p>
      <w:pPr>
        <w:numPr>
          <w:ilvl w:val="1"/>
          <w:numId w:val="1012"/>
        </w:numPr>
        <w:pStyle w:val="Compact"/>
      </w:pPr>
      <w:r>
        <w:t xml:space="preserve">Dawes's TWI strand has to move. Washington already has two strands, so it would go to Dewey or Oakton.</w:t>
      </w:r>
    </w:p>
    <w:p>
      <w:pPr>
        <w:numPr>
          <w:ilvl w:val="1"/>
          <w:numId w:val="1012"/>
        </w:numPr>
        <w:pStyle w:val="Compact"/>
      </w:pPr>
      <w:r>
        <w:t xml:space="preserve">Receivers are assumed from geography.</w:t>
      </w:r>
    </w:p>
    <w:bookmarkEnd w:id="39"/>
    <w:bookmarkStart w:id="40" w:name="two-closures"/>
    <w:p>
      <w:pPr>
        <w:pStyle w:val="Heading3"/>
      </w:pPr>
      <w:r>
        <w:t xml:space="preserve">Two closures</w:t>
      </w:r>
    </w:p>
    <w:p>
      <w:pPr>
        <w:numPr>
          <w:ilvl w:val="0"/>
          <w:numId w:val="1013"/>
        </w:numPr>
        <w:pStyle w:val="Compact"/>
      </w:pPr>
      <w:r>
        <w:rPr>
          <w:bCs/>
          <w:b/>
        </w:rPr>
        <w:t xml:space="preserve">Six pairs keep every receiver under capacity:</w:t>
      </w:r>
      <w:r>
        <w:t xml:space="preserve"> </w:t>
      </w:r>
      <w:r>
        <w:t xml:space="preserve">Washington, Oakton or</w:t>
      </w:r>
      <w:r>
        <w:t xml:space="preserve"> </w:t>
      </w:r>
      <w:r>
        <w:rPr>
          <w:bCs/>
          <w:b/>
        </w:rPr>
        <w:t xml:space="preserve">Dawes</w:t>
      </w:r>
      <w:r>
        <w:t xml:space="preserve">, paired with Willard or Orrington. Even these reach 90–94% somewhere, and each moves at least one TWI strand.</w:t>
      </w:r>
    </w:p>
    <w:p>
      <w:pPr>
        <w:numPr>
          <w:ilvl w:val="0"/>
          <w:numId w:val="1013"/>
        </w:numPr>
        <w:pStyle w:val="Compact"/>
      </w:pPr>
      <w:r>
        <w:rPr>
          <w:bCs/>
          <w:b/>
        </w:rPr>
        <w:t xml:space="preserve">Dawes + Orrington</w:t>
      </w:r>
      <w:r>
        <w:t xml:space="preserve"> </w:t>
      </w:r>
      <w:r>
        <w:t xml:space="preserve">and</w:t>
      </w:r>
      <w:r>
        <w:t xml:space="preserve"> </w:t>
      </w:r>
      <w:r>
        <w:rPr>
          <w:bCs/>
          <w:b/>
        </w:rPr>
        <w:t xml:space="preserve">Dawes + Willard</w:t>
      </w:r>
      <w:r>
        <w:t xml:space="preserve"> </w:t>
      </w:r>
      <w:r>
        <w:t xml:space="preserve">displace the fewest students (26–82 would leave D65). Their fullest receiver is Oakton at 90% or Lincolnwood at 92%.</w:t>
      </w:r>
    </w:p>
    <w:p>
      <w:pPr>
        <w:numPr>
          <w:ilvl w:val="0"/>
          <w:numId w:val="1013"/>
        </w:numPr>
        <w:pStyle w:val="Compact"/>
      </w:pPr>
      <w:r>
        <w:rPr>
          <w:bCs/>
          <w:b/>
        </w:rPr>
        <w:t xml:space="preserve">Dawes + Lincolnwood</w:t>
      </w:r>
      <w:r>
        <w:t xml:space="preserve"> </w:t>
      </w:r>
      <w:r>
        <w:t xml:space="preserve">overfills Orrington (117%), like every pair that sends Lincolnwood there.</w:t>
      </w:r>
    </w:p>
    <w:p>
      <w:pPr>
        <w:numPr>
          <w:ilvl w:val="0"/>
          <w:numId w:val="1013"/>
        </w:numPr>
        <w:pStyle w:val="Compact"/>
      </w:pPr>
      <w:r>
        <w:rPr>
          <w:bCs/>
          <w:b/>
        </w:rPr>
        <w:t xml:space="preserve">Every pair with Dewey or Lincolnwood overfills Orrington or Willard,</w:t>
      </w:r>
      <w:r>
        <w:t xml:space="preserve"> </w:t>
      </w:r>
      <w:r>
        <w:t xml:space="preserve">up to 136%.</w:t>
      </w:r>
    </w:p>
    <w:p>
      <w:pPr>
        <w:numPr>
          <w:ilvl w:val="0"/>
          <w:numId w:val="1013"/>
        </w:numPr>
        <w:pStyle w:val="Compact"/>
      </w:pPr>
      <w:r>
        <w:rPr>
          <w:bCs/>
          <w:b/>
        </w:rPr>
        <w:t xml:space="preserve">Programs make relocation costly:</w:t>
      </w:r>
      <w:r>
        <w:t xml:space="preserve"> </w:t>
      </w:r>
      <w:r>
        <w:t xml:space="preserve">TWI at Dewey, Washington, Oakton and Dawes, ACC at Oakton and STEP at Lincolnwood.</w:t>
      </w:r>
    </w:p>
    <w:p>
      <w:pPr>
        <w:numPr>
          <w:ilvl w:val="0"/>
          <w:numId w:val="1013"/>
        </w:numPr>
        <w:pStyle w:val="Compact"/>
      </w:pPr>
      <w:r>
        <w:rPr>
          <w:bCs/>
          <w:b/>
        </w:rPr>
        <w:t xml:space="preserve">Each pair could lose 26–101 students from the district.</w:t>
      </w:r>
    </w:p>
    <w:p>
      <w:pPr>
        <w:pStyle w:val="FirstParagraph"/>
      </w:pPr>
      <w:r>
        <w:rPr>
          <w:bCs/>
          <w:b/>
        </w:rPr>
        <w:t xml:space="preserve">Method and sources:</w:t>
      </w:r>
    </w:p>
    <w:p>
      <w:pPr>
        <w:numPr>
          <w:ilvl w:val="0"/>
          <w:numId w:val="1014"/>
        </w:numPr>
        <w:pStyle w:val="Compact"/>
      </w:pPr>
      <w:r>
        <w:t xml:space="preserve">Projection: grades roll forward one year; incoming K = this year's K.</w:t>
      </w:r>
    </w:p>
    <w:p>
      <w:pPr>
        <w:numPr>
          <w:ilvl w:val="0"/>
          <w:numId w:val="1014"/>
        </w:numPr>
        <w:pStyle w:val="Compact"/>
      </w:pPr>
      <w:r>
        <w:t xml:space="preserve">Capacity: the smaller of the district's Cap Total and Cordogan Clark.</w:t>
      </w:r>
    </w:p>
    <w:p>
      <w:pPr>
        <w:numPr>
          <w:ilvl w:val="0"/>
          <w:numId w:val="1014"/>
        </w:numPr>
        <w:pStyle w:val="Compact"/>
      </w:pPr>
      <w:r>
        <w:t xml:space="preserve">Receiving schools: Washington's follow the district's SDRP 3D table. Willard's, Oakton's and Dawes's are assumed from geography.</w:t>
      </w:r>
    </w:p>
    <w:p>
      <w:pPr>
        <w:numPr>
          <w:ilvl w:val="0"/>
          <w:numId w:val="1014"/>
        </w:numPr>
        <w:pStyle w:val="Compact"/>
      </w:pPr>
      <w:r>
        <w:t xml:space="preserve">Full tables at 85%, 90% and 95% retention are in</w:t>
      </w:r>
      <w:r>
        <w:t xml:space="preserve"> </w:t>
      </w:r>
      <w:r>
        <w:rPr>
          <w:rStyle w:val="VerbatimChar"/>
        </w:rPr>
        <w:t xml:space="preserve">projections/closure_scenarios.md</w:t>
      </w:r>
      <w:r>
        <w:t xml:space="preserve">.</w:t>
      </w:r>
    </w:p>
    <w:p>
      <w:pPr>
        <w:pStyle w:val="FirstParagraph"/>
      </w:pPr>
      <w:r>
        <w:t xml:space="preserve">Estimates built with help from Claude (AI); please verify.</w:t>
      </w:r>
    </w:p>
    <w:p>
      <w:r>
        <w:pict>
          <v:rect style="width:0;height:1.5pt" o:hralign="center" o:hrstd="t" o:hr="t"/>
        </w:pict>
      </w:r>
    </w:p>
    <w:bookmarkEnd w:id="40"/>
    <w:bookmarkEnd w:id="41"/>
    <w:bookmarkStart w:id="45" w:name="Xdf073278982d9f6d9cf5a01c7255476b40f6235"/>
    <w:p>
      <w:pPr>
        <w:pStyle w:val="Heading2"/>
      </w:pPr>
      <w:r>
        <w:t xml:space="preserve">03 · State funding model (EBF): how K–5 staffing compares with Evidence-Based Funding</w:t>
      </w:r>
    </w:p>
    <w:p>
      <w:pPr>
        <w:pStyle w:val="FirstParagraph"/>
      </w:pPr>
      <w:r>
        <w:t xml:space="preserve">Illinois's Evidence-Based Funding formula sets out how many staff the State pays for. On paper, D65 has about 252 more K–5 staff than EBF funds, worth $15.9M a year. Special education explains all of that difference.</w:t>
      </w:r>
    </w:p>
    <w:p>
      <w:pPr>
        <w:pStyle w:val="BodyText"/>
      </w:pPr>
      <w:r>
        <w:drawing>
          <wp:inline>
            <wp:extent cx="6035040" cy="3621024"/>
            <wp:effectExtent b="0" l="0" r="0" t="0"/>
            <wp:docPr descr="Yearly cost above or below what EBF funds, by staff group" title="" id="43" name="Picture"/>
            <a:graphic>
              <a:graphicData uri="http://schemas.openxmlformats.org/drawingml/2006/picture">
                <pic:pic>
                  <pic:nvPicPr>
                    <pic:cNvPr descr="images/budget_handout/staffing_vs_ebf_by_group.png" id="44" name="Picture"/>
                    <pic:cNvPicPr>
                      <a:picLocks noChangeArrowheads="1" noChangeAspect="1"/>
                    </pic:cNvPicPr>
                  </pic:nvPicPr>
                  <pic:blipFill>
                    <a:blip r:embed="rId42"/>
                    <a:stretch>
                      <a:fillRect/>
                    </a:stretch>
                  </pic:blipFill>
                  <pic:spPr bwMode="auto">
                    <a:xfrm>
                      <a:off x="0" y="0"/>
                      <a:ext cx="6035040" cy="3621024"/>
                    </a:xfrm>
                    <a:prstGeom prst="rect">
                      <a:avLst/>
                    </a:prstGeom>
                    <a:noFill/>
                    <a:ln w="9525">
                      <a:noFill/>
                      <a:headEnd/>
                      <a:tailEnd/>
                    </a:ln>
                  </pic:spPr>
                </pic:pic>
              </a:graphicData>
            </a:graphic>
          </wp:inline>
        </w:drawing>
      </w:r>
    </w:p>
    <w:p>
      <w:pPr>
        <w:numPr>
          <w:ilvl w:val="0"/>
          <w:numId w:val="1015"/>
        </w:numPr>
        <w:pStyle w:val="Compact"/>
      </w:pPr>
      <w:r>
        <w:rPr>
          <w:bCs/>
          <w:b/>
        </w:rPr>
        <w:t xml:space="preserve">+$18.6M, special ed:</w:t>
      </w:r>
      <w:r>
        <w:t xml:space="preserve"> </w:t>
      </w:r>
      <w:r>
        <w:t xml:space="preserve">special-ed teachers, therapists and paras above EBF's ratio of 1 teacher and 1 aide per 141 students. Staffing follows IEPs and federal law, so this can't simply be cut to match.</w:t>
      </w:r>
    </w:p>
    <w:p>
      <w:pPr>
        <w:numPr>
          <w:ilvl w:val="0"/>
          <w:numId w:val="1015"/>
        </w:numPr>
        <w:pStyle w:val="Compact"/>
      </w:pPr>
      <w:r>
        <w:rPr>
          <w:bCs/>
          <w:b/>
        </w:rPr>
        <w:t xml:space="preserve">+$6.2M, other groups above EBF:</w:t>
      </w:r>
    </w:p>
    <w:p>
      <w:pPr>
        <w:numPr>
          <w:ilvl w:val="1"/>
          <w:numId w:val="1016"/>
        </w:numPr>
        <w:pStyle w:val="Compact"/>
      </w:pPr>
      <w:r>
        <w:t xml:space="preserve">Social workers and psychologists: $2.2M</w:t>
      </w:r>
    </w:p>
    <w:p>
      <w:pPr>
        <w:numPr>
          <w:ilvl w:val="1"/>
          <w:numId w:val="1016"/>
        </w:numPr>
        <w:pStyle w:val="Compact"/>
      </w:pPr>
      <w:r>
        <w:t xml:space="preserve">ESL teachers: $1.8M</w:t>
      </w:r>
    </w:p>
    <w:p>
      <w:pPr>
        <w:numPr>
          <w:ilvl w:val="1"/>
          <w:numId w:val="1016"/>
        </w:numPr>
        <w:pStyle w:val="Compact"/>
      </w:pPr>
      <w:r>
        <w:t xml:space="preserve">Specialists: $1.4M</w:t>
      </w:r>
    </w:p>
    <w:p>
      <w:pPr>
        <w:numPr>
          <w:ilvl w:val="1"/>
          <w:numId w:val="1016"/>
        </w:numPr>
        <w:pStyle w:val="Compact"/>
      </w:pPr>
      <w:r>
        <w:t xml:space="preserve">Nurses: $0.5M</w:t>
      </w:r>
    </w:p>
    <w:p>
      <w:pPr>
        <w:numPr>
          <w:ilvl w:val="0"/>
          <w:numId w:val="1015"/>
        </w:numPr>
        <w:pStyle w:val="Compact"/>
      </w:pPr>
      <w:r>
        <w:rPr>
          <w:bCs/>
          <w:b/>
        </w:rPr>
        <w:t xml:space="preserve">−$8.9M, where we're below EBF:</w:t>
      </w:r>
      <w:r>
        <w:t xml:space="preserve"> </w:t>
      </w:r>
      <w:r>
        <w:t xml:space="preserve">classroom teachers, instructional coaches (6 vs. 18), interventionists and counselors.</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gridCol/>
        <w:gridCol/>
      </w:tblGrid>
      <w:tr>
        <w:trPr>
          <w:tblHeader w:val="true"/>
        </w:trPr>
        <w:tc>
          <w:tcPr>
            <w:shd w:val="clear" w:fill="E8ECF3"/>
          </w:tcPr>
          <w:p>
            <w:pPr>
              <w:pStyle w:val="Compact"/>
              <w:jc w:val="left"/>
            </w:pPr>
            <w:r>
              <w:rPr>
                <w:rFonts w:ascii="Arial" w:hAnsi="Arial"/>
                <w:b/>
                <w:sz w:val="18"/>
              </w:rPr>
              <w:t xml:space="preserve">K–5 staffing</w:t>
            </w:r>
          </w:p>
        </w:tc>
        <w:tc>
          <w:tcPr>
            <w:shd w:val="clear" w:fill="E8ECF3"/>
          </w:tcPr>
          <w:p>
            <w:pPr>
              <w:pStyle w:val="Compact"/>
              <w:jc w:val="right"/>
            </w:pPr>
            <w:r>
              <w:rPr>
                <w:rFonts w:ascii="Arial" w:hAnsi="Arial"/>
                <w:b/>
                <w:sz w:val="18"/>
              </w:rPr>
              <w:t xml:space="preserve">1 school</w:t>
            </w:r>
          </w:p>
        </w:tc>
        <w:tc>
          <w:tcPr>
            <w:shd w:val="clear" w:fill="E8ECF3"/>
          </w:tcPr>
          <w:p>
            <w:pPr>
              <w:pStyle w:val="Compact"/>
              <w:jc w:val="right"/>
            </w:pPr>
            <w:r>
              <w:rPr>
                <w:rFonts w:ascii="Arial" w:hAnsi="Arial"/>
                <w:b/>
                <w:sz w:val="18"/>
              </w:rPr>
              <w:t xml:space="preserve">9 schools</w:t>
            </w:r>
          </w:p>
        </w:tc>
        <w:tc>
          <w:tcPr>
            <w:shd w:val="clear" w:fill="E8ECF3"/>
          </w:tcPr>
          <w:p>
            <w:pPr>
              <w:pStyle w:val="Compact"/>
              <w:jc w:val="right"/>
            </w:pPr>
            <w:r>
              <w:rPr>
                <w:rFonts w:ascii="Arial" w:hAnsi="Arial"/>
                <w:b/>
                <w:sz w:val="18"/>
              </w:rPr>
              <w:t xml:space="preserve">10 schools</w:t>
            </w:r>
          </w:p>
        </w:tc>
        <w:tc>
          <w:tcPr>
            <w:shd w:val="clear" w:fill="E8ECF3"/>
          </w:tcPr>
          <w:p>
            <w:pPr>
              <w:pStyle w:val="Compact"/>
              <w:jc w:val="right"/>
            </w:pPr>
            <w:r>
              <w:rPr>
                <w:rFonts w:ascii="Arial" w:hAnsi="Arial"/>
                <w:b/>
                <w:sz w:val="18"/>
              </w:rPr>
              <w:t xml:space="preserve">11 (today)</w:t>
            </w:r>
          </w:p>
        </w:tc>
      </w:tr>
      <w:tr>
        <w:tc>
          <w:tcPr/>
          <w:p>
            <w:pPr>
              <w:pStyle w:val="Compact"/>
              <w:jc w:val="left"/>
            </w:pPr>
            <w:r>
              <w:rPr>
                <w:rFonts w:ascii="Arial" w:hAnsi="Arial"/>
                <w:sz w:val="18"/>
              </w:rPr>
              <w:t xml:space="preserve">Staff EBF funds</w:t>
            </w:r>
          </w:p>
        </w:tc>
        <w:tc>
          <w:tcPr/>
          <w:p>
            <w:pPr>
              <w:pStyle w:val="Compact"/>
              <w:jc w:val="right"/>
            </w:pPr>
            <w:r>
              <w:rPr>
                <w:rFonts w:ascii="Arial" w:hAnsi="Arial"/>
                <w:sz w:val="18"/>
              </w:rPr>
              <w:t xml:space="preserve">419</w:t>
            </w:r>
          </w:p>
        </w:tc>
        <w:tc>
          <w:tcPr/>
          <w:p>
            <w:pPr>
              <w:pStyle w:val="Compact"/>
              <w:jc w:val="right"/>
            </w:pPr>
            <w:r>
              <w:rPr>
                <w:rFonts w:ascii="Arial" w:hAnsi="Arial"/>
                <w:sz w:val="18"/>
              </w:rPr>
              <w:t xml:space="preserve">452</w:t>
            </w:r>
          </w:p>
        </w:tc>
        <w:tc>
          <w:tcPr/>
          <w:p>
            <w:pPr>
              <w:pStyle w:val="Compact"/>
              <w:jc w:val="right"/>
            </w:pPr>
            <w:r>
              <w:rPr>
                <w:rFonts w:ascii="Arial" w:hAnsi="Arial"/>
                <w:sz w:val="18"/>
              </w:rPr>
              <w:t xml:space="preserve">467</w:t>
            </w:r>
          </w:p>
        </w:tc>
        <w:tc>
          <w:tcPr/>
          <w:p>
            <w:pPr>
              <w:pStyle w:val="Compact"/>
              <w:jc w:val="right"/>
            </w:pPr>
            <w:r>
              <w:rPr>
                <w:rFonts w:ascii="Arial" w:hAnsi="Arial"/>
                <w:sz w:val="18"/>
              </w:rPr>
              <w:t xml:space="preserve">492</w:t>
            </w:r>
          </w:p>
        </w:tc>
      </w:tr>
      <w:tr>
        <w:tc>
          <w:tcPr/>
          <w:p>
            <w:pPr>
              <w:pStyle w:val="Compact"/>
              <w:jc w:val="left"/>
            </w:pPr>
            <w:r>
              <w:rPr>
                <w:rFonts w:ascii="Arial" w:hAnsi="Arial"/>
                <w:sz w:val="18"/>
              </w:rPr>
              <w:t xml:space="preserve">Staff we have (est.)</w:t>
            </w:r>
          </w:p>
        </w:tc>
        <w:tc>
          <w:tcPr/>
          <w:p>
            <w:pPr>
              <w:pStyle w:val="Compact"/>
              <w:jc w:val="right"/>
            </w:pPr>
            <w:r>
              <w:rPr>
                <w:rFonts w:ascii="Arial" w:hAnsi="Arial"/>
                <w:sz w:val="18"/>
              </w:rPr>
              <w:t xml:space="preserve">745</w:t>
            </w:r>
          </w:p>
        </w:tc>
        <w:tc>
          <w:tcPr/>
          <w:p>
            <w:pPr>
              <w:pStyle w:val="Compact"/>
              <w:jc w:val="right"/>
            </w:pPr>
            <w:r>
              <w:rPr>
                <w:rFonts w:ascii="Arial" w:hAnsi="Arial"/>
                <w:sz w:val="18"/>
              </w:rPr>
              <w:t xml:space="preserve">745</w:t>
            </w:r>
          </w:p>
        </w:tc>
        <w:tc>
          <w:tcPr/>
          <w:p>
            <w:pPr>
              <w:pStyle w:val="Compact"/>
              <w:jc w:val="right"/>
            </w:pPr>
            <w:r>
              <w:rPr>
                <w:rFonts w:ascii="Arial" w:hAnsi="Arial"/>
                <w:sz w:val="18"/>
              </w:rPr>
              <w:t xml:space="preserve">745</w:t>
            </w:r>
          </w:p>
        </w:tc>
        <w:tc>
          <w:tcPr/>
          <w:p>
            <w:pPr>
              <w:pStyle w:val="Compact"/>
              <w:jc w:val="right"/>
            </w:pPr>
            <w:r>
              <w:rPr>
                <w:rFonts w:ascii="Arial" w:hAnsi="Arial"/>
                <w:sz w:val="18"/>
              </w:rPr>
              <w:t xml:space="preserve">745</w:t>
            </w:r>
          </w:p>
        </w:tc>
      </w:tr>
      <w:tr>
        <w:tc>
          <w:tcPr/>
          <w:p>
            <w:pPr>
              <w:pStyle w:val="Compact"/>
              <w:jc w:val="left"/>
            </w:pPr>
            <w:r>
              <w:rPr>
                <w:rFonts w:ascii="Arial" w:hAnsi="Arial"/>
                <w:sz w:val="18"/>
              </w:rPr>
              <w:t xml:space="preserve">Yearly cost above EBF</w:t>
            </w:r>
          </w:p>
        </w:tc>
        <w:tc>
          <w:tcPr/>
          <w:p>
            <w:pPr>
              <w:pStyle w:val="Compact"/>
              <w:jc w:val="right"/>
            </w:pPr>
            <w:r>
              <w:rPr>
                <w:rFonts w:ascii="Arial" w:hAnsi="Arial"/>
                <w:sz w:val="18"/>
              </w:rPr>
              <w:t xml:space="preserve">$24.4M</w:t>
            </w:r>
          </w:p>
        </w:tc>
        <w:tc>
          <w:tcPr/>
          <w:p>
            <w:pPr>
              <w:pStyle w:val="Compact"/>
              <w:jc w:val="right"/>
            </w:pPr>
            <w:r>
              <w:rPr>
                <w:rFonts w:ascii="Arial" w:hAnsi="Arial"/>
                <w:sz w:val="18"/>
              </w:rPr>
              <w:t xml:space="preserve">$20.6M</w:t>
            </w:r>
          </w:p>
        </w:tc>
        <w:tc>
          <w:tcPr/>
          <w:p>
            <w:pPr>
              <w:pStyle w:val="Compact"/>
              <w:jc w:val="right"/>
            </w:pPr>
            <w:r>
              <w:rPr>
                <w:rFonts w:ascii="Arial" w:hAnsi="Arial"/>
                <w:sz w:val="18"/>
              </w:rPr>
              <w:t xml:space="preserve">$18.8M</w:t>
            </w:r>
          </w:p>
        </w:tc>
        <w:tc>
          <w:tcPr/>
          <w:p>
            <w:pPr>
              <w:pStyle w:val="Compact"/>
              <w:jc w:val="right"/>
            </w:pPr>
            <w:r>
              <w:rPr>
                <w:rFonts w:ascii="Arial" w:hAnsi="Arial"/>
                <w:sz w:val="18"/>
              </w:rPr>
              <w:t xml:space="preserve">$15.9M</w:t>
            </w:r>
          </w:p>
        </w:tc>
      </w:tr>
      <w:tr>
        <w:tc>
          <w:tcPr/>
          <w:p>
            <w:pPr>
              <w:pStyle w:val="Compact"/>
              <w:jc w:val="left"/>
            </w:pPr>
            <w:r>
              <w:rPr>
                <w:rFonts w:ascii="Arial" w:hAnsi="Arial"/>
                <w:sz w:val="18"/>
              </w:rPr>
              <w:t xml:space="preserve">Special ed and paras</w:t>
            </w:r>
          </w:p>
        </w:tc>
        <w:tc>
          <w:tcPr/>
          <w:p>
            <w:pPr>
              <w:pStyle w:val="Compact"/>
              <w:jc w:val="right"/>
            </w:pPr>
            <w:r>
              <w:rPr>
                <w:rFonts w:ascii="Arial" w:hAnsi="Arial"/>
                <w:sz w:val="18"/>
              </w:rPr>
              <w:t xml:space="preserve">$18.6M</w:t>
            </w:r>
          </w:p>
        </w:tc>
        <w:tc>
          <w:tcPr/>
          <w:p>
            <w:pPr>
              <w:pStyle w:val="Compact"/>
              <w:jc w:val="right"/>
            </w:pPr>
            <w:r>
              <w:rPr>
                <w:rFonts w:ascii="Arial" w:hAnsi="Arial"/>
                <w:sz w:val="18"/>
              </w:rPr>
              <w:t xml:space="preserve">$18.6M</w:t>
            </w:r>
          </w:p>
        </w:tc>
        <w:tc>
          <w:tcPr/>
          <w:p>
            <w:pPr>
              <w:pStyle w:val="Compact"/>
              <w:jc w:val="right"/>
            </w:pPr>
            <w:r>
              <w:rPr>
                <w:rFonts w:ascii="Arial" w:hAnsi="Arial"/>
                <w:sz w:val="18"/>
              </w:rPr>
              <w:t xml:space="preserve">$18.6M</w:t>
            </w:r>
          </w:p>
        </w:tc>
        <w:tc>
          <w:tcPr/>
          <w:p>
            <w:pPr>
              <w:pStyle w:val="Compact"/>
              <w:jc w:val="right"/>
            </w:pPr>
            <w:r>
              <w:rPr>
                <w:rFonts w:ascii="Arial" w:hAnsi="Arial"/>
                <w:sz w:val="18"/>
              </w:rPr>
              <w:t xml:space="preserve">$18.6M</w:t>
            </w:r>
          </w:p>
        </w:tc>
      </w:tr>
      <w:tr>
        <w:tc>
          <w:tcPr/>
          <w:p>
            <w:pPr>
              <w:pStyle w:val="Compact"/>
              <w:jc w:val="left"/>
            </w:pPr>
            <w:r>
              <w:rPr>
                <w:rFonts w:ascii="Arial" w:hAnsi="Arial"/>
                <w:sz w:val="18"/>
              </w:rPr>
              <w:t xml:space="preserve">Everything else</w:t>
            </w:r>
          </w:p>
        </w:tc>
        <w:tc>
          <w:tcPr/>
          <w:p>
            <w:pPr>
              <w:pStyle w:val="Compact"/>
              <w:jc w:val="right"/>
            </w:pPr>
            <w:r>
              <w:rPr>
                <w:rFonts w:ascii="Arial" w:hAnsi="Arial"/>
                <w:sz w:val="18"/>
              </w:rPr>
              <w:t xml:space="preserve">$5.8M</w:t>
            </w:r>
          </w:p>
        </w:tc>
        <w:tc>
          <w:tcPr/>
          <w:p>
            <w:pPr>
              <w:pStyle w:val="Compact"/>
              <w:jc w:val="right"/>
            </w:pPr>
            <w:r>
              <w:rPr>
                <w:rFonts w:ascii="Arial" w:hAnsi="Arial"/>
                <w:sz w:val="18"/>
              </w:rPr>
              <w:t xml:space="preserve">$1.9M</w:t>
            </w:r>
          </w:p>
        </w:tc>
        <w:tc>
          <w:tcPr/>
          <w:p>
            <w:pPr>
              <w:pStyle w:val="Compact"/>
              <w:jc w:val="right"/>
            </w:pPr>
            <w:r>
              <w:rPr>
                <w:rFonts w:ascii="Arial" w:hAnsi="Arial"/>
                <w:sz w:val="18"/>
              </w:rPr>
              <w:t xml:space="preserve">$0.2M</w:t>
            </w:r>
          </w:p>
        </w:tc>
        <w:tc>
          <w:tcPr/>
          <w:p>
            <w:pPr>
              <w:pStyle w:val="Compact"/>
              <w:jc w:val="right"/>
            </w:pPr>
            <w:r>
              <w:rPr>
                <w:rFonts w:ascii="Arial" w:hAnsi="Arial"/>
                <w:sz w:val="18"/>
              </w:rPr>
              <w:t xml:space="preserve">−$2.7M</w:t>
            </w:r>
          </w:p>
        </w:tc>
      </w:tr>
    </w:tbl>
    <w:p>
      <w:pPr>
        <w:pStyle w:val="BodyText"/>
      </w:pPr>
      <w:r>
        <w:rPr>
          <w:bCs/>
          <w:b/>
        </w:rPr>
        <w:t xml:space="preserve">Notes:</w:t>
      </w:r>
    </w:p>
    <w:p>
      <w:pPr>
        <w:numPr>
          <w:ilvl w:val="0"/>
          <w:numId w:val="1017"/>
        </w:numPr>
        <w:pStyle w:val="Compact"/>
      </w:pPr>
      <w:r>
        <w:t xml:space="preserve">EBF is a funding model, not a staffing rule.</w:t>
      </w:r>
    </w:p>
    <w:p>
      <w:pPr>
        <w:numPr>
          <w:ilvl w:val="0"/>
          <w:numId w:val="1017"/>
        </w:numPr>
        <w:pStyle w:val="Compact"/>
      </w:pPr>
      <w:r>
        <w:t xml:space="preserve">The classroom-teacher figure is an upper bound: split evenly over 11 buildings, every grade rounds up to 3 classes.</w:t>
      </w:r>
    </w:p>
    <w:p>
      <w:pPr>
        <w:numPr>
          <w:ilvl w:val="0"/>
          <w:numId w:val="1017"/>
        </w:numPr>
        <w:pStyle w:val="Compact"/>
      </w:pPr>
      <w:r>
        <w:t xml:space="preserve">Staff other than classroom teachers are estimated for K–5 at 64% of the district count. Some non-teaching pay is assumed.</w:t>
      </w:r>
    </w:p>
    <w:p>
      <w:pPr>
        <w:numPr>
          <w:ilvl w:val="0"/>
          <w:numId w:val="1017"/>
        </w:numPr>
        <w:pStyle w:val="Compact"/>
      </w:pPr>
      <w:r>
        <w:t xml:space="preserve">Ratios are from 105 ILCS 5/18-8.15.</w:t>
      </w:r>
    </w:p>
    <w:p>
      <w:r>
        <w:pict>
          <v:rect style="width:0;height:1.5pt" o:hralign="center" o:hrstd="t" o:hr="t"/>
        </w:pict>
      </w:r>
    </w:p>
    <w:bookmarkEnd w:id="45"/>
    <w:bookmarkStart w:id="49" w:name="X817e6a9a7dc28affec517bad57dab04dc4ed22a"/>
    <w:p>
      <w:pPr>
        <w:pStyle w:val="Heading2"/>
      </w:pPr>
      <w:r>
        <w:t xml:space="preserve">04 · The options: what each option saves, and what it costs students</w:t>
      </w:r>
    </w:p>
    <w:p>
      <w:pPr>
        <w:pStyle w:val="FirstParagraph"/>
      </w:pPr>
      <w:r>
        <w:t xml:space="preserve">Plotting savings against harm puts the choices side by side. Options under the dashed line save more for less disruption to students and families.</w:t>
      </w:r>
    </w:p>
    <w:p>
      <w:pPr>
        <w:pStyle w:val="BodyText"/>
      </w:pPr>
      <w:r>
        <w:drawing>
          <wp:inline>
            <wp:extent cx="6035040" cy="6303184"/>
            <wp:effectExtent b="0" l="0" r="0" t="0"/>
            <wp:docPr descr="Estimated yearly savings vs. cost to students and families, by option" title="" id="47" name="Picture"/>
            <a:graphic>
              <a:graphicData uri="http://schemas.openxmlformats.org/drawingml/2006/picture">
                <pic:pic>
                  <pic:nvPicPr>
                    <pic:cNvPr descr="images/budget_handout/options_savings_vs_harm.png" id="48" name="Picture"/>
                    <pic:cNvPicPr>
                      <a:picLocks noChangeArrowheads="1" noChangeAspect="1"/>
                    </pic:cNvPicPr>
                  </pic:nvPicPr>
                  <pic:blipFill>
                    <a:blip r:embed="rId46"/>
                    <a:stretch>
                      <a:fillRect/>
                    </a:stretch>
                  </pic:blipFill>
                  <pic:spPr bwMode="auto">
                    <a:xfrm>
                      <a:off x="0" y="0"/>
                      <a:ext cx="6035040" cy="6303184"/>
                    </a:xfrm>
                    <a:prstGeom prst="rect">
                      <a:avLst/>
                    </a:prstGeom>
                    <a:noFill/>
                    <a:ln w="9525">
                      <a:noFill/>
                      <a:headEnd/>
                      <a:tailEnd/>
                    </a:ln>
                  </pic:spPr>
                </pic:pic>
              </a:graphicData>
            </a:graphic>
          </wp:inline>
        </w:drawing>
      </w:r>
    </w:p>
    <w:p>
      <w:pPr>
        <w:numPr>
          <w:ilvl w:val="0"/>
          <w:numId w:val="1018"/>
        </w:numPr>
        <w:pStyle w:val="Compact"/>
      </w:pPr>
      <w:r>
        <w:rPr>
          <w:bCs/>
          <w:b/>
        </w:rPr>
        <w:t xml:space="preserve">Where the money is.</w:t>
      </w:r>
      <w:r>
        <w:t xml:space="preserve"> </w:t>
      </w:r>
      <w:r>
        <w:t xml:space="preserve">Consolidating small classes, bringing specialist and support staffing closer to EBF levels, and central-office cuts each save $1–2.5M a year. One closure saves $0.2–0.7M.</w:t>
      </w:r>
    </w:p>
    <w:p>
      <w:pPr>
        <w:numPr>
          <w:ilvl w:val="0"/>
          <w:numId w:val="1018"/>
        </w:numPr>
        <w:pStyle w:val="Compact"/>
      </w:pPr>
      <w:r>
        <w:rPr>
          <w:bCs/>
          <w:b/>
        </w:rPr>
        <w:t xml:space="preserve">Small but low-harm.</w:t>
      </w:r>
      <w:r>
        <w:t xml:space="preserve"> </w:t>
      </w:r>
      <w:r>
        <w:t xml:space="preserve">Leasing empty space, TWI tuition seats, shared City services and sponsorships each bring in $0.1–0.6M, with little effect on classrooms.</w:t>
      </w:r>
    </w:p>
    <w:p>
      <w:pPr>
        <w:numPr>
          <w:ilvl w:val="0"/>
          <w:numId w:val="1018"/>
        </w:numPr>
        <w:pStyle w:val="Compact"/>
      </w:pPr>
      <w:r>
        <w:rPr>
          <w:bCs/>
          <w:b/>
        </w:rPr>
        <w:t xml:space="preserve">About the scores.</w:t>
      </w:r>
      <w:r>
        <w:t xml:space="preserve"> </w:t>
      </w:r>
      <w:r>
        <w:t xml:space="preserve">The cost-to-students scores are a first draft for discussion. The savings ranges are rough; items marked "estimate" below are illustrative.</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tblGrid>
      <w:tr>
        <w:trPr>
          <w:tblHeader w:val="true"/>
        </w:trPr>
        <w:tc>
          <w:tcPr>
            <w:shd w:val="clear" w:fill="E8ECF3"/>
          </w:tcPr>
          <w:p>
            <w:pPr>
              <w:pStyle w:val="Compact"/>
              <w:jc w:val="left"/>
            </w:pPr>
            <w:r>
              <w:rPr>
                <w:rFonts w:ascii="Arial" w:hAnsi="Arial"/>
                <w:b/>
                <w:sz w:val="18"/>
              </w:rPr>
              <w:t xml:space="preserve">Option</w:t>
            </w:r>
          </w:p>
        </w:tc>
        <w:tc>
          <w:tcPr>
            <w:shd w:val="clear" w:fill="E8ECF3"/>
          </w:tcPr>
          <w:p>
            <w:pPr>
              <w:pStyle w:val="Compact"/>
              <w:jc w:val="right"/>
            </w:pPr>
            <w:r>
              <w:rPr>
                <w:rFonts w:ascii="Arial" w:hAnsi="Arial"/>
                <w:b/>
                <w:sz w:val="18"/>
              </w:rPr>
              <w:t xml:space="preserve">Yearly savings</w:t>
            </w:r>
          </w:p>
        </w:tc>
        <w:tc>
          <w:tcPr>
            <w:shd w:val="clear" w:fill="E8ECF3"/>
          </w:tcPr>
          <w:p>
            <w:pPr>
              <w:pStyle w:val="Compact"/>
              <w:jc w:val="left"/>
            </w:pPr>
            <w:r>
              <w:rPr>
                <w:rFonts w:ascii="Arial" w:hAnsi="Arial"/>
                <w:b/>
                <w:sz w:val="18"/>
              </w:rPr>
              <w:t xml:space="preserve">How we estimated it</w:t>
            </w:r>
          </w:p>
        </w:tc>
      </w:tr>
      <w:tr>
        <w:tc>
          <w:tcPr/>
          <w:p>
            <w:pPr>
              <w:pStyle w:val="Compact"/>
              <w:jc w:val="left"/>
            </w:pPr>
            <w:r>
              <w:rPr>
                <w:rFonts w:ascii="Arial" w:hAnsi="Arial"/>
                <w:sz w:val="18"/>
              </w:rPr>
              <w:t xml:space="preserve">Close 1 school</w:t>
            </w:r>
          </w:p>
        </w:tc>
        <w:tc>
          <w:tcPr/>
          <w:p>
            <w:pPr>
              <w:pStyle w:val="Compact"/>
              <w:jc w:val="right"/>
            </w:pPr>
            <w:r>
              <w:rPr>
                <w:rFonts w:ascii="Arial" w:hAnsi="Arial"/>
                <w:sz w:val="18"/>
              </w:rPr>
              <w:t xml:space="preserve">$0.2–0.7M</w:t>
            </w:r>
          </w:p>
        </w:tc>
        <w:tc>
          <w:tcPr/>
          <w:p>
            <w:pPr>
              <w:pStyle w:val="Compact"/>
              <w:jc w:val="left"/>
            </w:pPr>
            <w:r>
              <w:rPr>
                <w:rFonts w:ascii="Arial" w:hAnsi="Arial"/>
                <w:sz w:val="18"/>
              </w:rPr>
              <w:t xml:space="preserve">Building-use analysis: building savings minus added busing (net per closure)</w:t>
            </w:r>
          </w:p>
        </w:tc>
      </w:tr>
      <w:tr>
        <w:tc>
          <w:tcPr/>
          <w:p>
            <w:pPr>
              <w:pStyle w:val="Compact"/>
              <w:jc w:val="left"/>
            </w:pPr>
            <w:r>
              <w:rPr>
                <w:rFonts w:ascii="Arial" w:hAnsi="Arial"/>
                <w:sz w:val="18"/>
              </w:rPr>
              <w:t xml:space="preserve">Close 2 schools</w:t>
            </w:r>
          </w:p>
        </w:tc>
        <w:tc>
          <w:tcPr/>
          <w:p>
            <w:pPr>
              <w:pStyle w:val="Compact"/>
              <w:jc w:val="right"/>
            </w:pPr>
            <w:r>
              <w:rPr>
                <w:rFonts w:ascii="Arial" w:hAnsi="Arial"/>
                <w:sz w:val="18"/>
              </w:rPr>
              <w:t xml:space="preserve">$0.4–1.4M</w:t>
            </w:r>
          </w:p>
        </w:tc>
        <w:tc>
          <w:tcPr/>
          <w:p>
            <w:pPr>
              <w:pStyle w:val="Compact"/>
              <w:jc w:val="left"/>
            </w:pPr>
            <w:r>
              <w:rPr>
                <w:rFonts w:ascii="Arial" w:hAnsi="Arial"/>
                <w:sz w:val="18"/>
              </w:rPr>
              <w:t xml:space="preserve">Two times the per-closure net; relocation and renovation costs not included</w:t>
            </w:r>
          </w:p>
        </w:tc>
      </w:tr>
      <w:tr>
        <w:tc>
          <w:tcPr/>
          <w:p>
            <w:pPr>
              <w:pStyle w:val="Compact"/>
              <w:jc w:val="left"/>
            </w:pPr>
            <w:r>
              <w:rPr>
                <w:rFonts w:ascii="Arial" w:hAnsi="Arial"/>
                <w:sz w:val="18"/>
              </w:rPr>
              <w:t xml:space="preserve">Lease or share empty space</w:t>
            </w:r>
          </w:p>
        </w:tc>
        <w:tc>
          <w:tcPr/>
          <w:p>
            <w:pPr>
              <w:pStyle w:val="Compact"/>
              <w:jc w:val="right"/>
            </w:pPr>
            <w:r>
              <w:rPr>
                <w:rFonts w:ascii="Arial" w:hAnsi="Arial"/>
                <w:sz w:val="18"/>
              </w:rPr>
              <w:t xml:space="preserve">$0.1–0.4M</w:t>
            </w:r>
          </w:p>
        </w:tc>
        <w:tc>
          <w:tcPr/>
          <w:p>
            <w:pPr>
              <w:pStyle w:val="Compact"/>
              <w:jc w:val="left"/>
            </w:pPr>
            <w:r>
              <w:rPr>
                <w:rFonts w:ascii="Arial" w:hAnsi="Arial"/>
                <w:sz w:val="18"/>
              </w:rPr>
              <w:t xml:space="preserve">Estimate: preschool or community partner leases in underused wings</w:t>
            </w:r>
          </w:p>
        </w:tc>
      </w:tr>
      <w:tr>
        <w:tc>
          <w:tcPr/>
          <w:p>
            <w:pPr>
              <w:pStyle w:val="Compact"/>
              <w:jc w:val="left"/>
            </w:pPr>
            <w:r>
              <w:rPr>
                <w:rFonts w:ascii="Arial" w:hAnsi="Arial"/>
                <w:sz w:val="18"/>
              </w:rPr>
              <w:t xml:space="preserve">Consolidate small classes</w:t>
            </w:r>
          </w:p>
        </w:tc>
        <w:tc>
          <w:tcPr/>
          <w:p>
            <w:pPr>
              <w:pStyle w:val="Compact"/>
              <w:jc w:val="right"/>
            </w:pPr>
            <w:r>
              <w:rPr>
                <w:rFonts w:ascii="Arial" w:hAnsi="Arial"/>
                <w:sz w:val="18"/>
              </w:rPr>
              <w:t xml:space="preserve">$1.1–2.2M</w:t>
            </w:r>
          </w:p>
        </w:tc>
        <w:tc>
          <w:tcPr/>
          <w:p>
            <w:pPr>
              <w:pStyle w:val="Compact"/>
              <w:jc w:val="left"/>
            </w:pPr>
            <w:r>
              <w:rPr>
                <w:rFonts w:ascii="Arial" w:hAnsi="Arial"/>
                <w:sz w:val="18"/>
              </w:rPr>
              <w:t xml:space="preserve">10–20 fewer sections × ~$111K average teacher pay (EBF analysis)</w:t>
            </w:r>
          </w:p>
        </w:tc>
      </w:tr>
      <w:tr>
        <w:tc>
          <w:tcPr/>
          <w:p>
            <w:pPr>
              <w:pStyle w:val="Compact"/>
              <w:jc w:val="left"/>
            </w:pPr>
            <w:r>
              <w:rPr>
                <w:rFonts w:ascii="Arial" w:hAnsi="Arial"/>
                <w:sz w:val="18"/>
              </w:rPr>
              <w:t xml:space="preserve">Consolidate TWI strands in grades 4–5</w:t>
            </w:r>
          </w:p>
        </w:tc>
        <w:tc>
          <w:tcPr/>
          <w:p>
            <w:pPr>
              <w:pStyle w:val="Compact"/>
              <w:jc w:val="right"/>
            </w:pPr>
            <w:r>
              <w:rPr>
                <w:rFonts w:ascii="Arial" w:hAnsi="Arial"/>
                <w:sz w:val="18"/>
              </w:rPr>
              <w:t xml:space="preserve">$0.2–0.4M</w:t>
            </w:r>
          </w:p>
        </w:tc>
        <w:tc>
          <w:tcPr/>
          <w:p>
            <w:pPr>
              <w:pStyle w:val="Compact"/>
              <w:jc w:val="left"/>
            </w:pPr>
            <w:r>
              <w:rPr>
                <w:rFonts w:ascii="Arial" w:hAnsi="Arial"/>
                <w:sz w:val="18"/>
              </w:rPr>
              <w:t xml:space="preserve">2–4 fewer upper-grade TWI sections × ~$111K</w:t>
            </w:r>
          </w:p>
        </w:tc>
      </w:tr>
      <w:tr>
        <w:tc>
          <w:tcPr/>
          <w:p>
            <w:pPr>
              <w:pStyle w:val="Compact"/>
              <w:jc w:val="left"/>
            </w:pPr>
            <w:r>
              <w:rPr>
                <w:rFonts w:ascii="Arial" w:hAnsi="Arial"/>
                <w:sz w:val="18"/>
              </w:rPr>
              <w:t xml:space="preserve">Specialist teachers to EBF level</w:t>
            </w:r>
          </w:p>
        </w:tc>
        <w:tc>
          <w:tcPr/>
          <w:p>
            <w:pPr>
              <w:pStyle w:val="Compact"/>
              <w:jc w:val="right"/>
            </w:pPr>
            <w:r>
              <w:rPr>
                <w:rFonts w:ascii="Arial" w:hAnsi="Arial"/>
                <w:sz w:val="18"/>
              </w:rPr>
              <w:t xml:space="preserve">$1.4–2.5M</w:t>
            </w:r>
          </w:p>
        </w:tc>
        <w:tc>
          <w:tcPr/>
          <w:p>
            <w:pPr>
              <w:pStyle w:val="Compact"/>
              <w:jc w:val="left"/>
            </w:pPr>
            <w:r>
              <w:rPr>
                <w:rFonts w:ascii="Arial" w:hAnsi="Arial"/>
                <w:sz w:val="18"/>
              </w:rPr>
              <w:t xml:space="preserve">12–22 FTE above EBF × ~$115K (EBF Table 3)</w:t>
            </w:r>
          </w:p>
        </w:tc>
      </w:tr>
      <w:tr>
        <w:tc>
          <w:tcPr/>
          <w:p>
            <w:pPr>
              <w:pStyle w:val="Compact"/>
              <w:jc w:val="left"/>
            </w:pPr>
            <w:r>
              <w:rPr>
                <w:rFonts w:ascii="Arial" w:hAnsi="Arial"/>
                <w:sz w:val="18"/>
              </w:rPr>
              <w:t xml:space="preserve">Pupil support to EBF level</w:t>
            </w:r>
          </w:p>
        </w:tc>
        <w:tc>
          <w:tcPr/>
          <w:p>
            <w:pPr>
              <w:pStyle w:val="Compact"/>
              <w:jc w:val="right"/>
            </w:pPr>
            <w:r>
              <w:rPr>
                <w:rFonts w:ascii="Arial" w:hAnsi="Arial"/>
                <w:sz w:val="18"/>
              </w:rPr>
              <w:t xml:space="preserve">$1.1–2.2M</w:t>
            </w:r>
          </w:p>
        </w:tc>
        <w:tc>
          <w:tcPr/>
          <w:p>
            <w:pPr>
              <w:pStyle w:val="Compact"/>
              <w:jc w:val="left"/>
            </w:pPr>
            <w:r>
              <w:rPr>
                <w:rFonts w:ascii="Arial" w:hAnsi="Arial"/>
                <w:sz w:val="18"/>
              </w:rPr>
              <w:t xml:space="preserve">Half to all of the 21 social work/psych/FACE FTE above EBF × ~$103K</w:t>
            </w:r>
          </w:p>
        </w:tc>
      </w:tr>
      <w:tr>
        <w:tc>
          <w:tcPr/>
          <w:p>
            <w:pPr>
              <w:pStyle w:val="Compact"/>
              <w:jc w:val="left"/>
            </w:pPr>
            <w:r>
              <w:rPr>
                <w:rFonts w:ascii="Arial" w:hAnsi="Arial"/>
                <w:sz w:val="18"/>
              </w:rPr>
              <w:t xml:space="preserve">Voluntary retirement incentive</w:t>
            </w:r>
          </w:p>
        </w:tc>
        <w:tc>
          <w:tcPr/>
          <w:p>
            <w:pPr>
              <w:pStyle w:val="Compact"/>
              <w:jc w:val="right"/>
            </w:pPr>
            <w:r>
              <w:rPr>
                <w:rFonts w:ascii="Arial" w:hAnsi="Arial"/>
                <w:sz w:val="18"/>
              </w:rPr>
              <w:t xml:space="preserve">$0.5–1.5M</w:t>
            </w:r>
          </w:p>
        </w:tc>
        <w:tc>
          <w:tcPr/>
          <w:p>
            <w:pPr>
              <w:pStyle w:val="Compact"/>
              <w:jc w:val="left"/>
            </w:pPr>
            <w:r>
              <w:rPr>
                <w:rFonts w:ascii="Arial" w:hAnsi="Arial"/>
                <w:sz w:val="18"/>
              </w:rPr>
              <w:t xml:space="preserve">Estimate: 25–40 retirements replaced at lower step pay net of incentive</w:t>
            </w:r>
          </w:p>
        </w:tc>
      </w:tr>
      <w:tr>
        <w:tc>
          <w:tcPr/>
          <w:p>
            <w:pPr>
              <w:pStyle w:val="Compact"/>
              <w:jc w:val="left"/>
            </w:pPr>
            <w:r>
              <w:rPr>
                <w:rFonts w:ascii="Arial" w:hAnsi="Arial"/>
                <w:sz w:val="18"/>
              </w:rPr>
              <w:t xml:space="preserve">Central office admin cuts</w:t>
            </w:r>
          </w:p>
        </w:tc>
        <w:tc>
          <w:tcPr/>
          <w:p>
            <w:pPr>
              <w:pStyle w:val="Compact"/>
              <w:jc w:val="right"/>
            </w:pPr>
            <w:r>
              <w:rPr>
                <w:rFonts w:ascii="Arial" w:hAnsi="Arial"/>
                <w:sz w:val="18"/>
              </w:rPr>
              <w:t xml:space="preserve">$0.9–1.8M</w:t>
            </w:r>
          </w:p>
        </w:tc>
        <w:tc>
          <w:tcPr/>
          <w:p>
            <w:pPr>
              <w:pStyle w:val="Compact"/>
              <w:jc w:val="left"/>
            </w:pPr>
            <w:r>
              <w:rPr>
                <w:rFonts w:ascii="Arial" w:hAnsi="Arial"/>
                <w:sz w:val="18"/>
              </w:rPr>
              <w:t xml:space="preserve">Estimate: 5–10 central office positions × ~$180K total comp</w:t>
            </w:r>
          </w:p>
        </w:tc>
      </w:tr>
      <w:tr>
        <w:tc>
          <w:tcPr/>
          <w:p>
            <w:pPr>
              <w:pStyle w:val="Compact"/>
              <w:jc w:val="left"/>
            </w:pPr>
            <w:r>
              <w:rPr>
                <w:rFonts w:ascii="Arial" w:hAnsi="Arial"/>
                <w:sz w:val="18"/>
              </w:rPr>
              <w:t xml:space="preserve">Share admin services with City</w:t>
            </w:r>
          </w:p>
        </w:tc>
        <w:tc>
          <w:tcPr/>
          <w:p>
            <w:pPr>
              <w:pStyle w:val="Compact"/>
              <w:jc w:val="right"/>
            </w:pPr>
            <w:r>
              <w:rPr>
                <w:rFonts w:ascii="Arial" w:hAnsi="Arial"/>
                <w:sz w:val="18"/>
              </w:rPr>
              <w:t xml:space="preserve">$0.1–0.5M</w:t>
            </w:r>
          </w:p>
        </w:tc>
        <w:tc>
          <w:tcPr/>
          <w:p>
            <w:pPr>
              <w:pStyle w:val="Compact"/>
              <w:jc w:val="left"/>
            </w:pPr>
            <w:r>
              <w:rPr>
                <w:rFonts w:ascii="Arial" w:hAnsi="Arial"/>
                <w:sz w:val="18"/>
              </w:rPr>
              <w:t xml:space="preserve">Estimate: shared office space and personnel (creative ideas menu)</w:t>
            </w:r>
          </w:p>
        </w:tc>
      </w:tr>
      <w:tr>
        <w:tc>
          <w:tcPr/>
          <w:p>
            <w:pPr>
              <w:pStyle w:val="Compact"/>
              <w:jc w:val="left"/>
            </w:pPr>
            <w:r>
              <w:rPr>
                <w:rFonts w:ascii="Arial" w:hAnsi="Arial"/>
                <w:sz w:val="18"/>
              </w:rPr>
              <w:t xml:space="preserve">TWI tuition seats</w:t>
            </w:r>
          </w:p>
        </w:tc>
        <w:tc>
          <w:tcPr/>
          <w:p>
            <w:pPr>
              <w:pStyle w:val="Compact"/>
              <w:jc w:val="right"/>
            </w:pPr>
            <w:r>
              <w:rPr>
                <w:rFonts w:ascii="Arial" w:hAnsi="Arial"/>
                <w:sz w:val="18"/>
              </w:rPr>
              <w:t xml:space="preserve">$0.3–0.6M</w:t>
            </w:r>
          </w:p>
        </w:tc>
        <w:tc>
          <w:tcPr/>
          <w:p>
            <w:pPr>
              <w:pStyle w:val="Compact"/>
              <w:jc w:val="left"/>
            </w:pPr>
            <w:r>
              <w:rPr>
                <w:rFonts w:ascii="Arial" w:hAnsi="Arial"/>
                <w:sz w:val="18"/>
              </w:rPr>
              <w:t xml:space="preserve">Estimate: 20–40 tuition students × ~$15K</w:t>
            </w:r>
          </w:p>
        </w:tc>
      </w:tr>
      <w:tr>
        <w:tc>
          <w:tcPr/>
          <w:p>
            <w:pPr>
              <w:pStyle w:val="Compact"/>
              <w:jc w:val="left"/>
            </w:pPr>
            <w:r>
              <w:rPr>
                <w:rFonts w:ascii="Arial" w:hAnsi="Arial"/>
                <w:sz w:val="18"/>
              </w:rPr>
              <w:t xml:space="preserve">City shared services</w:t>
            </w:r>
          </w:p>
        </w:tc>
        <w:tc>
          <w:tcPr/>
          <w:p>
            <w:pPr>
              <w:pStyle w:val="Compact"/>
              <w:jc w:val="right"/>
            </w:pPr>
            <w:r>
              <w:rPr>
                <w:rFonts w:ascii="Arial" w:hAnsi="Arial"/>
                <w:sz w:val="18"/>
              </w:rPr>
              <w:t xml:space="preserve">$0.2–0.6M</w:t>
            </w:r>
          </w:p>
        </w:tc>
        <w:tc>
          <w:tcPr/>
          <w:p>
            <w:pPr>
              <w:pStyle w:val="Compact"/>
              <w:jc w:val="left"/>
            </w:pPr>
            <w:r>
              <w:rPr>
                <w:rFonts w:ascii="Arial" w:hAnsi="Arial"/>
                <w:sz w:val="18"/>
              </w:rPr>
              <w:t xml:space="preserve">Estimate: crossing guards, maintenance, purchasing (creative ideas menu)</w:t>
            </w:r>
          </w:p>
        </w:tc>
      </w:tr>
      <w:tr>
        <w:tc>
          <w:tcPr/>
          <w:p>
            <w:pPr>
              <w:pStyle w:val="Compact"/>
              <w:jc w:val="left"/>
            </w:pPr>
            <w:r>
              <w:rPr>
                <w:rFonts w:ascii="Arial" w:hAnsi="Arial"/>
                <w:sz w:val="18"/>
              </w:rPr>
              <w:t xml:space="preserve">Cell tower, solar and sponsorship revenue</w:t>
            </w:r>
          </w:p>
        </w:tc>
        <w:tc>
          <w:tcPr/>
          <w:p>
            <w:pPr>
              <w:pStyle w:val="Compact"/>
              <w:jc w:val="right"/>
            </w:pPr>
            <w:r>
              <w:rPr>
                <w:rFonts w:ascii="Arial" w:hAnsi="Arial"/>
                <w:sz w:val="18"/>
              </w:rPr>
              <w:t xml:space="preserve">$0.1–0.4M</w:t>
            </w:r>
          </w:p>
        </w:tc>
        <w:tc>
          <w:tcPr/>
          <w:p>
            <w:pPr>
              <w:pStyle w:val="Compact"/>
              <w:jc w:val="left"/>
            </w:pPr>
            <w:r>
              <w:rPr>
                <w:rFonts w:ascii="Arial" w:hAnsi="Arial"/>
                <w:sz w:val="18"/>
              </w:rPr>
              <w:t xml:space="preserve">Estimate: cell tower, solar panel and facility sponsorship revenue (creative ideas menu)</w:t>
            </w:r>
          </w:p>
        </w:tc>
      </w:tr>
    </w:tbl>
    <w:p>
      <w:pPr>
        <w:pStyle w:val="BlockText"/>
      </w:pPr>
      <w:r>
        <w:rPr>
          <w:bCs/>
          <w:b/>
        </w:rPr>
        <w:t xml:space="preserve">Added note:</w:t>
      </w:r>
      <w:r>
        <w:t xml:space="preserve"> </w:t>
      </w:r>
      <w:r>
        <w:t xml:space="preserve">closure savings above are operating only. If a closed building is sold or leased long-term, it also avoids $1.6–3.4M a year in facility-plan capital needs (see section 01).</w:t>
      </w:r>
    </w:p>
    <w:p>
      <w:r>
        <w:pict>
          <v:rect style="width:0;height:1.5pt" o:hralign="center" o:hrstd="t" o:hr="t"/>
        </w:pict>
      </w:r>
    </w:p>
    <w:bookmarkEnd w:id="49"/>
    <w:bookmarkStart w:id="51" w:name="X93676da2b3d7bf624955c46ee5034193815bfb3"/>
    <w:p>
      <w:pPr>
        <w:pStyle w:val="Heading2"/>
      </w:pPr>
      <w:r>
        <w:t xml:space="preserve">05 · Communicating the plan: what families should hear</w:t>
      </w:r>
    </w:p>
    <w:p>
      <w:pPr>
        <w:pStyle w:val="FirstParagraph"/>
      </w:pPr>
      <w:r>
        <w:t xml:space="preserve">Families will judge any plan by what happens in their child's classroom. The plan should say plainly what it protects, what changes, and how the district will show it's working.</w:t>
      </w:r>
    </w:p>
    <w:p>
      <w:pPr>
        <w:pStyle w:val="BodyText"/>
      </w:pPr>
      <w:r>
        <w:rPr>
          <w:bCs/>
          <w:b/>
        </w:rPr>
        <w:t xml:space="preserve">Our priorities: what comes first</w:t>
      </w:r>
    </w:p>
    <w:p>
      <w:pPr>
        <w:numPr>
          <w:ilvl w:val="0"/>
          <w:numId w:val="1019"/>
        </w:numPr>
        <w:pStyle w:val="Compact"/>
      </w:pPr>
      <w:r>
        <w:t xml:space="preserve">Class sizes in a set range for every grade at every school</w:t>
      </w:r>
    </w:p>
    <w:p>
      <w:pPr>
        <w:numPr>
          <w:ilvl w:val="0"/>
          <w:numId w:val="1019"/>
        </w:numPr>
        <w:pStyle w:val="Compact"/>
      </w:pPr>
      <w:r>
        <w:t xml:space="preserve">Children stay with their classmates and teachers wherever possible</w:t>
      </w:r>
    </w:p>
    <w:p>
      <w:pPr>
        <w:numPr>
          <w:ilvl w:val="0"/>
          <w:numId w:val="1019"/>
        </w:numPr>
        <w:pStyle w:val="Compact"/>
      </w:pPr>
      <w:r>
        <w:t xml:space="preserve">Programs families chose stay whole: TWI, ACC, STEP</w:t>
      </w:r>
    </w:p>
    <w:p>
      <w:pPr>
        <w:numPr>
          <w:ilvl w:val="0"/>
          <w:numId w:val="1019"/>
        </w:numPr>
        <w:pStyle w:val="Compact"/>
      </w:pPr>
      <w:r>
        <w:t xml:space="preserve">Every IEP is fully served, through any change</w:t>
      </w:r>
    </w:p>
    <w:p>
      <w:pPr>
        <w:numPr>
          <w:ilvl w:val="0"/>
          <w:numId w:val="1019"/>
        </w:numPr>
        <w:pStyle w:val="Compact"/>
      </w:pPr>
      <w:r>
        <w:t xml:space="preserve">Savings reinvested where EBF says we're short: coaching and intervention</w:t>
      </w:r>
    </w:p>
    <w:p>
      <w:pPr>
        <w:pStyle w:val="FirstParagraph"/>
      </w:pPr>
      <w:r>
        <w:rPr>
          <w:bCs/>
          <w:b/>
        </w:rPr>
        <w:t xml:space="preserve">What families get: what changes for them</w:t>
      </w:r>
    </w:p>
    <w:p>
      <w:pPr>
        <w:numPr>
          <w:ilvl w:val="0"/>
          <w:numId w:val="1020"/>
        </w:numPr>
        <w:pStyle w:val="Compact"/>
      </w:pPr>
      <w:r>
        <w:t xml:space="preserve">Predictable class sizes, published for each school and grade</w:t>
      </w:r>
    </w:p>
    <w:p>
      <w:pPr>
        <w:numPr>
          <w:ilvl w:val="0"/>
          <w:numId w:val="1020"/>
        </w:numPr>
        <w:pStyle w:val="Compact"/>
      </w:pPr>
      <w:r>
        <w:t xml:space="preserve">No building moves next school year</w:t>
      </w:r>
    </w:p>
    <w:p>
      <w:pPr>
        <w:numPr>
          <w:ilvl w:val="0"/>
          <w:numId w:val="1020"/>
        </w:numPr>
        <w:pStyle w:val="Compact"/>
      </w:pPr>
      <w:r>
        <w:t xml:space="preserve">More reading and math intervention as savings are reinvested</w:t>
      </w:r>
    </w:p>
    <w:p>
      <w:pPr>
        <w:numPr>
          <w:ilvl w:val="0"/>
          <w:numId w:val="1020"/>
        </w:numPr>
        <w:pStyle w:val="Compact"/>
      </w:pPr>
      <w:r>
        <w:t xml:space="preserve">A clear budget: what was cut, what it saved, where it went</w:t>
      </w:r>
    </w:p>
    <w:p>
      <w:pPr>
        <w:pStyle w:val="FirstParagraph"/>
      </w:pPr>
      <w:r>
        <w:rPr>
          <w:bCs/>
          <w:b/>
        </w:rPr>
        <w:t xml:space="preserve">Educational outcomes: how we'll know it's working</w:t>
      </w:r>
    </w:p>
    <w:p>
      <w:pPr>
        <w:numPr>
          <w:ilvl w:val="0"/>
          <w:numId w:val="1021"/>
        </w:numPr>
        <w:pStyle w:val="Compact"/>
      </w:pPr>
      <w:r>
        <w:t xml:space="preserve">Class size by school and grade, every fall</w:t>
      </w:r>
    </w:p>
    <w:p>
      <w:pPr>
        <w:numPr>
          <w:ilvl w:val="0"/>
          <w:numId w:val="1021"/>
        </w:numPr>
        <w:pStyle w:val="Compact"/>
      </w:pPr>
      <w:r>
        <w:t xml:space="preserve">Reading and math growth by school and student group</w:t>
      </w:r>
    </w:p>
    <w:p>
      <w:pPr>
        <w:numPr>
          <w:ilvl w:val="0"/>
          <w:numId w:val="1021"/>
        </w:numPr>
        <w:pStyle w:val="Compact"/>
      </w:pPr>
      <w:r>
        <w:t xml:space="preserve">Attendance and chronic absence</w:t>
      </w:r>
    </w:p>
    <w:p>
      <w:pPr>
        <w:numPr>
          <w:ilvl w:val="0"/>
          <w:numId w:val="1021"/>
        </w:numPr>
        <w:pStyle w:val="Compact"/>
      </w:pPr>
      <w:r>
        <w:t xml:space="preserve">Special-ed service minutes delivered vs. IEPs</w:t>
      </w:r>
    </w:p>
    <w:p>
      <w:pPr>
        <w:numPr>
          <w:ilvl w:val="0"/>
          <w:numId w:val="1021"/>
        </w:numPr>
        <w:pStyle w:val="Compact"/>
      </w:pPr>
      <w:r>
        <w:t xml:space="preserve">Families staying in D65: transfers in, out and to private schools</w:t>
      </w:r>
    </w:p>
    <w:bookmarkStart w:id="50" w:name="scorecard-to-publish-each-term"/>
    <w:p>
      <w:pPr>
        <w:pStyle w:val="Heading3"/>
      </w:pPr>
      <w:r>
        <w:t xml:space="preserve">Scorecard to publish each term</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tblGrid>
      <w:tr>
        <w:trPr>
          <w:tblHeader w:val="true"/>
        </w:trPr>
        <w:tc>
          <w:tcPr>
            <w:shd w:val="clear" w:fill="E8ECF3"/>
          </w:tcPr>
          <w:p>
            <w:pPr>
              <w:pStyle w:val="Compact"/>
              <w:jc w:val="left"/>
            </w:pPr>
            <w:r>
              <w:rPr>
                <w:rFonts w:ascii="Arial" w:hAnsi="Arial"/>
                <w:b/>
                <w:sz w:val="18"/>
              </w:rPr>
              <w:t xml:space="preserve">Measure</w:t>
            </w:r>
          </w:p>
        </w:tc>
        <w:tc>
          <w:tcPr>
            <w:shd w:val="clear" w:fill="E8ECF3"/>
          </w:tcPr>
          <w:p>
            <w:pPr>
              <w:pStyle w:val="Compact"/>
              <w:jc w:val="left"/>
            </w:pPr>
            <w:r>
              <w:rPr>
                <w:rFonts w:ascii="Arial" w:hAnsi="Arial"/>
                <w:b/>
                <w:sz w:val="18"/>
              </w:rPr>
              <w:t xml:space="preserve">What would trigger a second look</w:t>
            </w:r>
          </w:p>
        </w:tc>
        <w:tc>
          <w:tcPr>
            <w:shd w:val="clear" w:fill="E8ECF3"/>
          </w:tcPr>
          <w:p>
            <w:pPr>
              <w:pStyle w:val="Compact"/>
              <w:jc w:val="left"/>
            </w:pPr>
            <w:r>
              <w:rPr>
                <w:rFonts w:ascii="Arial" w:hAnsi="Arial"/>
                <w:b/>
                <w:sz w:val="18"/>
              </w:rPr>
              <w:t xml:space="preserve">Reported</w:t>
            </w:r>
          </w:p>
        </w:tc>
      </w:tr>
      <w:tr>
        <w:tc>
          <w:tcPr/>
          <w:p>
            <w:pPr>
              <w:pStyle w:val="Compact"/>
              <w:jc w:val="left"/>
            </w:pPr>
            <w:r>
              <w:rPr>
                <w:rFonts w:ascii="Arial" w:hAnsi="Arial"/>
                <w:sz w:val="18"/>
              </w:rPr>
              <w:t xml:space="preserve">Class size</w:t>
            </w:r>
          </w:p>
        </w:tc>
        <w:tc>
          <w:tcPr/>
          <w:p>
            <w:pPr>
              <w:pStyle w:val="Compact"/>
              <w:jc w:val="left"/>
            </w:pPr>
            <w:r>
              <w:rPr>
                <w:rFonts w:ascii="Arial" w:hAnsi="Arial"/>
                <w:sz w:val="18"/>
              </w:rPr>
              <w:t xml:space="preserve">Any grade above the agreed range, or below it two years running</w:t>
            </w:r>
          </w:p>
        </w:tc>
        <w:tc>
          <w:tcPr/>
          <w:p>
            <w:pPr>
              <w:pStyle w:val="Compact"/>
              <w:jc w:val="left"/>
            </w:pPr>
            <w:r>
              <w:rPr>
                <w:rFonts w:ascii="Arial" w:hAnsi="Arial"/>
                <w:sz w:val="18"/>
              </w:rPr>
              <w:t xml:space="preserve">Each fall</w:t>
            </w:r>
          </w:p>
        </w:tc>
      </w:tr>
      <w:tr>
        <w:tc>
          <w:tcPr/>
          <w:p>
            <w:pPr>
              <w:pStyle w:val="Compact"/>
              <w:jc w:val="left"/>
            </w:pPr>
            <w:r>
              <w:rPr>
                <w:rFonts w:ascii="Arial" w:hAnsi="Arial"/>
                <w:sz w:val="18"/>
              </w:rPr>
              <w:t xml:space="preserve">Reading and math growth</w:t>
            </w:r>
          </w:p>
        </w:tc>
        <w:tc>
          <w:tcPr/>
          <w:p>
            <w:pPr>
              <w:pStyle w:val="Compact"/>
              <w:jc w:val="left"/>
            </w:pPr>
            <w:r>
              <w:rPr>
                <w:rFonts w:ascii="Arial" w:hAnsi="Arial"/>
                <w:sz w:val="18"/>
              </w:rPr>
              <w:t xml:space="preserve">A school or student group falling behind its prior year</w:t>
            </w:r>
          </w:p>
        </w:tc>
        <w:tc>
          <w:tcPr/>
          <w:p>
            <w:pPr>
              <w:pStyle w:val="Compact"/>
              <w:jc w:val="left"/>
            </w:pPr>
            <w:r>
              <w:rPr>
                <w:rFonts w:ascii="Arial" w:hAnsi="Arial"/>
                <w:sz w:val="18"/>
              </w:rPr>
              <w:t xml:space="preserve">Winter, spring</w:t>
            </w:r>
          </w:p>
        </w:tc>
      </w:tr>
      <w:tr>
        <w:tc>
          <w:tcPr/>
          <w:p>
            <w:pPr>
              <w:pStyle w:val="Compact"/>
              <w:jc w:val="left"/>
            </w:pPr>
            <w:r>
              <w:rPr>
                <w:rFonts w:ascii="Arial" w:hAnsi="Arial"/>
                <w:sz w:val="18"/>
              </w:rPr>
              <w:t xml:space="preserve">Attendance</w:t>
            </w:r>
          </w:p>
        </w:tc>
        <w:tc>
          <w:tcPr/>
          <w:p>
            <w:pPr>
              <w:pStyle w:val="Compact"/>
              <w:jc w:val="left"/>
            </w:pPr>
            <w:r>
              <w:rPr>
                <w:rFonts w:ascii="Arial" w:hAnsi="Arial"/>
                <w:sz w:val="18"/>
              </w:rPr>
              <w:t xml:space="preserve">Chronic absence rising at a school affected by a change</w:t>
            </w:r>
          </w:p>
        </w:tc>
        <w:tc>
          <w:tcPr/>
          <w:p>
            <w:pPr>
              <w:pStyle w:val="Compact"/>
              <w:jc w:val="left"/>
            </w:pPr>
            <w:r>
              <w:rPr>
                <w:rFonts w:ascii="Arial" w:hAnsi="Arial"/>
                <w:sz w:val="18"/>
              </w:rPr>
              <w:t xml:space="preserve">Each term</w:t>
            </w:r>
          </w:p>
        </w:tc>
      </w:tr>
      <w:tr>
        <w:tc>
          <w:tcPr/>
          <w:p>
            <w:pPr>
              <w:pStyle w:val="Compact"/>
              <w:jc w:val="left"/>
            </w:pPr>
            <w:r>
              <w:rPr>
                <w:rFonts w:ascii="Arial" w:hAnsi="Arial"/>
                <w:sz w:val="18"/>
              </w:rPr>
              <w:t xml:space="preserve">Special-ed services</w:t>
            </w:r>
          </w:p>
        </w:tc>
        <w:tc>
          <w:tcPr/>
          <w:p>
            <w:pPr>
              <w:pStyle w:val="Compact"/>
              <w:jc w:val="left"/>
            </w:pPr>
            <w:r>
              <w:rPr>
                <w:rFonts w:ascii="Arial" w:hAnsi="Arial"/>
                <w:sz w:val="18"/>
              </w:rPr>
              <w:t xml:space="preserve">Any gap between minutes in IEPs and minutes delivered</w:t>
            </w:r>
          </w:p>
        </w:tc>
        <w:tc>
          <w:tcPr/>
          <w:p>
            <w:pPr>
              <w:pStyle w:val="Compact"/>
              <w:jc w:val="left"/>
            </w:pPr>
            <w:r>
              <w:rPr>
                <w:rFonts w:ascii="Arial" w:hAnsi="Arial"/>
                <w:sz w:val="18"/>
              </w:rPr>
              <w:t xml:space="preserve">Each term</w:t>
            </w:r>
          </w:p>
        </w:tc>
      </w:tr>
      <w:tr>
        <w:tc>
          <w:tcPr/>
          <w:p>
            <w:pPr>
              <w:pStyle w:val="Compact"/>
              <w:jc w:val="left"/>
            </w:pPr>
            <w:r>
              <w:rPr>
                <w:rFonts w:ascii="Arial" w:hAnsi="Arial"/>
                <w:sz w:val="18"/>
              </w:rPr>
              <w:t xml:space="preserve">Enrollment and transfers</w:t>
            </w:r>
          </w:p>
        </w:tc>
        <w:tc>
          <w:tcPr/>
          <w:p>
            <w:pPr>
              <w:pStyle w:val="Compact"/>
              <w:jc w:val="left"/>
            </w:pPr>
            <w:r>
              <w:rPr>
                <w:rFonts w:ascii="Arial" w:hAnsi="Arial"/>
                <w:sz w:val="18"/>
              </w:rPr>
              <w:t xml:space="preserve">Kindergarten or transfers off projection by more than 5%</w:t>
            </w:r>
          </w:p>
        </w:tc>
        <w:tc>
          <w:tcPr/>
          <w:p>
            <w:pPr>
              <w:pStyle w:val="Compact"/>
              <w:jc w:val="left"/>
            </w:pPr>
            <w:r>
              <w:rPr>
                <w:rFonts w:ascii="Arial" w:hAnsi="Arial"/>
                <w:sz w:val="18"/>
              </w:rPr>
              <w:t xml:space="preserve">Fall, spring</w:t>
            </w:r>
          </w:p>
        </w:tc>
      </w:tr>
      <w:tr>
        <w:tc>
          <w:tcPr/>
          <w:p>
            <w:pPr>
              <w:pStyle w:val="Compact"/>
              <w:jc w:val="left"/>
            </w:pPr>
            <w:r>
              <w:rPr>
                <w:rFonts w:ascii="Arial" w:hAnsi="Arial"/>
                <w:sz w:val="18"/>
              </w:rPr>
              <w:t xml:space="preserve">Savings</w:t>
            </w:r>
          </w:p>
        </w:tc>
        <w:tc>
          <w:tcPr/>
          <w:p>
            <w:pPr>
              <w:pStyle w:val="Compact"/>
              <w:jc w:val="left"/>
            </w:pPr>
            <w:r>
              <w:rPr>
                <w:rFonts w:ascii="Arial" w:hAnsi="Arial"/>
                <w:sz w:val="18"/>
              </w:rPr>
              <w:t xml:space="preserve">Actual savings below the plan, or one-time costs above it</w:t>
            </w:r>
          </w:p>
        </w:tc>
        <w:tc>
          <w:tcPr/>
          <w:p>
            <w:pPr>
              <w:pStyle w:val="Compact"/>
              <w:jc w:val="left"/>
            </w:pPr>
            <w:r>
              <w:rPr>
                <w:rFonts w:ascii="Arial" w:hAnsi="Arial"/>
                <w:sz w:val="18"/>
              </w:rPr>
              <w:t xml:space="preserve">Each budget cycle</w:t>
            </w:r>
          </w:p>
        </w:tc>
      </w:tr>
    </w:tbl>
    <w:p>
      <w:pPr>
        <w:pStyle w:val="BodyText"/>
      </w:pPr>
      <w:r>
        <w:rPr>
          <w:bCs/>
          <w:b/>
        </w:rPr>
        <w:t xml:space="preserve">Key messages</w:t>
      </w:r>
    </w:p>
    <w:p>
      <w:pPr>
        <w:pStyle w:val="BlockText"/>
      </w:pPr>
      <w:r>
        <w:t xml:space="preserve">"We're protecting what happens in the classroom first: class sizes, programs, and every child's services."</w:t>
      </w:r>
    </w:p>
    <w:p>
      <w:pPr>
        <w:pStyle w:val="BlockText"/>
      </w:pPr>
      <w:r>
        <w:t xml:space="preserve">"We'll make the biggest savings where they do the least harm, and we'll show our work."</w:t>
      </w:r>
    </w:p>
    <w:p>
      <w:pPr>
        <w:pStyle w:val="FirstParagraph"/>
      </w:pPr>
      <w:r>
        <w:t xml:space="preserve">The class-size range and trigger thresholds are for the district and community to set; the ones here are starting points for discussion.</w:t>
      </w:r>
    </w:p>
    <w:p>
      <w:r>
        <w:pict>
          <v:rect style="width:0;height:1.5pt" o:hralign="center" o:hrstd="t" o:hr="t"/>
        </w:pict>
      </w:r>
    </w:p>
    <w:bookmarkEnd w:id="50"/>
    <w:bookmarkEnd w:id="51"/>
    <w:bookmarkStart w:id="57" w:name="recap-the-whole-brief-on-one-page"/>
    <w:p>
      <w:pPr>
        <w:pStyle w:val="Heading2"/>
      </w:pPr>
      <w:r>
        <w:t xml:space="preserve">Recap: the whole brief on one page</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tblGrid>
      <w:tr>
        <w:trPr>
          <w:tblHeader w:val="true"/>
        </w:trPr>
        <w:tc>
          <w:tcPr>
            <w:shd w:val="clear" w:fill="E8ECF3"/>
          </w:tcPr>
          <w:p>
            <w:pPr>
              <w:pStyle w:val="Compact"/>
            </w:pPr>
          </w:p>
        </w:tc>
        <w:tc>
          <w:tcPr>
            <w:shd w:val="clear" w:fill="E8ECF3"/>
          </w:tcPr>
          <w:p>
            <w:pPr>
              <w:pStyle w:val="Compact"/>
            </w:pPr>
          </w:p>
        </w:tc>
      </w:tr>
      <w:tr>
        <w:tc>
          <w:tcPr/>
          <w:p>
            <w:pPr>
              <w:pStyle w:val="Compact"/>
              <w:jc w:val="left"/>
            </w:pPr>
            <w:r>
              <w:rPr>
                <w:bCs/>
                <w:rFonts w:ascii="Arial" w:hAnsi="Arial"/>
                <w:b/>
                <w:sz w:val="18"/>
              </w:rPr>
              <w:t xml:space="preserve">1–3.5%</w:t>
            </w:r>
          </w:p>
        </w:tc>
        <w:tc>
          <w:tcPr/>
          <w:p>
            <w:pPr>
              <w:pStyle w:val="Compact"/>
              <w:jc w:val="left"/>
            </w:pPr>
            <w:r>
              <w:rPr>
                <w:rFonts w:ascii="Arial" w:hAnsi="Arial"/>
                <w:sz w:val="18"/>
              </w:rPr>
              <w:t xml:space="preserve">of the</w:t>
            </w:r>
            <w:r>
              <w:rPr>
                <w:rFonts w:ascii="Arial" w:hAnsi="Arial"/>
                <w:sz w:val="18"/>
              </w:rPr>
              <w:t xml:space="preserve"> </w:t>
            </w:r>
            <m:oMath>
              <m:r>
                <m:t>20</m:t>
              </m:r>
              <m:r>
                <m:t>M</m:t>
              </m:r>
              <m:r>
                <m:t>t</m:t>
              </m:r>
              <m:r>
                <m:t>a</m:t>
              </m:r>
              <m:r>
                <m:t>r</m:t>
              </m:r>
              <m:r>
                <m:t>g</m:t>
              </m:r>
              <m:r>
                <m:t>e</m:t>
              </m:r>
              <m:r>
                <m:t>t</m:t>
              </m:r>
              <m:r>
                <m:t>f</m:t>
              </m:r>
              <m:r>
                <m:t>r</m:t>
              </m:r>
              <m:r>
                <m:t>o</m:t>
              </m:r>
              <m:r>
                <m:t>m</m:t>
              </m:r>
              <m:r>
                <m:t>o</m:t>
              </m:r>
              <m:r>
                <m:t>n</m:t>
              </m:r>
              <m:r>
                <m:t>e</m:t>
              </m:r>
              <m:r>
                <m:t>c</m:t>
              </m:r>
              <m:r>
                <m:t>l</m:t>
              </m:r>
              <m:r>
                <m:t>o</m:t>
              </m:r>
              <m:r>
                <m:t>s</m:t>
              </m:r>
              <m:r>
                <m:t>u</m:t>
              </m:r>
              <m:r>
                <m:t>r</m:t>
              </m:r>
              <m:r>
                <m:t>e</m:t>
              </m:r>
              <m:r>
                <m:rPr>
                  <m:sty m:val="p"/>
                </m:rPr>
                <m:t>,</m:t>
              </m:r>
              <m:r>
                <m:t>a</m:t>
              </m:r>
              <m:r>
                <m:t>f</m:t>
              </m:r>
              <m:r>
                <m:t>t</m:t>
              </m:r>
              <m:r>
                <m:t>e</m:t>
              </m:r>
              <m:r>
                <m:t>r</m:t>
              </m:r>
              <m:r>
                <m:t>b</m:t>
              </m:r>
              <m:r>
                <m:t>u</m:t>
              </m:r>
              <m:r>
                <m:t>s</m:t>
              </m:r>
              <m:r>
                <m:t>i</m:t>
              </m:r>
              <m:r>
                <m:t>n</m:t>
              </m:r>
              <m:r>
                <m:t>g</m:t>
              </m:r>
              <m:r>
                <m:rPr>
                  <m:sty m:val="p"/>
                </m:rPr>
                <m:t>(</m:t>
              </m:r>
            </m:oMath>
            <w:r>
              <w:rPr>
                <w:rFonts w:ascii="Arial" w:hAnsi="Arial"/>
                <w:sz w:val="18"/>
              </w:rPr>
              <w:t xml:space="preserve">0.2–0.7M a year)</w:t>
            </w:r>
          </w:p>
        </w:tc>
      </w:tr>
      <w:tr>
        <w:tc>
          <w:tcPr/>
          <w:p>
            <w:pPr>
              <w:pStyle w:val="Compact"/>
              <w:jc w:val="left"/>
            </w:pPr>
            <w:r>
              <w:rPr>
                <w:bCs/>
                <w:rFonts w:ascii="Arial" w:hAnsi="Arial"/>
                <w:b/>
                <w:sz w:val="18"/>
              </w:rPr>
              <w:t xml:space="preserve">$18.6M</w:t>
            </w:r>
          </w:p>
        </w:tc>
        <w:tc>
          <w:tcPr/>
          <w:p>
            <w:pPr>
              <w:pStyle w:val="Compact"/>
              <w:jc w:val="left"/>
            </w:pPr>
            <w:r>
              <w:rPr>
                <w:rFonts w:ascii="Arial" w:hAnsi="Arial"/>
                <w:sz w:val="18"/>
              </w:rPr>
              <w:t xml:space="preserve">special-ed staffing above EBF's ratio: the whole gap, set by IEPs</w:t>
            </w:r>
          </w:p>
        </w:tc>
      </w:tr>
      <w:tr>
        <w:tc>
          <w:tcPr/>
          <w:p>
            <w:pPr>
              <w:pStyle w:val="Compact"/>
              <w:jc w:val="left"/>
            </w:pPr>
            <w:r>
              <w:rPr>
                <w:bCs/>
                <w:rFonts w:ascii="Arial" w:hAnsi="Arial"/>
                <w:b/>
                <w:sz w:val="18"/>
              </w:rPr>
              <w:t xml:space="preserve">8 of 19</w:t>
            </w:r>
          </w:p>
        </w:tc>
        <w:tc>
          <w:tcPr/>
          <w:p>
            <w:pPr>
              <w:pStyle w:val="Compact"/>
              <w:jc w:val="left"/>
            </w:pPr>
            <w:r>
              <w:rPr>
                <w:rFonts w:ascii="Arial" w:hAnsi="Arial"/>
                <w:sz w:val="18"/>
              </w:rPr>
              <w:t xml:space="preserve">closure scenarios push a receiving school over capacity (was 7 of 15 before Dawes was added)</w:t>
            </w:r>
          </w:p>
        </w:tc>
      </w:tr>
      <w:tr>
        <w:tc>
          <w:tcPr/>
          <w:p>
            <w:pPr>
              <w:pStyle w:val="Compact"/>
              <w:jc w:val="left"/>
            </w:pPr>
            <w:r>
              <w:rPr>
                <w:bCs/>
                <w:rFonts w:ascii="Arial" w:hAnsi="Arial"/>
                <w:b/>
                <w:sz w:val="18"/>
              </w:rPr>
              <w:t xml:space="preserve">$1,940</w:t>
            </w:r>
          </w:p>
        </w:tc>
        <w:tc>
          <w:tcPr/>
          <w:p>
            <w:pPr>
              <w:pStyle w:val="Compact"/>
              <w:jc w:val="left"/>
            </w:pPr>
            <w:r>
              <w:rPr>
                <w:rFonts w:ascii="Arial" w:hAnsi="Arial"/>
                <w:sz w:val="18"/>
              </w:rPr>
              <w:t xml:space="preserve">per student to run Willard today, the costliest building; $1,500 at Walker</w:t>
            </w:r>
          </w:p>
        </w:tc>
      </w:tr>
      <w:tr>
        <w:tc>
          <w:tcPr/>
          <w:p>
            <w:pPr>
              <w:pStyle w:val="Compact"/>
              <w:jc w:val="left"/>
            </w:pPr>
            <w:r>
              <w:rPr>
                <w:bCs/>
                <w:rFonts w:ascii="Arial" w:hAnsi="Arial"/>
                <w:b/>
                <w:sz w:val="18"/>
              </w:rPr>
              <w:t xml:space="preserve">$1.6–4.4M</w:t>
            </w:r>
          </w:p>
        </w:tc>
        <w:tc>
          <w:tcPr/>
          <w:p>
            <w:pPr>
              <w:pStyle w:val="Compact"/>
              <w:jc w:val="left"/>
            </w:pPr>
            <w:r>
              <w:rPr>
                <w:iCs/>
                <w:rFonts w:ascii="Arial" w:hAnsi="Arial"/>
                <w:i/>
                <w:sz w:val="18"/>
              </w:rPr>
              <w:t xml:space="preserve">Added:</w:t>
            </w:r>
            <w:r>
              <w:rPr>
                <w:rFonts w:ascii="Arial" w:hAnsi="Arial"/>
                <w:sz w:val="18"/>
              </w:rPr>
              <w:t xml:space="preserve"> </w:t>
            </w:r>
            <w:r>
              <w:rPr>
                <w:rFonts w:ascii="Arial" w:hAnsi="Arial"/>
                <w:sz w:val="18"/>
              </w:rPr>
              <w:t xml:space="preserve">capital need a year per building in the facility plan, 3–6 times its operating cost</w:t>
            </w:r>
          </w:p>
        </w:tc>
      </w:tr>
    </w:tbl>
    <w:bookmarkStart w:id="52" w:name="takeaways"/>
    <w:p>
      <w:pPr>
        <w:pStyle w:val="Heading3"/>
      </w:pPr>
      <w:r>
        <w:t xml:space="preserve">Takeaways</w:t>
      </w:r>
    </w:p>
    <w:p>
      <w:pPr>
        <w:numPr>
          <w:ilvl w:val="0"/>
          <w:numId w:val="1022"/>
        </w:numPr>
        <w:pStyle w:val="Compact"/>
      </w:pPr>
      <w:r>
        <w:rPr>
          <w:bCs/>
          <w:b/>
        </w:rPr>
        <w:t xml:space="preserve">Class size depends on school and grade,</w:t>
      </w:r>
      <w:r>
        <w:t xml:space="preserve"> </w:t>
      </w:r>
      <w:r>
        <w:t xml:space="preserve">from about 12 to 24 students, not on how full a building is (r = −0.11).</w:t>
      </w:r>
      <w:r>
        <w:t xml:space="preserve"> </w:t>
      </w:r>
      <w:r>
        <w:rPr>
          <w:iCs/>
          <w:i/>
        </w:rPr>
        <w:t xml:space="preserve">(Class size section)</w:t>
      </w:r>
    </w:p>
    <w:p>
      <w:pPr>
        <w:numPr>
          <w:ilvl w:val="0"/>
          <w:numId w:val="1022"/>
        </w:numPr>
        <w:pStyle w:val="Compact"/>
      </w:pPr>
      <w:r>
        <w:rPr>
          <w:bCs/>
          <w:b/>
        </w:rPr>
        <w:t xml:space="preserve">Emptier buildings cost more per student:</w:t>
      </w:r>
      <w:r>
        <w:t xml:space="preserve"> </w:t>
      </w:r>
      <w:r>
        <w:t xml:space="preserve">$1,500–1,950 today. Receivers get cheaper per student, but the district saves only the closed building's costs.</w:t>
      </w:r>
      <w:r>
        <w:t xml:space="preserve"> </w:t>
      </w:r>
      <w:r>
        <w:rPr>
          <w:iCs/>
          <w:i/>
        </w:rPr>
        <w:t xml:space="preserve">Including facility-plan capital needs, Washington and Dawes cost the most per student (about $10,100–10,200 a year).</w:t>
      </w:r>
      <w:r>
        <w:t xml:space="preserve"> </w:t>
      </w:r>
      <w:r>
        <w:rPr>
          <w:iCs/>
          <w:i/>
        </w:rPr>
        <w:t xml:space="preserve">(Section 01)</w:t>
      </w:r>
    </w:p>
    <w:p>
      <w:pPr>
        <w:numPr>
          <w:ilvl w:val="0"/>
          <w:numId w:val="1022"/>
        </w:numPr>
        <w:pStyle w:val="Compact"/>
      </w:pPr>
      <w:r>
        <w:rPr>
          <w:bCs/>
          <w:b/>
        </w:rPr>
        <w:t xml:space="preserve">Where students go decides if a closure fits.</w:t>
      </w:r>
      <w:r>
        <w:t xml:space="preserve"> </w:t>
      </w:r>
      <w:r>
        <w:t xml:space="preserve">Every scenario that overfills sends students into Orrington or Willard; TWI, STEP and ACC moves are costly.</w:t>
      </w:r>
      <w:r>
        <w:t xml:space="preserve"> </w:t>
      </w:r>
      <w:r>
        <w:rPr>
          <w:iCs/>
          <w:i/>
        </w:rPr>
        <w:t xml:space="preserve">A Dawes closure fits, split among Oakton, Washington and Dewey.</w:t>
      </w:r>
      <w:r>
        <w:t xml:space="preserve"> </w:t>
      </w:r>
      <w:r>
        <w:rPr>
          <w:iCs/>
          <w:i/>
        </w:rPr>
        <w:t xml:space="preserve">(Section 02)</w:t>
      </w:r>
    </w:p>
    <w:p>
      <w:pPr>
        <w:numPr>
          <w:ilvl w:val="0"/>
          <w:numId w:val="1022"/>
        </w:numPr>
        <w:pStyle w:val="Compact"/>
      </w:pPr>
      <w:r>
        <w:rPr>
          <w:bCs/>
          <w:b/>
        </w:rPr>
        <w:t xml:space="preserve">Special ed explains the whole EBF gap.</w:t>
      </w:r>
      <w:r>
        <w:t xml:space="preserve"> </w:t>
      </w:r>
      <w:r>
        <w:t xml:space="preserve">Without it we're $2.7M below the model, and short on coaches and interventionists.</w:t>
      </w:r>
      <w:r>
        <w:t xml:space="preserve"> </w:t>
      </w:r>
      <w:r>
        <w:rPr>
          <w:iCs/>
          <w:i/>
        </w:rPr>
        <w:t xml:space="preserve">(Section 03)</w:t>
      </w:r>
    </w:p>
    <w:p>
      <w:pPr>
        <w:numPr>
          <w:ilvl w:val="0"/>
          <w:numId w:val="1022"/>
        </w:numPr>
        <w:pStyle w:val="Compact"/>
      </w:pPr>
      <w:r>
        <w:rPr>
          <w:bCs/>
          <w:b/>
        </w:rPr>
        <w:t xml:space="preserve">Staffing and class structure save more:</w:t>
      </w:r>
      <w:r>
        <w:t xml:space="preserve"> </w:t>
      </w:r>
      <w:r>
        <w:t xml:space="preserve">$1–2.5M each, against $0.2–0.7M per closure.</w:t>
      </w:r>
      <w:r>
        <w:t xml:space="preserve"> </w:t>
      </w:r>
      <w:r>
        <w:rPr>
          <w:iCs/>
          <w:i/>
        </w:rPr>
        <w:t xml:space="preserve">(Section 04)</w:t>
      </w:r>
    </w:p>
    <w:p>
      <w:pPr>
        <w:numPr>
          <w:ilvl w:val="0"/>
          <w:numId w:val="1022"/>
        </w:numPr>
        <w:pStyle w:val="Compact"/>
      </w:pPr>
      <w:r>
        <w:rPr>
          <w:bCs/>
          <w:b/>
        </w:rPr>
        <w:t xml:space="preserve">Tell families what's protected, what they get, and publish a scorecard each term.</w:t>
      </w:r>
      <w:r>
        <w:t xml:space="preserve"> </w:t>
      </w:r>
      <w:r>
        <w:rPr>
          <w:iCs/>
          <w:i/>
        </w:rPr>
        <w:t xml:space="preserve">(Section 05)</w:t>
      </w:r>
    </w:p>
    <w:bookmarkEnd w:id="52"/>
    <w:bookmarkStart w:id="56" w:name="X5f37413bdd25039dc5544659403d35d3bdc9fa3"/>
    <w:p>
      <w:pPr>
        <w:pStyle w:val="Heading3"/>
      </w:pPr>
      <w:r>
        <w:t xml:space="preserve">What we're asking: what to convey in the plan</w:t>
      </w:r>
    </w:p>
    <w:p>
      <w:pPr>
        <w:numPr>
          <w:ilvl w:val="0"/>
          <w:numId w:val="1023"/>
        </w:numPr>
        <w:pStyle w:val="Compact"/>
      </w:pPr>
      <w:r>
        <w:t xml:space="preserve">Itemized savings from the Kingsley and Bessie Rhodes closures, net of opening Foster.</w:t>
      </w:r>
    </w:p>
    <w:p>
      <w:pPr>
        <w:numPr>
          <w:ilvl w:val="0"/>
          <w:numId w:val="1023"/>
        </w:numPr>
        <w:pStyle w:val="Compact"/>
      </w:pPr>
      <w:r>
        <w:t xml:space="preserve">The full cost of closing and relocating a school, including TWI, STEP and ACC moves.</w:t>
      </w:r>
    </w:p>
    <w:p>
      <w:pPr>
        <w:numPr>
          <w:ilvl w:val="0"/>
          <w:numId w:val="1023"/>
        </w:numPr>
        <w:pStyle w:val="Compact"/>
      </w:pPr>
      <w:r>
        <w:t xml:space="preserve">Which positions would be cut, by category, and what each saves.</w:t>
      </w:r>
    </w:p>
    <w:p>
      <w:pPr>
        <w:numPr>
          <w:ilvl w:val="0"/>
          <w:numId w:val="1023"/>
        </w:numPr>
        <w:pStyle w:val="Compact"/>
      </w:pPr>
      <w:r>
        <w:t xml:space="preserve">Class counts and class sizes by grade, before and after, not just utilization.</w:t>
      </w:r>
    </w:p>
    <w:p>
      <w:pPr>
        <w:numPr>
          <w:ilvl w:val="0"/>
          <w:numId w:val="1023"/>
        </w:numPr>
        <w:pStyle w:val="Compact"/>
      </w:pPr>
      <w:r>
        <w:t xml:space="preserve">How the plan improves outcomes for students, not only this year's budget.</w:t>
      </w:r>
    </w:p>
    <w:p>
      <w:pPr>
        <w:pStyle w:val="FirstParagraph"/>
      </w:pPr>
      <w:r>
        <w:rPr>
          <w:iCs/>
          <w:i/>
        </w:rPr>
        <w:t xml:space="preserve">Decide by outcomes, learn from the data, and treat engaged families as an asset. We need to work with the buildings and the district we have.</w:t>
      </w:r>
    </w:p>
    <w:p>
      <w:pPr>
        <w:pStyle w:val="BodyText"/>
      </w:pPr>
      <w:r>
        <w:drawing>
          <wp:inline>
            <wp:extent cx="6035040" cy="4108962"/>
            <wp:effectExtent b="0" l="0" r="0" t="0"/>
            <wp:docPr descr="Staffing above EBF: special ed, paras, everything else, and net" title="" id="54" name="Picture"/>
            <a:graphic>
              <a:graphicData uri="http://schemas.openxmlformats.org/drawingml/2006/picture">
                <pic:pic>
                  <pic:nvPicPr>
                    <pic:cNvPr descr="images/budget_handout/staffing_above_ebf.png" id="55" name="Picture"/>
                    <pic:cNvPicPr>
                      <a:picLocks noChangeArrowheads="1" noChangeAspect="1"/>
                    </pic:cNvPicPr>
                  </pic:nvPicPr>
                  <pic:blipFill>
                    <a:blip r:embed="rId53"/>
                    <a:stretch>
                      <a:fillRect/>
                    </a:stretch>
                  </pic:blipFill>
                  <pic:spPr bwMode="auto">
                    <a:xfrm>
                      <a:off x="0" y="0"/>
                      <a:ext cx="6035040" cy="4108962"/>
                    </a:xfrm>
                    <a:prstGeom prst="rect">
                      <a:avLst/>
                    </a:prstGeom>
                    <a:noFill/>
                    <a:ln w="9525">
                      <a:noFill/>
                      <a:headEnd/>
                      <a:tailEnd/>
                    </a:ln>
                  </pic:spPr>
                </pic:pic>
              </a:graphicData>
            </a:graphic>
          </wp:inline>
        </w:drawing>
      </w:r>
    </w:p>
    <w:p>
      <w:r>
        <w:pict>
          <v:rect style="width:0;height:1.5pt" o:hralign="center" o:hrstd="t" o:hr="t"/>
        </w:pict>
      </w:r>
    </w:p>
    <w:bookmarkEnd w:id="56"/>
    <w:bookmarkEnd w:id="57"/>
    <w:bookmarkStart w:id="59" w:name="X11367648d5cbb625d72bc05478345e27f8e77bc"/>
    <w:p>
      <w:pPr>
        <w:pStyle w:val="Heading2"/>
      </w:pPr>
      <w:r>
        <w:t xml:space="preserve">Appendix (added): classroom counts vs. the Facility Master Plan</w:t>
      </w:r>
    </w:p>
    <w:p>
      <w:pPr>
        <w:pStyle w:val="FirstParagraph"/>
      </w:pPr>
      <w:r>
        <w:t xml:space="preserve">The handout's classroom counts come from the Cordogan Clark floor plans (2022; Foster uses Cordogan teaching stations). The District's March 2026</w:t>
      </w:r>
      <w:r>
        <w:t xml:space="preserve"> </w:t>
      </w:r>
      <w:hyperlink r:id="rId30">
        <w:r>
          <w:rPr>
            <w:rStyle w:val="Hyperlink"/>
          </w:rPr>
          <w:t xml:space="preserve">Facility Master Plan</w:t>
        </w:r>
      </w:hyperlink>
      <w:r>
        <w:t xml:space="preserve"> </w:t>
      </w:r>
      <w:r>
        <w:t xml:space="preserve">(Studio GC) has a room-by-room schedule for every building, surveyed October 2025 – January 2026. We counted rooms named</w:t>
      </w:r>
      <w:r>
        <w:t xml:space="preserve"> </w:t>
      </w:r>
      <w:r>
        <w:rPr>
          <w:bCs/>
          <w:b/>
        </w:rPr>
        <w:t xml:space="preserve">"CLASSROOM" in its Core Curriculum department</w:t>
      </w:r>
      <w:r>
        <w:t xml:space="preserve"> </w:t>
      </w:r>
      <w:r>
        <w:t xml:space="preserve">and compared.</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gridCol/>
        <w:gridCol/>
        <w:gridCol/>
        <w:gridCol/>
      </w:tblGrid>
      <w:tr>
        <w:trPr>
          <w:tblHeader w:val="true"/>
        </w:trPr>
        <w:tc>
          <w:tcPr>
            <w:shd w:val="clear" w:fill="E8ECF3"/>
          </w:tcPr>
          <w:p>
            <w:pPr>
              <w:pStyle w:val="Compact"/>
              <w:jc w:val="left"/>
            </w:pPr>
            <w:r>
              <w:rPr>
                <w:rFonts w:ascii="Arial" w:hAnsi="Arial"/>
                <w:b/>
                <w:sz w:val="18"/>
              </w:rPr>
              <w:t xml:space="preserve">School</w:t>
            </w:r>
          </w:p>
        </w:tc>
        <w:tc>
          <w:tcPr>
            <w:shd w:val="clear" w:fill="E8ECF3"/>
          </w:tcPr>
          <w:p>
            <w:pPr>
              <w:pStyle w:val="Compact"/>
              <w:jc w:val="right"/>
            </w:pPr>
            <w:r>
              <w:rPr>
                <w:rFonts w:ascii="Arial" w:hAnsi="Arial"/>
                <w:b/>
                <w:sz w:val="18"/>
              </w:rPr>
              <w:t xml:space="preserve">Handout (Cordogan)</w:t>
            </w:r>
          </w:p>
        </w:tc>
        <w:tc>
          <w:tcPr>
            <w:shd w:val="clear" w:fill="E8ECF3"/>
          </w:tcPr>
          <w:p>
            <w:pPr>
              <w:pStyle w:val="Compact"/>
              <w:jc w:val="right"/>
            </w:pPr>
            <w:r>
              <w:rPr>
                <w:rFonts w:ascii="Arial" w:hAnsi="Arial"/>
                <w:b/>
                <w:sz w:val="18"/>
              </w:rPr>
              <w:t xml:space="preserve">Facility plan "CLASSROOM"</w:t>
            </w:r>
          </w:p>
        </w:tc>
        <w:tc>
          <w:tcPr>
            <w:shd w:val="clear" w:fill="E8ECF3"/>
          </w:tcPr>
          <w:p>
            <w:pPr>
              <w:pStyle w:val="Compact"/>
              <w:jc w:val="left"/>
            </w:pPr>
            <w:r>
              <w:rPr>
                <w:rFonts w:ascii="Arial" w:hAnsi="Arial"/>
                <w:b/>
                <w:sz w:val="18"/>
              </w:rPr>
              <w:t xml:space="preserve">Other facility-plan rooms that could serve as homerooms</w:t>
            </w:r>
          </w:p>
        </w:tc>
        <w:tc>
          <w:tcPr>
            <w:shd w:val="clear" w:fill="E8ECF3"/>
          </w:tcPr>
          <w:p>
            <w:pPr>
              <w:pStyle w:val="Compact"/>
              <w:jc w:val="right"/>
            </w:pPr>
            <w:r>
              <w:rPr>
                <w:rFonts w:ascii="Arial" w:hAnsi="Arial"/>
                <w:b/>
                <w:sz w:val="18"/>
              </w:rPr>
              <w:t xml:space="preserve">Difference</w:t>
            </w:r>
          </w:p>
        </w:tc>
        <w:tc>
          <w:tcPr>
            <w:shd w:val="clear" w:fill="E8ECF3"/>
          </w:tcPr>
          <w:p>
            <w:pPr>
              <w:pStyle w:val="Compact"/>
              <w:jc w:val="right"/>
            </w:pPr>
            <w:r>
              <w:rPr>
                <w:rFonts w:ascii="Arial" w:hAnsi="Arial"/>
                <w:b/>
                <w:sz w:val="18"/>
              </w:rPr>
              <w:t xml:space="preserve">Classes needed 2027–28, no closures</w:t>
            </w:r>
          </w:p>
        </w:tc>
        <w:tc>
          <w:tcPr>
            <w:shd w:val="clear" w:fill="E8ECF3"/>
          </w:tcPr>
          <w:p>
            <w:pPr>
              <w:pStyle w:val="Compact"/>
              <w:jc w:val="right"/>
            </w:pPr>
            <w:r>
              <w:rPr>
                <w:rFonts w:ascii="Arial" w:hAnsi="Arial"/>
                <w:b/>
                <w:sz w:val="18"/>
              </w:rPr>
              <w:t xml:space="preserve">Spare rooms: handout / facility plan</w:t>
            </w:r>
          </w:p>
        </w:tc>
      </w:tr>
      <w:tr>
        <w:tc>
          <w:tcPr/>
          <w:p>
            <w:pPr>
              <w:pStyle w:val="Compact"/>
              <w:jc w:val="left"/>
            </w:pPr>
            <w:r>
              <w:rPr>
                <w:rFonts w:ascii="Arial" w:hAnsi="Arial"/>
                <w:sz w:val="18"/>
              </w:rPr>
              <w:t xml:space="preserve">Dawes</w:t>
            </w:r>
          </w:p>
        </w:tc>
        <w:tc>
          <w:tcPr/>
          <w:p>
            <w:pPr>
              <w:pStyle w:val="Compact"/>
              <w:jc w:val="right"/>
            </w:pPr>
            <w:r>
              <w:rPr>
                <w:rFonts w:ascii="Arial" w:hAnsi="Arial"/>
                <w:sz w:val="18"/>
              </w:rPr>
              <w:t xml:space="preserve">20</w:t>
            </w:r>
          </w:p>
        </w:tc>
        <w:tc>
          <w:tcPr/>
          <w:p>
            <w:pPr>
              <w:pStyle w:val="Compact"/>
              <w:jc w:val="right"/>
            </w:pPr>
            <w:r>
              <w:rPr>
                <w:rFonts w:ascii="Arial" w:hAnsi="Arial"/>
                <w:sz w:val="18"/>
              </w:rPr>
              <w:t xml:space="preserve">21</w:t>
            </w:r>
          </w:p>
        </w:tc>
        <w:tc>
          <w:tcPr/>
          <w:p>
            <w:pPr>
              <w:pStyle w:val="Compact"/>
              <w:jc w:val="left"/>
            </w:pPr>
            <w:r>
              <w:rPr>
                <w:rFonts w:ascii="Arial" w:hAnsi="Arial"/>
                <w:sz w:val="18"/>
              </w:rPr>
              <w:t xml:space="preserve">SPED/OT room 16 (1,104 SF)</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13</w:t>
            </w:r>
          </w:p>
        </w:tc>
        <w:tc>
          <w:tcPr/>
          <w:p>
            <w:pPr>
              <w:pStyle w:val="Compact"/>
              <w:jc w:val="right"/>
            </w:pPr>
            <w:r>
              <w:rPr>
                <w:rFonts w:ascii="Arial" w:hAnsi="Arial"/>
                <w:sz w:val="18"/>
              </w:rPr>
              <w:t xml:space="preserve">7 / 8</w:t>
            </w:r>
          </w:p>
        </w:tc>
      </w:tr>
      <w:tr>
        <w:tc>
          <w:tcPr/>
          <w:p>
            <w:pPr>
              <w:pStyle w:val="Compact"/>
              <w:jc w:val="left"/>
            </w:pPr>
            <w:r>
              <w:rPr>
                <w:rFonts w:ascii="Arial" w:hAnsi="Arial"/>
                <w:sz w:val="18"/>
              </w:rPr>
              <w:t xml:space="preserve">Dewey</w:t>
            </w:r>
          </w:p>
        </w:tc>
        <w:tc>
          <w:tcPr/>
          <w:p>
            <w:pPr>
              <w:pStyle w:val="Compact"/>
              <w:jc w:val="right"/>
            </w:pPr>
            <w:r>
              <w:rPr>
                <w:rFonts w:ascii="Arial" w:hAnsi="Arial"/>
                <w:sz w:val="18"/>
              </w:rPr>
              <w:t xml:space="preserve">24</w:t>
            </w:r>
          </w:p>
        </w:tc>
        <w:tc>
          <w:tcPr/>
          <w:p>
            <w:pPr>
              <w:pStyle w:val="Compact"/>
              <w:jc w:val="right"/>
            </w:pPr>
            <w:r>
              <w:rPr>
                <w:rFonts w:ascii="Arial" w:hAnsi="Arial"/>
                <w:sz w:val="18"/>
              </w:rPr>
              <w:t xml:space="preserve">26</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15</w:t>
            </w:r>
          </w:p>
        </w:tc>
        <w:tc>
          <w:tcPr/>
          <w:p>
            <w:pPr>
              <w:pStyle w:val="Compact"/>
              <w:jc w:val="right"/>
            </w:pPr>
            <w:r>
              <w:rPr>
                <w:rFonts w:ascii="Arial" w:hAnsi="Arial"/>
                <w:sz w:val="18"/>
              </w:rPr>
              <w:t xml:space="preserve">9 / 11</w:t>
            </w:r>
          </w:p>
        </w:tc>
      </w:tr>
      <w:tr>
        <w:tc>
          <w:tcPr/>
          <w:p>
            <w:pPr>
              <w:pStyle w:val="Compact"/>
              <w:jc w:val="left"/>
            </w:pPr>
            <w:r>
              <w:rPr>
                <w:rFonts w:ascii="Arial" w:hAnsi="Arial"/>
                <w:sz w:val="18"/>
              </w:rPr>
              <w:t xml:space="preserve">Foster</w:t>
            </w:r>
          </w:p>
        </w:tc>
        <w:tc>
          <w:tcPr/>
          <w:p>
            <w:pPr>
              <w:pStyle w:val="Compact"/>
              <w:jc w:val="right"/>
            </w:pPr>
            <w:r>
              <w:rPr>
                <w:rFonts w:ascii="Arial" w:hAnsi="Arial"/>
                <w:sz w:val="18"/>
              </w:rPr>
              <w:t xml:space="preserve">24*</w:t>
            </w:r>
          </w:p>
        </w:tc>
        <w:tc>
          <w:tcPr/>
          <w:p>
            <w:pPr>
              <w:pStyle w:val="Compact"/>
              <w:jc w:val="right"/>
            </w:pPr>
            <w:r>
              <w:rPr>
                <w:rFonts w:ascii="Arial" w:hAnsi="Arial"/>
                <w:sz w:val="18"/>
              </w:rPr>
              <w:t xml:space="preserve">not in plan</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16</w:t>
            </w:r>
          </w:p>
        </w:tc>
        <w:tc>
          <w:tcPr/>
          <w:p>
            <w:pPr>
              <w:pStyle w:val="Compact"/>
              <w:jc w:val="right"/>
            </w:pPr>
            <w:r>
              <w:rPr>
                <w:rFonts w:ascii="Arial" w:hAnsi="Arial"/>
                <w:sz w:val="18"/>
              </w:rPr>
              <w:t xml:space="preserve">8 / —</w:t>
            </w:r>
          </w:p>
        </w:tc>
      </w:tr>
      <w:tr>
        <w:tc>
          <w:tcPr/>
          <w:p>
            <w:pPr>
              <w:pStyle w:val="Compact"/>
              <w:jc w:val="left"/>
            </w:pPr>
            <w:r>
              <w:rPr>
                <w:rFonts w:ascii="Arial" w:hAnsi="Arial"/>
                <w:sz w:val="18"/>
              </w:rPr>
              <w:t xml:space="preserve">Lincoln</w:t>
            </w:r>
          </w:p>
        </w:tc>
        <w:tc>
          <w:tcPr/>
          <w:p>
            <w:pPr>
              <w:pStyle w:val="Compact"/>
              <w:jc w:val="right"/>
            </w:pPr>
            <w:r>
              <w:rPr>
                <w:rFonts w:ascii="Arial" w:hAnsi="Arial"/>
                <w:sz w:val="18"/>
              </w:rPr>
              <w:t xml:space="preserve">28</w:t>
            </w:r>
          </w:p>
        </w:tc>
        <w:tc>
          <w:tcPr/>
          <w:p>
            <w:pPr>
              <w:pStyle w:val="Compact"/>
              <w:jc w:val="right"/>
            </w:pPr>
            <w:r>
              <w:rPr>
                <w:rFonts w:ascii="Arial" w:hAnsi="Arial"/>
                <w:sz w:val="18"/>
              </w:rPr>
              <w:t xml:space="preserve">30</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10 / 12</w:t>
            </w:r>
          </w:p>
        </w:tc>
      </w:tr>
      <w:tr>
        <w:tc>
          <w:tcPr/>
          <w:p>
            <w:pPr>
              <w:pStyle w:val="Compact"/>
              <w:jc w:val="left"/>
            </w:pPr>
            <w:r>
              <w:rPr>
                <w:rFonts w:ascii="Arial" w:hAnsi="Arial"/>
                <w:sz w:val="18"/>
              </w:rPr>
              <w:t xml:space="preserve">Lincolnwood</w:t>
            </w:r>
          </w:p>
        </w:tc>
        <w:tc>
          <w:tcPr/>
          <w:p>
            <w:pPr>
              <w:pStyle w:val="Compact"/>
              <w:jc w:val="right"/>
            </w:pPr>
            <w:r>
              <w:rPr>
                <w:rFonts w:ascii="Arial" w:hAnsi="Arial"/>
                <w:sz w:val="18"/>
              </w:rPr>
              <w:t xml:space="preserve">19</w:t>
            </w:r>
          </w:p>
        </w:tc>
        <w:tc>
          <w:tcPr/>
          <w:p>
            <w:pPr>
              <w:pStyle w:val="Compact"/>
              <w:jc w:val="right"/>
            </w:pPr>
            <w:r>
              <w:rPr>
                <w:bCs/>
                <w:rFonts w:ascii="Arial" w:hAnsi="Arial"/>
                <w:b/>
                <w:sz w:val="18"/>
              </w:rPr>
              <w:t xml:space="preserve">18</w:t>
            </w:r>
          </w:p>
        </w:tc>
        <w:tc>
          <w:tcPr/>
          <w:p>
            <w:pPr>
              <w:pStyle w:val="Compact"/>
              <w:jc w:val="left"/>
            </w:pPr>
            <w:r>
              <w:rPr>
                <w:rFonts w:ascii="Arial" w:hAnsi="Arial"/>
                <w:sz w:val="18"/>
              </w:rPr>
              <w:t xml:space="preserve">2 "Learning Studio" rooms (812 and 825 SF)</w:t>
            </w:r>
          </w:p>
        </w:tc>
        <w:tc>
          <w:tcPr/>
          <w:p>
            <w:pPr>
              <w:pStyle w:val="Compact"/>
              <w:jc w:val="right"/>
            </w:pPr>
            <w:r>
              <w:rPr>
                <w:bCs/>
                <w:rFonts w:ascii="Arial" w:hAnsi="Arial"/>
                <w:b/>
                <w:sz w:val="18"/>
              </w:rPr>
              <w:t xml:space="preserve">−1</w:t>
            </w:r>
          </w:p>
        </w:tc>
        <w:tc>
          <w:tcPr/>
          <w:p>
            <w:pPr>
              <w:pStyle w:val="Compact"/>
              <w:jc w:val="right"/>
            </w:pPr>
            <w:r>
              <w:rPr>
                <w:rFonts w:ascii="Arial" w:hAnsi="Arial"/>
                <w:sz w:val="18"/>
              </w:rPr>
              <w:t xml:space="preserve">14</w:t>
            </w:r>
          </w:p>
        </w:tc>
        <w:tc>
          <w:tcPr/>
          <w:p>
            <w:pPr>
              <w:pStyle w:val="Compact"/>
              <w:jc w:val="right"/>
            </w:pPr>
            <w:r>
              <w:rPr>
                <w:rFonts w:ascii="Arial" w:hAnsi="Arial"/>
                <w:sz w:val="18"/>
              </w:rPr>
              <w:t xml:space="preserve">5 / 4</w:t>
            </w:r>
          </w:p>
        </w:tc>
      </w:tr>
      <w:tr>
        <w:tc>
          <w:tcPr/>
          <w:p>
            <w:pPr>
              <w:pStyle w:val="Compact"/>
              <w:jc w:val="left"/>
            </w:pPr>
            <w:r>
              <w:rPr>
                <w:rFonts w:ascii="Arial" w:hAnsi="Arial"/>
                <w:sz w:val="18"/>
              </w:rPr>
              <w:t xml:space="preserve">Oakton</w:t>
            </w:r>
          </w:p>
        </w:tc>
        <w:tc>
          <w:tcPr/>
          <w:p>
            <w:pPr>
              <w:pStyle w:val="Compact"/>
              <w:jc w:val="right"/>
            </w:pPr>
            <w:r>
              <w:rPr>
                <w:rFonts w:ascii="Arial" w:hAnsi="Arial"/>
                <w:sz w:val="18"/>
              </w:rPr>
              <w:t xml:space="preserve">25</w:t>
            </w:r>
          </w:p>
        </w:tc>
        <w:tc>
          <w:tcPr/>
          <w:p>
            <w:pPr>
              <w:pStyle w:val="Compact"/>
              <w:jc w:val="right"/>
            </w:pPr>
            <w:r>
              <w:rPr>
                <w:rFonts w:ascii="Arial" w:hAnsi="Arial"/>
                <w:sz w:val="18"/>
              </w:rPr>
              <w:t xml:space="preserve">21 shown†</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−1 to −4</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7 / 3–6</w:t>
            </w:r>
          </w:p>
        </w:tc>
      </w:tr>
      <w:tr>
        <w:tc>
          <w:tcPr/>
          <w:p>
            <w:pPr>
              <w:pStyle w:val="Compact"/>
              <w:jc w:val="left"/>
            </w:pPr>
            <w:r>
              <w:rPr>
                <w:rFonts w:ascii="Arial" w:hAnsi="Arial"/>
                <w:sz w:val="18"/>
              </w:rPr>
              <w:t xml:space="preserve">Orrington</w:t>
            </w:r>
          </w:p>
        </w:tc>
        <w:tc>
          <w:tcPr/>
          <w:p>
            <w:pPr>
              <w:pStyle w:val="Compact"/>
              <w:jc w:val="right"/>
            </w:pPr>
            <w:r>
              <w:rPr>
                <w:rFonts w:ascii="Arial" w:hAnsi="Arial"/>
                <w:sz w:val="18"/>
              </w:rPr>
              <w:t xml:space="preserve">19</w:t>
            </w:r>
          </w:p>
        </w:tc>
        <w:tc>
          <w:tcPr/>
          <w:p>
            <w:pPr>
              <w:pStyle w:val="Compact"/>
              <w:jc w:val="right"/>
            </w:pPr>
            <w:r>
              <w:rPr>
                <w:bCs/>
                <w:rFonts w:ascii="Arial" w:hAnsi="Arial"/>
                <w:b/>
                <w:sz w:val="18"/>
              </w:rPr>
              <w:t xml:space="preserve">17</w:t>
            </w:r>
          </w:p>
        </w:tc>
        <w:tc>
          <w:tcPr/>
          <w:p>
            <w:pPr>
              <w:pStyle w:val="Compact"/>
              <w:jc w:val="left"/>
            </w:pPr>
            <w:r>
              <w:rPr>
                <w:rFonts w:ascii="Arial" w:hAnsi="Arial"/>
                <w:sz w:val="18"/>
              </w:rPr>
              <w:t xml:space="preserve">"Classroom/Sensory Rm" 106 (988 SF), "Sensory Rm" 113 (669 SF)</w:t>
            </w:r>
          </w:p>
        </w:tc>
        <w:tc>
          <w:tcPr/>
          <w:p>
            <w:pPr>
              <w:pStyle w:val="Compact"/>
              <w:jc w:val="right"/>
            </w:pPr>
            <w:r>
              <w:rPr>
                <w:bCs/>
                <w:rFonts w:ascii="Arial" w:hAnsi="Arial"/>
                <w:b/>
                <w:sz w:val="18"/>
              </w:rPr>
              <w:t xml:space="preserve">−2</w:t>
            </w:r>
          </w:p>
        </w:tc>
        <w:tc>
          <w:tcPr/>
          <w:p>
            <w:pPr>
              <w:pStyle w:val="Compact"/>
              <w:jc w:val="right"/>
            </w:pPr>
            <w:r>
              <w:rPr>
                <w:rFonts w:ascii="Arial" w:hAnsi="Arial"/>
                <w:sz w:val="18"/>
              </w:rPr>
              <w:t xml:space="preserve">13</w:t>
            </w:r>
          </w:p>
        </w:tc>
        <w:tc>
          <w:tcPr/>
          <w:p>
            <w:pPr>
              <w:pStyle w:val="Compact"/>
              <w:jc w:val="right"/>
            </w:pPr>
            <w:r>
              <w:rPr>
                <w:rFonts w:ascii="Arial" w:hAnsi="Arial"/>
                <w:sz w:val="18"/>
              </w:rPr>
              <w:t xml:space="preserve">6 / 4</w:t>
            </w:r>
          </w:p>
        </w:tc>
      </w:tr>
      <w:tr>
        <w:tc>
          <w:tcPr/>
          <w:p>
            <w:pPr>
              <w:pStyle w:val="Compact"/>
              <w:jc w:val="left"/>
            </w:pPr>
            <w:r>
              <w:rPr>
                <w:rFonts w:ascii="Arial" w:hAnsi="Arial"/>
                <w:sz w:val="18"/>
              </w:rPr>
              <w:t xml:space="preserve">Walker</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19</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15</w:t>
            </w:r>
          </w:p>
        </w:tc>
        <w:tc>
          <w:tcPr/>
          <w:p>
            <w:pPr>
              <w:pStyle w:val="Compact"/>
              <w:jc w:val="right"/>
            </w:pPr>
            <w:r>
              <w:rPr>
                <w:rFonts w:ascii="Arial" w:hAnsi="Arial"/>
                <w:sz w:val="18"/>
              </w:rPr>
              <w:t xml:space="preserve">3 / 4</w:t>
            </w:r>
          </w:p>
        </w:tc>
      </w:tr>
      <w:tr>
        <w:tc>
          <w:tcPr/>
          <w:p>
            <w:pPr>
              <w:pStyle w:val="Compact"/>
              <w:jc w:val="left"/>
            </w:pPr>
            <w:r>
              <w:rPr>
                <w:rFonts w:ascii="Arial" w:hAnsi="Arial"/>
                <w:sz w:val="18"/>
              </w:rPr>
              <w:t xml:space="preserve">Washington</w:t>
            </w:r>
          </w:p>
        </w:tc>
        <w:tc>
          <w:tcPr/>
          <w:p>
            <w:pPr>
              <w:pStyle w:val="Compact"/>
              <w:jc w:val="right"/>
            </w:pPr>
            <w:r>
              <w:rPr>
                <w:rFonts w:ascii="Arial" w:hAnsi="Arial"/>
                <w:sz w:val="18"/>
              </w:rPr>
              <w:t xml:space="preserve">24</w:t>
            </w:r>
          </w:p>
        </w:tc>
        <w:tc>
          <w:tcPr/>
          <w:p>
            <w:pPr>
              <w:pStyle w:val="Compact"/>
              <w:jc w:val="right"/>
            </w:pPr>
            <w:r>
              <w:rPr>
                <w:bCs/>
                <w:rFonts w:ascii="Arial" w:hAnsi="Arial"/>
                <w:b/>
                <w:sz w:val="18"/>
              </w:rPr>
              <w:t xml:space="preserve">27</w:t>
            </w:r>
          </w:p>
        </w:tc>
        <w:tc>
          <w:tcPr/>
          <w:p>
            <w:pPr>
              <w:pStyle w:val="Compact"/>
              <w:jc w:val="left"/>
            </w:pPr>
            <w:r>
              <w:rPr>
                <w:rFonts w:ascii="Arial" w:hAnsi="Arial"/>
                <w:sz w:val="18"/>
              </w:rPr>
              <w:t xml:space="preserve">—</w:t>
            </w:r>
          </w:p>
        </w:tc>
        <w:tc>
          <w:tcPr/>
          <w:p>
            <w:pPr>
              <w:pStyle w:val="Compact"/>
              <w:jc w:val="right"/>
            </w:pPr>
            <w:r>
              <w:rPr>
                <w:bCs/>
                <w:rFonts w:ascii="Arial" w:hAnsi="Arial"/>
                <w:b/>
                <w:sz w:val="18"/>
              </w:rPr>
              <w:t xml:space="preserve">+3</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6 / 9</w:t>
            </w:r>
          </w:p>
        </w:tc>
      </w:tr>
      <w:tr>
        <w:tc>
          <w:tcPr/>
          <w:p>
            <w:pPr>
              <w:pStyle w:val="Compact"/>
              <w:jc w:val="left"/>
            </w:pPr>
            <w:r>
              <w:rPr>
                <w:rFonts w:ascii="Arial" w:hAnsi="Arial"/>
                <w:sz w:val="18"/>
              </w:rPr>
              <w:t xml:space="preserve">Willard</w:t>
            </w:r>
          </w:p>
        </w:tc>
        <w:tc>
          <w:tcPr/>
          <w:p>
            <w:pPr>
              <w:pStyle w:val="Compact"/>
              <w:jc w:val="right"/>
            </w:pPr>
            <w:r>
              <w:rPr>
                <w:rFonts w:ascii="Arial" w:hAnsi="Arial"/>
                <w:sz w:val="18"/>
              </w:rPr>
              <w:t xml:space="preserve">24</w:t>
            </w:r>
          </w:p>
        </w:tc>
        <w:tc>
          <w:tcPr/>
          <w:p>
            <w:pPr>
              <w:pStyle w:val="Compact"/>
              <w:jc w:val="right"/>
            </w:pPr>
            <w:r>
              <w:rPr>
                <w:bCs/>
                <w:rFonts w:ascii="Arial" w:hAnsi="Arial"/>
                <w:b/>
                <w:sz w:val="18"/>
              </w:rPr>
              <w:t xml:space="preserve">23</w:t>
            </w:r>
          </w:p>
        </w:tc>
        <w:tc>
          <w:tcPr/>
          <w:p>
            <w:pPr>
              <w:pStyle w:val="Compact"/>
              <w:jc w:val="left"/>
            </w:pPr>
            <w:r>
              <w:rPr>
                <w:rFonts w:ascii="Arial" w:hAnsi="Arial"/>
                <w:sz w:val="18"/>
              </w:rPr>
              <w:t xml:space="preserve">none (one 256 SF "classroom" is filed as small-group space)</w:t>
            </w:r>
          </w:p>
        </w:tc>
        <w:tc>
          <w:tcPr/>
          <w:p>
            <w:pPr>
              <w:pStyle w:val="Compact"/>
              <w:jc w:val="right"/>
            </w:pPr>
            <w:r>
              <w:rPr>
                <w:bCs/>
                <w:rFonts w:ascii="Arial" w:hAnsi="Arial"/>
                <w:b/>
                <w:sz w:val="18"/>
              </w:rPr>
              <w:t xml:space="preserve">−1</w:t>
            </w:r>
          </w:p>
        </w:tc>
        <w:tc>
          <w:tcPr/>
          <w:p>
            <w:pPr>
              <w:pStyle w:val="Compact"/>
              <w:jc w:val="right"/>
            </w:pPr>
            <w:r>
              <w:rPr>
                <w:rFonts w:ascii="Arial" w:hAnsi="Arial"/>
                <w:sz w:val="18"/>
              </w:rPr>
              <w:t xml:space="preserve">13</w:t>
            </w:r>
          </w:p>
        </w:tc>
        <w:tc>
          <w:tcPr/>
          <w:p>
            <w:pPr>
              <w:pStyle w:val="Compact"/>
              <w:jc w:val="right"/>
            </w:pPr>
            <w:r>
              <w:rPr>
                <w:rFonts w:ascii="Arial" w:hAnsi="Arial"/>
                <w:sz w:val="18"/>
              </w:rPr>
              <w:t xml:space="preserve">11 / 10</w:t>
            </w:r>
          </w:p>
        </w:tc>
      </w:tr>
      <w:tr>
        <w:tc>
          <w:tcPr/>
          <w:p>
            <w:pPr>
              <w:pStyle w:val="Compact"/>
              <w:jc w:val="left"/>
            </w:pPr>
            <w:r>
              <w:rPr>
                <w:rFonts w:ascii="Arial" w:hAnsi="Arial"/>
                <w:sz w:val="18"/>
              </w:rPr>
              <w:t xml:space="preserve">King Arts</w:t>
            </w:r>
          </w:p>
        </w:tc>
        <w:tc>
          <w:tcPr/>
          <w:p>
            <w:pPr>
              <w:pStyle w:val="Compact"/>
              <w:jc w:val="right"/>
            </w:pPr>
            <w:r>
              <w:rPr>
                <w:rFonts w:ascii="Arial" w:hAnsi="Arial"/>
                <w:sz w:val="18"/>
              </w:rPr>
              <w:t xml:space="preserve">27</w:t>
            </w:r>
          </w:p>
        </w:tc>
        <w:tc>
          <w:tcPr/>
          <w:p>
            <w:pPr>
              <w:pStyle w:val="Compact"/>
              <w:jc w:val="right"/>
            </w:pPr>
            <w:r>
              <w:rPr>
                <w:rFonts w:ascii="Arial" w:hAnsi="Arial"/>
                <w:sz w:val="18"/>
              </w:rPr>
              <w:t xml:space="preserve">30</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+3</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Kingsley (closing)</w:t>
            </w:r>
          </w:p>
        </w:tc>
        <w:tc>
          <w:tcPr/>
          <w:p>
            <w:pPr>
              <w:pStyle w:val="Compact"/>
              <w:jc w:val="right"/>
            </w:pPr>
            <w:r>
              <w:rPr>
                <w:rFonts w:ascii="Arial" w:hAnsi="Arial"/>
                <w:sz w:val="18"/>
              </w:rPr>
              <w:t xml:space="preserve">20</w:t>
            </w:r>
          </w:p>
        </w:tc>
        <w:tc>
          <w:tcPr/>
          <w:p>
            <w:pPr>
              <w:pStyle w:val="Compact"/>
              <w:jc w:val="right"/>
            </w:pPr>
            <w:r>
              <w:rPr>
                <w:rFonts w:ascii="Arial" w:hAnsi="Arial"/>
                <w:sz w:val="18"/>
              </w:rPr>
              <w:t xml:space="preserve">22 (one is 311 SF)</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w:t>
            </w:r>
          </w:p>
        </w:tc>
      </w:tr>
    </w:tbl>
    <w:p>
      <w:pPr>
        <w:pStyle w:val="BodyText"/>
      </w:pPr>
      <w:r>
        <w:t xml:space="preserve">* Foster has no floor-plan count and isn't in the facility plan.</w:t>
      </w:r>
      <w:r>
        <w:t xml:space="preserve"> </w:t>
      </w:r>
      <w:r>
        <w:t xml:space="preserve">† Oakton's schedule is cut off in the PDF: 24 Core Curriculum rooms are listed in the subtotal but only 21 rows are visible.</w:t>
      </w:r>
    </w:p>
    <w:p>
      <w:pPr>
        <w:pStyle w:val="BodyText"/>
      </w:pPr>
      <w:r>
        <w:t xml:space="preserve">"Classes needed" is each grade's projected 2027–28 students ÷ 24, rounded up (no TWI or special-ed sections), the same rule as the closure scenarios.</w:t>
      </w:r>
    </w:p>
    <w:bookmarkStart w:id="58" w:name="what-it-changes-in-the-closure-scenarios"/>
    <w:p>
      <w:pPr>
        <w:pStyle w:val="Heading3"/>
      </w:pPr>
      <w:r>
        <w:t xml:space="preserve">What it changes in the closure scenarios</w:t>
      </w:r>
    </w:p>
    <w:p>
      <w:pPr>
        <w:pStyle w:val="FirstParagraph"/>
      </w:pPr>
      <w:r>
        <w:t xml:space="preserve">The facility plan and the handout agree within 1–3 rooms at most schools. The differences land on the schools that matter most for the north-side scenarios:</w:t>
      </w:r>
    </w:p>
    <w:p>
      <w:pPr>
        <w:numPr>
          <w:ilvl w:val="0"/>
          <w:numId w:val="1024"/>
        </w:numPr>
        <w:pStyle w:val="Compact"/>
      </w:pPr>
      <w:r>
        <w:rPr>
          <w:bCs/>
          <w:b/>
        </w:rPr>
        <w:t xml:space="preserve">Willard has 23 classrooms in the facility plan, not 24.</w:t>
      </w:r>
    </w:p>
    <w:p>
      <w:pPr>
        <w:numPr>
          <w:ilvl w:val="1"/>
          <w:numId w:val="1025"/>
        </w:numPr>
        <w:pStyle w:val="Compact"/>
      </w:pPr>
      <w:r>
        <w:t xml:space="preserve">Every scenario that sends Orrington whole to Willard needs 24 classes there, so it goes from "full" to</w:t>
      </w:r>
      <w:r>
        <w:t xml:space="preserve"> </w:t>
      </w:r>
      <w:r>
        <w:rPr>
          <w:bCs/>
          <w:b/>
        </w:rPr>
        <w:t xml:space="preserve">one classroom short</w:t>
      </w:r>
      <w:r>
        <w:t xml:space="preserve">. That covers Close Orrington, and Washington, Oakton or Dawes + Orrington.</w:t>
      </w:r>
    </w:p>
    <w:p>
      <w:pPr>
        <w:numPr>
          <w:ilvl w:val="1"/>
          <w:numId w:val="1025"/>
        </w:numPr>
        <w:pStyle w:val="Compact"/>
      </w:pPr>
      <w:r>
        <w:t xml:space="preserve">Lincolnwood → Willard (25 classes) becomes two short. Dewey + Orrington (26 classes) becomes three short.</w:t>
      </w:r>
    </w:p>
    <w:p>
      <w:pPr>
        <w:numPr>
          <w:ilvl w:val="0"/>
          <w:numId w:val="1024"/>
        </w:numPr>
        <w:pStyle w:val="Compact"/>
      </w:pPr>
      <w:r>
        <w:rPr>
          <w:bCs/>
          <w:b/>
        </w:rPr>
        <w:t xml:space="preserve">Lincolnwood (18) and Orrington (17) are tighter.</w:t>
      </w:r>
    </w:p>
    <w:p>
      <w:pPr>
        <w:numPr>
          <w:ilvl w:val="1"/>
          <w:numId w:val="1026"/>
        </w:numPr>
        <w:pStyle w:val="Compact"/>
      </w:pPr>
      <w:r>
        <w:t xml:space="preserve">The three "+ Willard" pairs (Washington, Oakton or Dawes + Willard) need 19 classes at each. They fit only if Lincolnwood's two learning studios and Orrington's two sensory rooms are used as homerooms.</w:t>
      </w:r>
    </w:p>
    <w:p>
      <w:pPr>
        <w:numPr>
          <w:ilvl w:val="1"/>
          <w:numId w:val="1026"/>
        </w:numPr>
        <w:pStyle w:val="Compact"/>
      </w:pPr>
      <w:r>
        <w:t xml:space="preserve">Close Dewey and the Lincolnwood split (3b) need exactly 17 at Orrington: full, with the sensory rooms as the only slack.</w:t>
      </w:r>
    </w:p>
    <w:p>
      <w:pPr>
        <w:numPr>
          <w:ilvl w:val="0"/>
          <w:numId w:val="1024"/>
        </w:numPr>
        <w:pStyle w:val="Compact"/>
      </w:pPr>
      <w:r>
        <w:rPr>
          <w:bCs/>
          <w:b/>
        </w:rPr>
        <w:t xml:space="preserve">Washington has 27, not 24.</w:t>
      </w:r>
      <w:r>
        <w:t xml:space="preserve"> </w:t>
      </w:r>
      <w:r>
        <w:t xml:space="preserve">Closing Oakton (alone or in a pair) needs 24 classes at Washington, so it has 3 spare rooms instead of none.</w:t>
      </w:r>
    </w:p>
    <w:p>
      <w:pPr>
        <w:numPr>
          <w:ilvl w:val="0"/>
          <w:numId w:val="1024"/>
        </w:numPr>
        <w:pStyle w:val="Compact"/>
      </w:pPr>
      <w:r>
        <w:rPr>
          <w:bCs/>
          <w:b/>
        </w:rPr>
        <w:t xml:space="preserve">Oakton is tighter than the handout shows.</w:t>
      </w:r>
      <w:r>
        <w:t xml:space="preserve"> </w:t>
      </w:r>
      <w:r>
        <w:t xml:space="preserve">Close Dawes and the Washington pairs need 21 classes there, against the 21 visible rooms (about 24 including the rows cut off in the PDF).</w:t>
      </w:r>
    </w:p>
    <w:p>
      <w:pPr>
        <w:pStyle w:val="FirstParagraph"/>
      </w:pPr>
      <w:r>
        <w:rPr>
          <w:bCs/>
          <w:b/>
        </w:rPr>
        <w:t xml:space="preserve">Bottom line.</w:t>
      </w:r>
      <w:r>
        <w:t xml:space="preserve"> </w:t>
      </w:r>
      <w:r>
        <w:t xml:space="preserve">On capacity (seats), the six "fits" pairs still fit. On classrooms, using the facility plan's counts:</w:t>
      </w:r>
    </w:p>
    <w:p>
      <w:pPr>
        <w:numPr>
          <w:ilvl w:val="0"/>
          <w:numId w:val="1027"/>
        </w:numPr>
        <w:pStyle w:val="Compact"/>
      </w:pPr>
      <w:r>
        <w:t xml:space="preserve">None of the six has a spare room at every receiver.</w:t>
      </w:r>
    </w:p>
    <w:p>
      <w:pPr>
        <w:numPr>
          <w:ilvl w:val="0"/>
          <w:numId w:val="1027"/>
        </w:numPr>
        <w:pStyle w:val="Compact"/>
      </w:pPr>
      <w:r>
        <w:t xml:space="preserve">The three "+ Orrington" pairs are one room short at Willard.</w:t>
      </w:r>
    </w:p>
    <w:p>
      <w:pPr>
        <w:numPr>
          <w:ilvl w:val="0"/>
          <w:numId w:val="1027"/>
        </w:numPr>
        <w:pStyle w:val="Compact"/>
      </w:pPr>
      <w:r>
        <w:t xml:space="preserve">The three "+ Willard" pairs work only by converting specialized rooms.</w:t>
      </w:r>
    </w:p>
    <w:p>
      <w:pPr>
        <w:pStyle w:val="FirstParagraph"/>
      </w:pPr>
      <w:r>
        <w:t xml:space="preserve">Before relying on either count, the district should confirm homeroom counts building by building. The two sources were surveyed three years apart and may label the same rooms differently.</w:t>
      </w:r>
    </w:p>
    <w:p>
      <w:pPr>
        <w:pStyle w:val="BodyText"/>
      </w:pPr>
      <w:r>
        <w:t xml:space="preserve">Scenario-by-scenario detail:</w:t>
      </w:r>
      <w:r>
        <w:t xml:space="preserve"> </w:t>
      </w:r>
      <w:r>
        <w:rPr>
          <w:rStyle w:val="VerbatimChar"/>
        </w:rPr>
        <w:t>facility_master_plan_2026/fmp_vs_handout_classrooms_by_scenario.csv</w:t>
      </w:r>
      <w:r>
        <w:t xml:space="preserve">. Facility-plan room data:</w:t>
      </w:r>
      <w:r>
        <w:t xml:space="preserve"> </w:t>
      </w:r>
      <w:r>
        <w:rPr>
          <w:rStyle w:val="VerbatimChar"/>
        </w:rPr>
        <w:t xml:space="preserve">facility_master_plan_2026/fmp_rooms.csv</w:t>
      </w:r>
      <w:r>
        <w:t xml:space="preserve">.</w:t>
      </w:r>
    </w:p>
    <w:p>
      <w:pPr>
        <w:pStyle w:val="BodyText"/>
      </w:pPr>
      <w:r>
        <w:rPr>
          <w:iCs/>
          <w:i/>
        </w:rPr>
        <w:t xml:space="preserve">Built with help from Claude (AI); please verify.</w:t>
      </w:r>
    </w:p>
    <w:bookmarkEnd w:id="58"/>
    <w:bookmarkEnd w:id="59"/>
    <w:bookmarkEnd w:id="60"/>
    <w:sect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1"/>
    </w:rPr>
  </w:style>
  <w:style w:styleId="BodyText" w:type="paragraph">
    <w:name w:val="Body Text"/>
    <w:basedOn w:val="Normal"/>
    <w:link w:val="BodyTextChar"/>
    <w:pPr>
      <w:spacing w:after="180" w:before="180"/>
    </w:pPr>
    <w:qFormat/>
    <w:rPr>
      <w:rFonts w:ascii="Arial" w:hAnsi="Arial" w:eastAsia="Arial"/>
      <w:sz w:val="21"/>
    </w:rPr>
  </w:style>
  <w:style w:customStyle="1" w:styleId="FirstParagraph" w:type="paragraph">
    <w:name w:val="First Paragraph"/>
    <w:basedOn w:val="BodyText"/>
    <w:next w:val="BodyText"/>
    <w:qFormat/>
    <w:rPr>
      <w:rFonts w:ascii="Arial" w:hAnsi="Arial" w:eastAsia="Arial"/>
      <w:sz w:val="21"/>
    </w:rPr>
  </w:style>
  <w:style w:customStyle="1" w:styleId="Compact" w:type="paragraph">
    <w:name w:val="Compact"/>
    <w:basedOn w:val="BodyText"/>
    <w:qFormat/>
    <w:pPr>
      <w:spacing w:after="36" w:before="36"/>
    </w:pPr>
    <w:rPr>
      <w:rFonts w:ascii="Arial" w:hAnsi="Arial" w:eastAsia="Arial"/>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val="1D2B4F"/>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val="1D2B4F"/>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val="1D2B4F"/>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val="1D2B4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i/>
      <w:bCs/>
      <w:color w:val="1D2B4F"/>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iCs/>
      <w:color w:val="1D2B4F"/>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olor w:val="1D2B4F"/>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olor w:val="1D2B4F"/>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olor w:val="1D2B4F"/>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olor w:val="1D2B4F"/>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22" Type="http://schemas.openxmlformats.org/officeDocument/2006/relationships/image" Target="media/rId22.png"/><Relationship Id="rId36" Type="http://schemas.openxmlformats.org/officeDocument/2006/relationships/image" Target="media/rId36.png"/><Relationship Id="rId46" Type="http://schemas.openxmlformats.org/officeDocument/2006/relationships/image" Target="media/rId46.png"/><Relationship Id="rId53" Type="http://schemas.openxmlformats.org/officeDocument/2006/relationships/image" Target="media/rId53.png"/><Relationship Id="rId42" Type="http://schemas.openxmlformats.org/officeDocument/2006/relationships/image" Target="media/rId42.png"/><Relationship Id="rId30" Type="http://schemas.openxmlformats.org/officeDocument/2006/relationships/hyperlink" Target="https://resources.finalsite.net/images/v1774292798/district65net/qe007gerizmoqz8hfewa/District65MFP2026.pdf"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resources.finalsite.net/images/v1774292798/district65net/qe007gerizmoqz8hfewa/District65MFP20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2026-09-30T17:24:45Z</dcterms:created>
  <dcterms:modified xsi:type="dcterms:W3CDTF">2026-09-30T17:24:45Z</dcterms:modified>
</cp:coreProperties>
</file>

<file path=docProps/custom.xml><?xml version="1.0" encoding="utf-8"?>
<Properties xmlns="http://schemas.openxmlformats.org/officeDocument/2006/custom-properties" xmlns:vt="http://schemas.openxmlformats.org/officeDocument/2006/docPropsVTypes"/>
</file>